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LeTourneau University Student Senate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Sponsored by Senators Turner and Ortiz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S.___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An 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Relating to the allocation of funds for general marketing efforts.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rtl w:val="0"/>
        </w:rPr>
        <w:t xml:space="preserve">Be it enacted by the LeTourneau University Student Senate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Short Title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Section A.</w:t>
      </w:r>
      <w:r w:rsidRPr="00000000" w:rsidR="00000000" w:rsidDel="00000000">
        <w:rPr>
          <w:rtl w:val="0"/>
        </w:rPr>
        <w:tab/>
        <w:t xml:space="preserve">This act may be referred to as the "Marketing Funding Act of Fall 2013"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Appropriations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Section B.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Four hundred dollars ($400) shall be allocated to the Public Records committee for marketing services in the fall semester.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Public Records committee shall serve all Senate committees in their individual marketing needs, so that Senate may have a unified public image.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funds shall apply to costs for the bulletin board, event posters, public record materials, design and consulting services, social media promotions, promotional publications, surveys, and other marketing efforts.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Unused funds shall revert to the Senate General Fund.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Effective Date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Section C.</w:t>
      </w:r>
      <w:r w:rsidRPr="00000000" w:rsidR="00000000" w:rsidDel="00000000">
        <w:rPr>
          <w:rtl w:val="0"/>
        </w:rPr>
        <w:tab/>
        <w:t xml:space="preserve">This act shall become effective upon passage.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48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Funding Act of Fall 2013.docx</dc:title>
</cp:coreProperties>
</file>