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REGULAR EXPRESSION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The concept of regular expressions began in the 1950s when the American mathematician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Stephen Cole Kleene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formalized the concept of a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regular language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They came into common use with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Unix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text-processing utilities. Different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syntaxes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for writing regular expressions have existed since the 1980s, one being the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POSIX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standard and another, widely used, being the 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none"/>
            <w:rtl w:val="0"/>
          </w:rPr>
          <w:t xml:space="preserve">Perl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syntax.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highlight w:val="white"/>
            <w:u w:val="single"/>
            <w:rtl w:val="0"/>
          </w:rPr>
          <w:t xml:space="preserve">https://www.youtube.com/watch?v=528Jc3q86F8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(Chú ý 5 phút đầu video khi làm slide)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07">
      <w:pPr>
        <w:ind w:left="360" w:firstLine="0"/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Formally, a regular expression is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an algebraic notation for characterizing a set of strings. They are particularly useful for searching in texts when we have a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color w:val="000000"/>
          <w:sz w:val="20"/>
          <w:szCs w:val="20"/>
          <w:rtl w:val="0"/>
        </w:rPr>
        <w:t xml:space="preserve">pattern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to search for and a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color w:val="000000"/>
          <w:sz w:val="20"/>
          <w:szCs w:val="20"/>
          <w:rtl w:val="0"/>
        </w:rPr>
        <w:t xml:space="preserve">corpus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texts to search through</w:t>
      </w:r>
    </w:p>
    <w:p w:rsidR="00000000" w:rsidDel="00000000" w:rsidP="00000000" w:rsidRDefault="00000000" w:rsidRPr="00000000" w14:paraId="00000008">
      <w:pPr>
        <w:ind w:left="360" w:firstLine="0"/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NOTE: A search can be designed to return every match on a line if there are more than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one, or just the first match</w:t>
      </w:r>
    </w:p>
    <w:p w:rsidR="00000000" w:rsidDel="00000000" w:rsidP="00000000" w:rsidRDefault="00000000" w:rsidRPr="00000000" w14:paraId="00000009">
      <w:pPr>
        <w:ind w:left="360" w:firstLine="0"/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What is a pattern, corpus?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How does regular expression work: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https://www.youtube.com/watch?v=YBTvrkRg0FA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regular expression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Regular expressions are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sensitive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lower case 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/s/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distinct from upper</w:t>
        <w:br w:type="textWrapping"/>
        <w:t xml:space="preserve">case 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/S/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/s/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matches a lowercase </w:t>
      </w:r>
      <w:r w:rsidDel="00000000" w:rsidR="00000000" w:rsidRPr="00000000">
        <w:rPr>
          <w:rFonts w:ascii="NimbusRomNo9L-ReguItal" w:cs="NimbusRomNo9L-ReguItal" w:eastAsia="NimbusRomNo9L-ReguItal" w:hAnsi="NimbusRomNo9L-ReguIt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not an uppercase </w:t>
      </w:r>
      <w:r w:rsidDel="00000000" w:rsidR="00000000" w:rsidRPr="00000000">
        <w:rPr>
          <w:rFonts w:ascii="NimbusRomNo9L-ReguItal" w:cs="NimbusRomNo9L-ReguItal" w:eastAsia="NimbusRomNo9L-ReguItal" w:hAnsi="NimbusRomNo9L-ReguIt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This means that</w:t>
        <w:br w:type="textWrapping"/>
        <w:t xml:space="preserve">the pattern 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/woodchucks/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not match the string </w:t>
      </w:r>
      <w:r w:rsidDel="00000000" w:rsidR="00000000" w:rsidRPr="00000000">
        <w:rPr>
          <w:rFonts w:ascii="NimbusRomNo9L-ReguItal" w:cs="NimbusRomNo9L-ReguItal" w:eastAsia="NimbusRomNo9L-ReguItal" w:hAnsi="NimbusRomNo9L-ReguIt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Woodchucks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/woodchucks/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Any corpus has ‘woodchucks’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‘interesting links to </w:t>
            </w:r>
            <w:r w:rsidDel="00000000" w:rsidR="00000000" w:rsidRPr="00000000">
              <w:rPr>
                <w:u w:val="single"/>
                <w:rtl w:val="0"/>
              </w:rPr>
              <w:t xml:space="preserve">woodchucks</w:t>
            </w:r>
            <w:r w:rsidDel="00000000" w:rsidR="00000000" w:rsidRPr="00000000">
              <w:rPr>
                <w:rtl w:val="0"/>
              </w:rPr>
              <w:t xml:space="preserve"> and lemus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/a/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Any corpus has ‘a’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‘M</w:t>
            </w:r>
            <w:r w:rsidDel="00000000" w:rsidR="00000000" w:rsidRPr="00000000">
              <w:rPr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ry Ann stopped by Mona’s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xtt" w:cs="txtt" w:eastAsia="txtt" w:hAnsi="txtt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We can solve this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problem with the use of the square braces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96075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 The regular expression 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/[1234567890]/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any single digit. While such</w:t>
        <w:br w:type="textWrapping"/>
        <w:t xml:space="preserve">classes of characters as digits or letters are important building blocks in expressions,</w:t>
        <w:br w:type="textWrapping"/>
        <w:t xml:space="preserve">they can get awkward (e.g., it’s inconvenient to specify</w:t>
        <w:br w:type="textWrapping"/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/[ABCDEFGHIJKLMNOPQRSTUVWXYZ]/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mean “any capital letter”). In cases where there is a well-defined sequence associated with a set of characters, the brackets can be used with the dash (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to specify any one character in a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9429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 The square braces can also be used to specify what a single character </w:t>
      </w:r>
      <w:r w:rsidDel="00000000" w:rsidR="00000000" w:rsidRPr="00000000">
        <w:rPr>
          <w:rFonts w:ascii="NimbusRomNo9L-ReguItal" w:cs="NimbusRomNo9L-ReguItal" w:eastAsia="NimbusRomNo9L-ReguItal" w:hAnsi="NimbusRomNo9L-ReguIt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be, by use of the caret </w:t>
      </w:r>
      <w:r w:rsidDel="00000000" w:rsidR="00000000" w:rsidRPr="00000000">
        <w:rPr>
          <w:rFonts w:ascii="txtt" w:cs="txtt" w:eastAsia="txtt" w:hAnsi="tx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If it occurs anywhere else, it usually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color w:val="000000"/>
          <w:sz w:val="20"/>
          <w:szCs w:val="20"/>
          <w:rtl w:val="0"/>
        </w:rPr>
        <w:t xml:space="preserve">stands for a caret.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17094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 The question mark as meaning “zero or one instances of the previous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64262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 The Kleene star means “zero or more occurrences of the immediately previous character or regular expression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1fob9te" w:id="2"/>
          <w:bookmarkEnd w:id="2"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/a*/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Any string of zero or more ‘a’s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a or aaaa or XYZ because XYZ has zero ‘a’s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/[ab]*/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 “zero or more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’s or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’s” (not</w:t>
              <w:br w:type="textWrapping"/>
              <w:t xml:space="preserve">“zero or more right square braces”)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aaaa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or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ababab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or</w:t>
              <w:br w:type="textWrapping"/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bbbb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color w:val="000000"/>
                <w:sz w:val="20"/>
                <w:szCs w:val="20"/>
                <w:rtl w:val="0"/>
              </w:rPr>
              <w:t xml:space="preserve"> or XYZ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 The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Kleene +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means “one or more occurrences of the immediately preceding</w:t>
        <w:br w:type="textWrapping"/>
        <w:t xml:space="preserve">character or regular expression”.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/[0-9]+/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 sequence of digits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1 or 12 or 123456789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 A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wildcard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expression that matches any single character (</w:t>
      </w:r>
      <w:r w:rsidDel="00000000" w:rsidR="00000000" w:rsidRPr="00000000">
        <w:rPr>
          <w:rFonts w:ascii="NimbusRomNo9L-ReguItal" w:cs="NimbusRomNo9L-ReguItal" w:eastAsia="NimbusRomNo9L-ReguItal" w:hAnsi="NimbusRomNo9L-ReguIt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carriage return)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56451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2972"/>
        <w:gridCol w:w="2973"/>
        <w:tblGridChange w:id="0">
          <w:tblGrid>
            <w:gridCol w:w="3045"/>
            <w:gridCol w:w="2972"/>
            <w:gridCol w:w="2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/aardvark.*aardvark/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aardvark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, appears twice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aardvark and aardvark’ or ‘aardvark abcdef aardvark’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 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Anchors </w:t>
      </w: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special characters that anchor regular expressions to particular places in a string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znysh7" w:id="3"/>
          <w:bookmarkEnd w:id="3"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^ -&gt; /^The/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only at the start of line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boy is reading this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/$ -&gt; /^The dog \.$/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 line that contains only the phrase The dog.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u w:val="single"/>
              </w:rPr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The dog.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\b -&gt; /\bthe\b/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Word ‘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 the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 ’ not word ‘other’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\B -&gt; /\BX\B/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Any X in word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Abcxyz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 not ‘ xyz’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 Word boundary: is not a digit, underscore, or letter. Ex: space, !, +, 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 The caret ^ has three uses: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match the start of a line (2.8)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indicate a negation inside of square brackets (2.3)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 to mean a caret.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NimbusRomNo9L-Medi" w:cs="NimbusRomNo9L-Medi" w:eastAsia="NimbusRomNo9L-Medi" w:hAnsi="NimbusRomNo9L-Med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Disjunction, Grouping, and Precedence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Disjunction </w:t>
      </w:r>
    </w:p>
    <w:p w:rsidR="00000000" w:rsidDel="00000000" w:rsidP="00000000" w:rsidRDefault="00000000" w:rsidRPr="00000000" w14:paraId="00000054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Since we can’t use the square brackets to search for “cat or dog” (why</w:t>
      </w:r>
      <w:r w:rsidDel="00000000" w:rsidR="00000000" w:rsidRPr="00000000">
        <w:rPr>
          <w:rFonts w:ascii="NimbusRomNo9L-Medi" w:cs="NimbusRomNo9L-Medi" w:eastAsia="NimbusRomNo9L-Medi" w:hAnsi="NimbusRomNo9L-Medi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can’t we say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/[catdog]/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?) (The PIPE symbol)</w:t>
      </w:r>
    </w:p>
    <w:p w:rsidR="00000000" w:rsidDel="00000000" w:rsidP="00000000" w:rsidRDefault="00000000" w:rsidRPr="00000000" w14:paraId="00000055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2et92p0" w:id="4"/>
          <w:bookmarkEnd w:id="4"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| -&gt; /cat|dog/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Either string cat or dog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Cat </w:t>
            </w:r>
            <w:r w:rsidDel="00000000" w:rsidR="00000000" w:rsidRPr="00000000">
              <w:rPr>
                <w:rtl w:val="0"/>
              </w:rPr>
              <w:t xml:space="preserve">and dog or ‘</w:t>
            </w:r>
            <w:r w:rsidDel="00000000" w:rsidR="00000000" w:rsidRPr="00000000">
              <w:rPr>
                <w:u w:val="single"/>
                <w:rtl w:val="0"/>
              </w:rPr>
              <w:t xml:space="preserve">cat’</w:t>
            </w:r>
            <w:r w:rsidDel="00000000" w:rsidR="00000000" w:rsidRPr="00000000">
              <w:rPr>
                <w:rtl w:val="0"/>
              </w:rPr>
              <w:t xml:space="preserve"> or ‘</w:t>
            </w:r>
            <w:r w:rsidDel="00000000" w:rsidR="00000000" w:rsidRPr="00000000">
              <w:rPr>
                <w:u w:val="single"/>
                <w:rtl w:val="0"/>
              </w:rPr>
              <w:t xml:space="preserve">dog’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Precedence</w:t>
      </w:r>
    </w:p>
    <w:p w:rsidR="00000000" w:rsidDel="00000000" w:rsidP="00000000" w:rsidRDefault="00000000" w:rsidRPr="00000000" w14:paraId="0000005D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How can I specify both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guppy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guppies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? We cannot simply say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/guppy|ies/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, because that would match only the strings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guppy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ies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360" w:firstLine="0"/>
        <w:rPr>
          <w:rFonts w:ascii="txtt" w:cs="txtt" w:eastAsia="txtt" w:hAnsi="txtt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So operators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 is enclosing a pattern in parentheses makes it act like a single character for the purposes of neighboring operators like the pipe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and the Kleene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*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Example pattern matched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 and ) -&gt; /gupp(y|ies) /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Any string has guppy or guppies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hd w:fill="fffadd" w:val="clear"/>
                <w:rtl w:val="0"/>
              </w:rPr>
              <w:t xml:space="preserve">How many live </w:t>
            </w:r>
            <w:hyperlink r:id="rId19">
              <w:r w:rsidDel="00000000" w:rsidR="00000000" w:rsidRPr="00000000">
                <w:rPr>
                  <w:rFonts w:ascii="Montserrat" w:cs="Montserrat" w:eastAsia="Montserrat" w:hAnsi="Montserrat"/>
                  <w:b w:val="1"/>
                  <w:i w:val="1"/>
                  <w:color w:val="0053f9"/>
                  <w:u w:val="single"/>
                  <w:shd w:fill="fffadd" w:val="clear"/>
                  <w:rtl w:val="0"/>
                </w:rPr>
                <w:t xml:space="preserve">guppies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color w:val="000000"/>
                <w:shd w:fill="fffadd" w:val="clear"/>
                <w:rtl w:val="0"/>
              </w:rPr>
              <w:t xml:space="preserve"> in the aquarium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/(Column [0-9]+ *)*/ not /Column [0-9]+ */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Match the word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, followed by a number and optional spaces, the whole pattern repeated zero or more times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Column 1 Column 2 Column 3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 or</w:t>
            </w:r>
          </w:p>
          <w:p w:rsidR="00000000" w:rsidDel="00000000" w:rsidP="00000000" w:rsidRDefault="00000000" w:rsidRPr="00000000" w14:paraId="00000068">
            <w:pPr>
              <w:rPr>
                <w:rFonts w:ascii="Montserrat" w:cs="Montserrat" w:eastAsia="Montserrat" w:hAnsi="Montserrat"/>
                <w:color w:val="000000"/>
                <w:u w:val="single"/>
                <w:shd w:fill="fffadd" w:val="clear"/>
              </w:rPr>
            </w:pP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Column 1 Column 2        Column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xtt" w:cs="txtt" w:eastAsia="txtt" w:hAnsi="txt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 The following table gives the order of RE operator precedence, from highest precedence to lowest precedence.</w:t>
      </w:r>
    </w:p>
    <w:p w:rsidR="00000000" w:rsidDel="00000000" w:rsidP="00000000" w:rsidRDefault="00000000" w:rsidRPr="00000000" w14:paraId="0000006B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</w:rPr>
        <w:drawing>
          <wp:inline distB="0" distT="0" distL="0" distR="0">
            <wp:extent cx="4820323" cy="1428949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491"/>
        <w:tblGridChange w:id="0">
          <w:tblGrid>
            <w:gridCol w:w="4499"/>
            <w:gridCol w:w="44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counters have a higher precedence than sequences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/the*/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matches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theeeee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but not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thethe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sequences have a higher precedence than disjunction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xtt" w:cs="txtt" w:eastAsia="txtt" w:hAnsi="txtt"/>
                <w:color w:val="000000"/>
                <w:sz w:val="20"/>
                <w:szCs w:val="20"/>
                <w:rtl w:val="0"/>
              </w:rPr>
              <w:t xml:space="preserve">/the|any/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matches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or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any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but not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thany </w:t>
            </w: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or </w:t>
            </w:r>
            <w:r w:rsidDel="00000000" w:rsidR="00000000" w:rsidRPr="00000000">
              <w:rPr>
                <w:rFonts w:ascii="NimbusRomNo9L-ReguItal" w:cs="NimbusRomNo9L-ReguItal" w:eastAsia="NimbusRomNo9L-ReguItal" w:hAnsi="NimbusRomNo9L-ReguItal"/>
                <w:i w:val="1"/>
                <w:color w:val="000000"/>
                <w:sz w:val="20"/>
                <w:szCs w:val="20"/>
                <w:rtl w:val="0"/>
              </w:rPr>
              <w:t xml:space="preserve">theny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Simple example:</w:t>
      </w:r>
    </w:p>
    <w:p w:rsidR="00000000" w:rsidDel="00000000" w:rsidP="00000000" w:rsidRDefault="00000000" w:rsidRPr="00000000" w14:paraId="00000074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Suppose we wanted to write a RE to find cases of the English article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. A simple</w:t>
        <w:br w:type="textWrapping"/>
        <w:t xml:space="preserve">(but incorrect) pattern might be:</w:t>
        <w:br w:type="textWrapping"/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/the/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One problem is that this pattern will miss the word when it begins a sentence and</w:t>
        <w:br w:type="textWrapping"/>
        <w:t xml:space="preserve">hence is capitalized (i.e.,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). This might lead us to the following pattern:</w:t>
        <w:br w:type="textWrapping"/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/[tT]he/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But we will still incorrectly return texts with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embedded in other words (e.g.,</w:t>
        <w:br w:type="textWrapping"/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other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theology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). So we need to specify that we want instances with a word boundary on both sides:</w:t>
        <w:br w:type="textWrapping"/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/\b[tT]he\b/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Suppose we wanted to do this without the use of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/\b/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. We might want this since</w:t>
        <w:br w:type="textWrapping"/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/\b/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won’t treat underscores and numbers as word boundaries; but we might want</w:t>
        <w:br w:type="textWrapping"/>
        <w:t xml:space="preserve">to find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in some context where it might also have underlines or numbers nearby</w:t>
        <w:br w:type="textWrapping"/>
        <w:t xml:space="preserve">(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the25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). We need to specify that we want instances in which there are no</w:t>
        <w:br w:type="textWrapping"/>
        <w:t xml:space="preserve">alphabetic letters on either side of the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/[^a-zA-Z][tT]he[^a-zA-Z]/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But there is still one more problem with this pattern: it won’t find the word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  <w:br w:type="textWrapping"/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when it begins a line. This is because the regular expression </w:t>
      </w: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[^a-zA-Z]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, which</w:t>
        <w:br w:type="textWrapping"/>
        <w:t xml:space="preserve">we used to avoid embedded instances of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, implies that there must be some single</w:t>
        <w:br w:type="textWrapping"/>
        <w:t xml:space="preserve">(although non-alphabetic) character before the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. We can avoid this by specifying that before the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we require </w:t>
      </w:r>
      <w:r w:rsidDel="00000000" w:rsidR="00000000" w:rsidRPr="00000000">
        <w:rPr>
          <w:rFonts w:ascii="NimbusRomNo9L-ReguItal" w:cs="NimbusRomNo9L-ReguItal" w:eastAsia="NimbusRomNo9L-ReguItal" w:hAnsi="NimbusRomNo9L-ReguItal"/>
          <w:i w:val="1"/>
          <w:color w:val="000000"/>
          <w:sz w:val="20"/>
          <w:szCs w:val="20"/>
          <w:rtl w:val="0"/>
        </w:rPr>
        <w:t xml:space="preserve">either </w:t>
      </w: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the beginning-of-line or a non-alphabetic</w:t>
        <w:br w:type="textWrapping"/>
        <w:t xml:space="preserve">character, and the same at the end of the line:</w:t>
      </w:r>
    </w:p>
    <w:p w:rsidR="00000000" w:rsidDel="00000000" w:rsidP="00000000" w:rsidRDefault="00000000" w:rsidRPr="00000000" w14:paraId="00000075">
      <w:pPr>
        <w:ind w:left="360" w:firstLine="0"/>
        <w:rPr>
          <w:rFonts w:ascii="txtt" w:cs="txtt" w:eastAsia="txtt" w:hAnsi="txtt"/>
          <w:color w:val="000000"/>
          <w:sz w:val="20"/>
          <w:szCs w:val="20"/>
        </w:rPr>
      </w:pPr>
      <w:r w:rsidDel="00000000" w:rsidR="00000000" w:rsidRPr="00000000">
        <w:rPr>
          <w:rFonts w:ascii="txtt" w:cs="txtt" w:eastAsia="txtt" w:hAnsi="txtt"/>
          <w:color w:val="000000"/>
          <w:sz w:val="20"/>
          <w:szCs w:val="20"/>
          <w:rtl w:val="0"/>
        </w:rPr>
        <w:t xml:space="preserve">/(^|[^a-zA-Z])[tT]he([^a-zA-Z]|$)/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imbusRomNo9L-Regu" w:cs="NimbusRomNo9L-Regu" w:eastAsia="NimbusRomNo9L-Regu" w:hAnsi="NimbusRomNo9L-Reg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operators</w:t>
      </w:r>
    </w:p>
    <w:p w:rsidR="00000000" w:rsidDel="00000000" w:rsidP="00000000" w:rsidRDefault="00000000" w:rsidRPr="00000000" w14:paraId="00000077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</w:rPr>
        <w:drawing>
          <wp:inline distB="0" distT="0" distL="0" distR="0">
            <wp:extent cx="5943600" cy="156654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</w:rPr>
        <w:drawing>
          <wp:inline distB="0" distT="0" distL="0" distR="0">
            <wp:extent cx="5943600" cy="175133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</w:rPr>
        <w:drawing>
          <wp:inline distB="0" distT="0" distL="0" distR="0">
            <wp:extent cx="5943600" cy="13366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Character classes:</w:t>
      </w:r>
    </w:p>
    <w:tbl>
      <w:tblPr>
        <w:tblStyle w:val="Table9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7"/>
        <w:gridCol w:w="4503"/>
        <w:tblGridChange w:id="0">
          <w:tblGrid>
            <w:gridCol w:w="4487"/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any character except newline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\w\d\s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word, digit, whitespace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\W\D\S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 word, digit, whitespace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[abc]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any of a, b, or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[^abc]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 a, b, or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[a-g]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character between a &amp; 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Anchors:</w:t>
      </w:r>
    </w:p>
    <w:tbl>
      <w:tblPr>
        <w:tblStyle w:val="Table10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7"/>
        <w:gridCol w:w="4503"/>
        <w:tblGridChange w:id="0">
          <w:tblGrid>
            <w:gridCol w:w="4487"/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^abc$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start / end of the 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\b \B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word, not-word boundary</w:t>
            </w:r>
          </w:p>
        </w:tc>
      </w:tr>
    </w:tbl>
    <w:p w:rsidR="00000000" w:rsidDel="00000000" w:rsidP="00000000" w:rsidRDefault="00000000" w:rsidRPr="00000000" w14:paraId="0000008F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Escaped characters:</w:t>
      </w:r>
    </w:p>
    <w:tbl>
      <w:tblPr>
        <w:tblStyle w:val="Table1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9"/>
        <w:gridCol w:w="4511"/>
        <w:tblGridChange w:id="0">
          <w:tblGrid>
            <w:gridCol w:w="4479"/>
            <w:gridCol w:w="45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\. \* \\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Escaped special characters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\t \n \r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tab, feed line, carriage return</w:t>
            </w:r>
          </w:p>
        </w:tc>
      </w:tr>
    </w:tbl>
    <w:p w:rsidR="00000000" w:rsidDel="00000000" w:rsidP="00000000" w:rsidRDefault="00000000" w:rsidRPr="00000000" w14:paraId="00000095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Group &amp; Lookaround:</w:t>
      </w:r>
    </w:p>
    <w:tbl>
      <w:tblPr>
        <w:tblStyle w:val="Table12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0"/>
        <w:gridCol w:w="4510"/>
        <w:tblGridChange w:id="0">
          <w:tblGrid>
            <w:gridCol w:w="4480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(abc)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capture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\1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Backreference to group #1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(?:abc)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Non-capturing 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(?=abc)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Positive lookahead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(?!abc)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Negative lookahead</w:t>
            </w:r>
          </w:p>
        </w:tc>
      </w:tr>
    </w:tbl>
    <w:p w:rsidR="00000000" w:rsidDel="00000000" w:rsidP="00000000" w:rsidRDefault="00000000" w:rsidRPr="00000000" w14:paraId="000000A1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firstLine="0"/>
        <w:rPr>
          <w:rFonts w:ascii="NimbusRomNo9L-Regu" w:cs="NimbusRomNo9L-Regu" w:eastAsia="NimbusRomNo9L-Regu" w:hAnsi="NimbusRomNo9L-Regu"/>
          <w:color w:val="000000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color w:val="000000"/>
          <w:sz w:val="20"/>
          <w:szCs w:val="20"/>
          <w:rtl w:val="0"/>
        </w:rPr>
        <w:t xml:space="preserve">Quantifiers &amp; Alternation:</w:t>
      </w:r>
    </w:p>
    <w:tbl>
      <w:tblPr>
        <w:tblStyle w:val="Table13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501"/>
        <w:tblGridChange w:id="0">
          <w:tblGrid>
            <w:gridCol w:w="4489"/>
            <w:gridCol w:w="45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a* a+ a?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0 or more, 1 or more, 0 or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a{5} a{2,}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Exactly five, two or more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a{1,3}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Between one &amp; three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a+? a{2,}?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Match as few as possible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ab|cd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NimbusRomNo9L-Regu" w:cs="NimbusRomNo9L-Regu" w:eastAsia="NimbusRomNo9L-Regu" w:hAnsi="NimbusRomNo9L-Regu"/>
                <w:color w:val="000000"/>
                <w:sz w:val="20"/>
                <w:szCs w:val="20"/>
                <w:rtl w:val="0"/>
              </w:rPr>
              <w:t xml:space="preserve">Match ab or cd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Khun content thuyết trình:</w:t>
      </w:r>
    </w:p>
    <w:p w:rsidR="00000000" w:rsidDel="00000000" w:rsidP="00000000" w:rsidRDefault="00000000" w:rsidRPr="00000000" w14:paraId="000000AF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Parenthesis - Dấu ngoặc đơn</w:t>
      </w:r>
    </w:p>
    <w:p w:rsidR="00000000" w:rsidDel="00000000" w:rsidP="00000000" w:rsidRDefault="00000000" w:rsidRPr="00000000" w14:paraId="000000B0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Disjunction - Dấu gạch dọc</w:t>
      </w:r>
    </w:p>
    <w:p w:rsidR="00000000" w:rsidDel="00000000" w:rsidP="00000000" w:rsidRDefault="00000000" w:rsidRPr="00000000" w14:paraId="000000B1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What are Regular Expression</w:t>
      </w:r>
    </w:p>
    <w:p w:rsidR="00000000" w:rsidDel="00000000" w:rsidP="00000000" w:rsidRDefault="00000000" w:rsidRPr="00000000" w14:paraId="000000B3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--------&gt; Used for matching,searching and replace</w:t>
      </w:r>
    </w:p>
    <w:p w:rsidR="00000000" w:rsidDel="00000000" w:rsidP="00000000" w:rsidRDefault="00000000" w:rsidRPr="00000000" w14:paraId="000000B4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What is "Matches"</w:t>
      </w:r>
    </w:p>
    <w:p w:rsidR="00000000" w:rsidDel="00000000" w:rsidP="00000000" w:rsidRDefault="00000000" w:rsidRPr="00000000" w14:paraId="000000B6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a text matches a regular expression if it is correctly </w:t>
      </w:r>
    </w:p>
    <w:p w:rsidR="00000000" w:rsidDel="00000000" w:rsidP="00000000" w:rsidRDefault="00000000" w:rsidRPr="00000000" w14:paraId="000000B7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described by the regex</w:t>
      </w:r>
    </w:p>
    <w:p w:rsidR="00000000" w:rsidDel="00000000" w:rsidP="00000000" w:rsidRDefault="00000000" w:rsidRPr="00000000" w14:paraId="000000B8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"car" matches "car"</w:t>
      </w:r>
    </w:p>
    <w:p w:rsidR="00000000" w:rsidDel="00000000" w:rsidP="00000000" w:rsidRDefault="00000000" w:rsidRPr="00000000" w14:paraId="000000BB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"car" also matches the first three letters in "cartoon"</w:t>
      </w:r>
    </w:p>
    <w:p w:rsidR="00000000" w:rsidDel="00000000" w:rsidP="00000000" w:rsidRDefault="00000000" w:rsidRPr="00000000" w14:paraId="000000BC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"car" does not match "c_a_r"</w:t>
      </w:r>
    </w:p>
    <w:p w:rsidR="00000000" w:rsidDel="00000000" w:rsidP="00000000" w:rsidRDefault="00000000" w:rsidRPr="00000000" w14:paraId="000000BD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Case-sensitive (by default): "car" does not match "Car"</w:t>
      </w:r>
    </w:p>
    <w:p w:rsidR="00000000" w:rsidDel="00000000" w:rsidP="00000000" w:rsidRDefault="00000000" w:rsidRPr="00000000" w14:paraId="000000BE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Trong basic regular</w:t>
      </w:r>
    </w:p>
    <w:p w:rsidR="00000000" w:rsidDel="00000000" w:rsidP="00000000" w:rsidRDefault="00000000" w:rsidRPr="00000000" w14:paraId="000000C0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The wildcard Character</w:t>
      </w:r>
    </w:p>
    <w:p w:rsidR="00000000" w:rsidDel="00000000" w:rsidP="00000000" w:rsidRDefault="00000000" w:rsidRPr="00000000" w14:paraId="000000C2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Escaping Metacharacter</w:t>
      </w:r>
    </w:p>
    <w:p w:rsidR="00000000" w:rsidDel="00000000" w:rsidP="00000000" w:rsidRDefault="00000000" w:rsidRPr="00000000" w14:paraId="000000C3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Other special characters</w:t>
      </w:r>
    </w:p>
    <w:p w:rsidR="00000000" w:rsidDel="00000000" w:rsidP="00000000" w:rsidRDefault="00000000" w:rsidRPr="00000000" w14:paraId="000000C4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Tabs: \t</w:t>
      </w:r>
    </w:p>
    <w:p w:rsidR="00000000" w:rsidDel="00000000" w:rsidP="00000000" w:rsidRDefault="00000000" w:rsidRPr="00000000" w14:paraId="000000C5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Line returns: \r (line return), \n (newline), \r\n</w:t>
      </w:r>
    </w:p>
    <w:p w:rsidR="00000000" w:rsidDel="00000000" w:rsidP="00000000" w:rsidRDefault="00000000" w:rsidRPr="00000000" w14:paraId="000000C6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Unicode codes: \u00A9</w:t>
      </w:r>
    </w:p>
    <w:p w:rsidR="00000000" w:rsidDel="00000000" w:rsidP="00000000" w:rsidRDefault="00000000" w:rsidRPr="00000000" w14:paraId="000000C7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ASCII codes: \x00A9</w:t>
      </w:r>
    </w:p>
    <w:p w:rsidR="00000000" w:rsidDel="00000000" w:rsidP="00000000" w:rsidRDefault="00000000" w:rsidRPr="00000000" w14:paraId="000000C8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Character sets</w:t>
      </w:r>
    </w:p>
    <w:p w:rsidR="00000000" w:rsidDel="00000000" w:rsidP="00000000" w:rsidRDefault="00000000" w:rsidRPr="00000000" w14:paraId="000000C9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Character ranges</w:t>
      </w:r>
    </w:p>
    <w:p w:rsidR="00000000" w:rsidDel="00000000" w:rsidP="00000000" w:rsidRDefault="00000000" w:rsidRPr="00000000" w14:paraId="000000CA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Shorthand character sets</w:t>
      </w:r>
    </w:p>
    <w:p w:rsidR="00000000" w:rsidDel="00000000" w:rsidP="00000000" w:rsidRDefault="00000000" w:rsidRPr="00000000" w14:paraId="000000CB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Negative Character sets</w:t>
      </w:r>
    </w:p>
    <w:p w:rsidR="00000000" w:rsidDel="00000000" w:rsidP="00000000" w:rsidRDefault="00000000" w:rsidRPr="00000000" w14:paraId="000000CC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Nằm trong phần Advanced</w:t>
      </w:r>
    </w:p>
    <w:p w:rsidR="00000000" w:rsidDel="00000000" w:rsidP="00000000" w:rsidRDefault="00000000" w:rsidRPr="00000000" w14:paraId="000000CE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Repetition</w:t>
      </w:r>
    </w:p>
    <w:p w:rsidR="00000000" w:rsidDel="00000000" w:rsidP="00000000" w:rsidRDefault="00000000" w:rsidRPr="00000000" w14:paraId="000000D0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Quantified Repetition</w:t>
      </w:r>
    </w:p>
    <w:p w:rsidR="00000000" w:rsidDel="00000000" w:rsidP="00000000" w:rsidRDefault="00000000" w:rsidRPr="00000000" w14:paraId="000000D1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Greedy Expressions</w:t>
      </w:r>
    </w:p>
    <w:p w:rsidR="00000000" w:rsidDel="00000000" w:rsidP="00000000" w:rsidRDefault="00000000" w:rsidRPr="00000000" w14:paraId="000000D2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Fonts w:ascii="NimbusRomNo9L-Regu" w:cs="NimbusRomNo9L-Regu" w:eastAsia="NimbusRomNo9L-Regu" w:hAnsi="NimbusRomNo9L-Regu"/>
          <w:sz w:val="20"/>
          <w:szCs w:val="20"/>
          <w:rtl w:val="0"/>
        </w:rPr>
        <w:t xml:space="preserve">Greedy Expressions</w:t>
      </w:r>
    </w:p>
    <w:p w:rsidR="00000000" w:rsidDel="00000000" w:rsidP="00000000" w:rsidRDefault="00000000" w:rsidRPr="00000000" w14:paraId="000000D3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NimbusRomNo9L-Regu" w:cs="NimbusRomNo9L-Regu" w:eastAsia="NimbusRomNo9L-Regu" w:hAnsi="NimbusRomNo9L-Regu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imbusRomNo9L-Regu"/>
  <w:font w:name="NimbusRomNo9L-Medi"/>
  <w:font w:name="txt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imbusRomNo9L-ReguIt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7AC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290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B2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2900"/>
    <w:rPr>
      <w:color w:val="605e5c"/>
      <w:shd w:color="auto" w:fill="e1dfdd" w:val="clear"/>
    </w:rPr>
  </w:style>
  <w:style w:type="character" w:styleId="fontstyle01" w:customStyle="1">
    <w:name w:val="fontstyle01"/>
    <w:basedOn w:val="DefaultParagraphFont"/>
    <w:rsid w:val="003B2900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fontstyle21" w:customStyle="1">
    <w:name w:val="fontstyle21"/>
    <w:basedOn w:val="DefaultParagraphFont"/>
    <w:rsid w:val="003B2900"/>
    <w:rPr>
      <w:rFonts w:ascii="NimbusRomNo9L-Medi" w:hAnsi="NimbusRomNo9L-Medi" w:hint="default"/>
      <w:b w:val="1"/>
      <w:bCs w:val="1"/>
      <w:i w:val="0"/>
      <w:iCs w:val="0"/>
      <w:color w:val="0000ff"/>
      <w:sz w:val="14"/>
      <w:szCs w:val="14"/>
    </w:rPr>
  </w:style>
  <w:style w:type="table" w:styleId="TableGrid">
    <w:name w:val="Table Grid"/>
    <w:basedOn w:val="TableNormal"/>
    <w:uiPriority w:val="39"/>
    <w:rsid w:val="00885A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31" w:customStyle="1">
    <w:name w:val="fontstyle31"/>
    <w:basedOn w:val="DefaultParagraphFont"/>
    <w:rsid w:val="006C1EC0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styleId="fontstyle41" w:customStyle="1">
    <w:name w:val="fontstyle41"/>
    <w:basedOn w:val="DefaultParagraphFont"/>
    <w:rsid w:val="006C1EC0"/>
    <w:rPr>
      <w:rFonts w:ascii="NimbusRomNo9L-ReguItal" w:hAnsi="NimbusRomNo9L-ReguItal" w:hint="default"/>
      <w:b w:val="0"/>
      <w:bCs w:val="0"/>
      <w:i w:val="1"/>
      <w:iCs w:val="1"/>
      <w:color w:val="000000"/>
      <w:sz w:val="20"/>
      <w:szCs w:val="20"/>
    </w:rPr>
  </w:style>
  <w:style w:type="character" w:styleId="fontstyle11" w:customStyle="1">
    <w:name w:val="fontstyle11"/>
    <w:basedOn w:val="DefaultParagraphFont"/>
    <w:rsid w:val="00F42B76"/>
    <w:rPr>
      <w:rFonts w:ascii="NimbusRomNo9L-Medi" w:hAnsi="NimbusRomNo9L-Medi" w:hint="default"/>
      <w:b w:val="1"/>
      <w:bCs w:val="1"/>
      <w:i w:val="0"/>
      <w:iCs w:val="0"/>
      <w:color w:val="0000ff"/>
      <w:sz w:val="14"/>
      <w:szCs w:val="14"/>
    </w:rPr>
  </w:style>
  <w:style w:type="character" w:styleId="Emphasis">
    <w:name w:val="Emphasis"/>
    <w:basedOn w:val="DefaultParagraphFont"/>
    <w:uiPriority w:val="20"/>
    <w:qFormat w:val="1"/>
    <w:rsid w:val="00C82CFA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669B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en.wikipedia.org/wiki/POSIX" TargetMode="External"/><Relationship Id="rId22" Type="http://schemas.openxmlformats.org/officeDocument/2006/relationships/image" Target="media/image6.png"/><Relationship Id="rId10" Type="http://schemas.openxmlformats.org/officeDocument/2006/relationships/hyperlink" Target="https://en.wikipedia.org/wiki/Syntax_(programming_languages)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www.youtube.com/watch?v=528Jc3q86F8" TargetMode="External"/><Relationship Id="rId12" Type="http://schemas.openxmlformats.org/officeDocument/2006/relationships/hyperlink" Target="https://en.wikipedia.org/wiki/Perl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Unix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tr-ex.me/d%E1%BB%8Bch/ti%E1%BA%BFng+anh-ti%E1%BA%BFng+vi%E1%BB%87t/guppies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yperlink" Target="https://en.wikipedia.org/wiki/Stephen_Cole_Kleene" TargetMode="External"/><Relationship Id="rId8" Type="http://schemas.openxmlformats.org/officeDocument/2006/relationships/hyperlink" Target="https://en.wikipedia.org/wiki/Regular_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Wem7pLpIapQt+m24p0fRUILgEw==">AMUW2mULET8WYWyDEv2kj5EbYHTXKkVkDASB0d/tG9AVubryysv6cbTM6beseJvYGapKH9MtxBBNksW73jzhwVxn21cxv9kxRHxFEttksy6rJ2V08Lob2ZOo1JsT2dqkF7X5ra2dY5ghp97VctDn2xlWvmDQD+Yl3R9XipKIyKKkiuAZfBwxZfYG57ujBp05GFlbKd89mLwE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2022-10-06T12:06:00Z</dcterms:created>
  <dc:creator>Lê Trần Quốc Khánh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d0a23ae5-b96c-4779-b0cd-0c03aadd2d73</vt:lpwstr>
  </property>
</Properties>
</file>