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4CE" w:rsidRPr="00E23F69" w:rsidRDefault="00517A45" w:rsidP="001204CE">
      <w:pPr>
        <w:jc w:val="center"/>
        <w:outlineLvl w:val="0"/>
        <w:rPr>
          <w:rFonts w:ascii="Times New Roman" w:hAnsi="Times New Roman" w:cs="Times New Roman"/>
          <w:b/>
        </w:rPr>
      </w:pPr>
      <w:r>
        <w:rPr>
          <w:rFonts w:ascii="Times New Roman" w:hAnsi="Times New Roman" w:cs="Times New Roman"/>
          <w:b/>
        </w:rPr>
        <w:t>PREINFORME DE ACTIVIDADES</w:t>
      </w:r>
    </w:p>
    <w:p w:rsidR="00517A45" w:rsidRPr="003439DD" w:rsidRDefault="00517A45" w:rsidP="00517A45">
      <w:pPr>
        <w:pStyle w:val="Ttulo1"/>
        <w:jc w:val="center"/>
        <w:rPr>
          <w:color w:val="auto"/>
        </w:rPr>
      </w:pPr>
      <w:r w:rsidRPr="003439DD">
        <w:rPr>
          <w:color w:val="auto"/>
        </w:rPr>
        <w:t>Proyecto de diseño de software para corrección en el cálculo de volúmenes para tanques de almacenamiento de combustible.</w:t>
      </w:r>
    </w:p>
    <w:p w:rsidR="001204CE" w:rsidRPr="00E23F69" w:rsidRDefault="001204CE" w:rsidP="001204CE">
      <w:pPr>
        <w:spacing w:line="240" w:lineRule="auto"/>
        <w:jc w:val="center"/>
        <w:rPr>
          <w:rFonts w:ascii="Times New Roman" w:hAnsi="Times New Roman" w:cs="Times New Roman"/>
          <w:b/>
        </w:rPr>
      </w:pPr>
    </w:p>
    <w:p w:rsidR="00517A45" w:rsidRDefault="00517A45" w:rsidP="00517A45">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Ing. Christian David Moreno Uribe</w:t>
      </w:r>
    </w:p>
    <w:p w:rsidR="00517A45" w:rsidRPr="007B2F01" w:rsidRDefault="00517A45" w:rsidP="00517A45">
      <w:pPr>
        <w:autoSpaceDE w:val="0"/>
        <w:autoSpaceDN w:val="0"/>
        <w:adjustRightInd w:val="0"/>
        <w:spacing w:after="0" w:line="240" w:lineRule="auto"/>
        <w:jc w:val="center"/>
        <w:rPr>
          <w:rFonts w:ascii="Times New Roman" w:hAnsi="Times New Roman" w:cs="Times New Roman"/>
        </w:rPr>
      </w:pPr>
      <w:r w:rsidRPr="007B2F01">
        <w:rPr>
          <w:rFonts w:ascii="Times New Roman" w:hAnsi="Times New Roman" w:cs="Times New Roman"/>
        </w:rPr>
        <w:t>Fecha: 6 de Septiembre del 2017</w:t>
      </w:r>
    </w:p>
    <w:p w:rsidR="001204CE" w:rsidRPr="007B2F01" w:rsidRDefault="001204CE" w:rsidP="001204CE">
      <w:pPr>
        <w:autoSpaceDE w:val="0"/>
        <w:autoSpaceDN w:val="0"/>
        <w:adjustRightInd w:val="0"/>
        <w:spacing w:after="0" w:line="240" w:lineRule="auto"/>
        <w:jc w:val="center"/>
        <w:rPr>
          <w:rFonts w:ascii="Times New Roman" w:hAnsi="Times New Roman" w:cs="Times New Roman"/>
        </w:rPr>
      </w:pPr>
    </w:p>
    <w:p w:rsidR="001E24B2" w:rsidRPr="007B2F01" w:rsidRDefault="001E24B2">
      <w:pPr>
        <w:rPr>
          <w:rFonts w:ascii="Times New Roman" w:hAnsi="Times New Roman" w:cs="Times New Roman"/>
        </w:rPr>
      </w:pPr>
    </w:p>
    <w:p w:rsidR="001204CE" w:rsidRPr="007B2F01" w:rsidRDefault="001204CE">
      <w:pPr>
        <w:rPr>
          <w:rFonts w:ascii="Times New Roman" w:hAnsi="Times New Roman" w:cs="Times New Roman"/>
          <w:b/>
          <w:i/>
        </w:rPr>
      </w:pPr>
      <w:r w:rsidRPr="007B2F01">
        <w:rPr>
          <w:rFonts w:ascii="Times New Roman" w:hAnsi="Times New Roman" w:cs="Times New Roman"/>
          <w:b/>
          <w:i/>
        </w:rPr>
        <w:t>Resumen</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sz w:val="20"/>
          <w:szCs w:val="20"/>
        </w:rPr>
        <w:t>Los tanques de almacenamiento de combustible están sometidos a factores externos que pueden llegar a alterar de manera significativa su estado estable, por ende cuando uno de estos cambios se da, es necesario hacer una corrección que tenga en cuenta el ángulo de inclinación del tanque en cuestión</w:t>
      </w:r>
      <w:r w:rsidR="00442BE6">
        <w:rPr>
          <w:rFonts w:ascii="Times New Roman" w:hAnsi="Times New Roman" w:cs="Times New Roman"/>
          <w:sz w:val="20"/>
          <w:szCs w:val="20"/>
        </w:rPr>
        <w:t xml:space="preserve"> para una c</w:t>
      </w:r>
      <w:r w:rsidR="00442BE6" w:rsidRPr="007B2F01">
        <w:rPr>
          <w:rFonts w:ascii="Times New Roman" w:hAnsi="Times New Roman" w:cs="Times New Roman"/>
          <w:sz w:val="20"/>
          <w:szCs w:val="20"/>
        </w:rPr>
        <w:t>orrecta</w:t>
      </w:r>
      <w:r w:rsidRPr="007B2F01">
        <w:rPr>
          <w:rFonts w:ascii="Times New Roman" w:hAnsi="Times New Roman" w:cs="Times New Roman"/>
          <w:sz w:val="20"/>
          <w:szCs w:val="20"/>
        </w:rPr>
        <w:t xml:space="preserve"> estimación del volumen de combustible dentro de él. Es por esta razón que el software </w:t>
      </w:r>
      <w:r w:rsidRPr="007B2F01">
        <w:rPr>
          <w:rFonts w:ascii="Times New Roman" w:hAnsi="Times New Roman" w:cs="Times New Roman"/>
          <w:b/>
          <w:i/>
          <w:sz w:val="20"/>
          <w:szCs w:val="20"/>
        </w:rPr>
        <w:t>CITAC</w:t>
      </w:r>
      <w:r w:rsidRPr="007B2F01">
        <w:rPr>
          <w:rFonts w:ascii="Times New Roman" w:hAnsi="Times New Roman" w:cs="Times New Roman"/>
          <w:sz w:val="20"/>
          <w:szCs w:val="20"/>
        </w:rPr>
        <w:t xml:space="preserve"> fue desarrollado.</w:t>
      </w:r>
    </w:p>
    <w:p w:rsidR="00665DAA" w:rsidRPr="007B2F01" w:rsidRDefault="00517A45" w:rsidP="00E84C4A">
      <w:pPr>
        <w:jc w:val="both"/>
        <w:rPr>
          <w:rFonts w:ascii="Times New Roman" w:hAnsi="Times New Roman" w:cs="Times New Roman"/>
          <w:sz w:val="20"/>
          <w:szCs w:val="20"/>
        </w:rPr>
      </w:pPr>
      <w:r w:rsidRPr="007B2F01">
        <w:rPr>
          <w:rFonts w:ascii="Times New Roman" w:hAnsi="Times New Roman" w:cs="Times New Roman"/>
          <w:b/>
          <w:i/>
          <w:sz w:val="20"/>
          <w:szCs w:val="20"/>
        </w:rPr>
        <w:t>CITAC</w:t>
      </w:r>
      <w:r w:rsidRPr="007B2F01">
        <w:rPr>
          <w:rFonts w:ascii="Times New Roman" w:hAnsi="Times New Roman" w:cs="Times New Roman"/>
          <w:sz w:val="20"/>
          <w:szCs w:val="20"/>
        </w:rPr>
        <w:t xml:space="preserve">: por sus siglas Corrección de Inclinación en Tanques de Almacenamiento de Combustible, utiliza modelos matemáticos con aproximaciones a tramos con funciones polinómicas de octavo grado, para determinar los volúmenes de combustible dentro del </w:t>
      </w:r>
      <w:bookmarkStart w:id="0" w:name="_GoBack"/>
      <w:r w:rsidRPr="00442BE6">
        <w:rPr>
          <w:rFonts w:ascii="Times New Roman" w:hAnsi="Times New Roman" w:cs="Times New Roman"/>
          <w:sz w:val="20"/>
          <w:szCs w:val="20"/>
        </w:rPr>
        <w:t>tanque</w:t>
      </w:r>
      <w:r w:rsidRPr="007B2F01">
        <w:rPr>
          <w:rFonts w:ascii="Times New Roman" w:hAnsi="Times New Roman" w:cs="Times New Roman"/>
          <w:sz w:val="20"/>
          <w:szCs w:val="20"/>
        </w:rPr>
        <w:t xml:space="preserve"> </w:t>
      </w:r>
      <w:bookmarkEnd w:id="0"/>
      <w:r w:rsidRPr="007B2F01">
        <w:rPr>
          <w:rFonts w:ascii="Times New Roman" w:hAnsi="Times New Roman" w:cs="Times New Roman"/>
          <w:sz w:val="20"/>
          <w:szCs w:val="20"/>
        </w:rPr>
        <w:t xml:space="preserve">teniendo en cuenta las desviaciones del sistema por sus cambios en inclinación. El sistema cuenta con la posibilidad de incluir para cada tanque una función característica diferente dependiente de su geometría original y por medio de las funciones de transferencia calculadas anteriormente se estiman los valores de volumen para las alturas medidas luego de determinar los factores de </w:t>
      </w:r>
      <w:r w:rsidRPr="007B2F01">
        <w:rPr>
          <w:rFonts w:ascii="Times New Roman" w:hAnsi="Times New Roman" w:cs="Times New Roman"/>
          <w:sz w:val="20"/>
          <w:szCs w:val="20"/>
        </w:rPr>
        <w:t>corrección.</w:t>
      </w:r>
    </w:p>
    <w:p w:rsidR="00517A45" w:rsidRPr="007B2F01" w:rsidRDefault="00517A45" w:rsidP="00E84C4A">
      <w:pPr>
        <w:jc w:val="both"/>
        <w:rPr>
          <w:rFonts w:ascii="Times New Roman" w:hAnsi="Times New Roman" w:cs="Times New Roman"/>
          <w:sz w:val="20"/>
          <w:szCs w:val="20"/>
        </w:rPr>
      </w:pPr>
    </w:p>
    <w:p w:rsidR="00517A45" w:rsidRPr="007B2F01" w:rsidRDefault="00517A45" w:rsidP="00E84C4A">
      <w:pPr>
        <w:jc w:val="both"/>
        <w:rPr>
          <w:rFonts w:ascii="Times New Roman" w:hAnsi="Times New Roman" w:cs="Times New Roman"/>
          <w:sz w:val="20"/>
          <w:szCs w:val="20"/>
        </w:rPr>
        <w:sectPr w:rsidR="00517A45" w:rsidRPr="007B2F01" w:rsidSect="007B2F01">
          <w:type w:val="continuous"/>
          <w:pgSz w:w="11906" w:h="16838"/>
          <w:pgMar w:top="1417" w:right="1701" w:bottom="1417" w:left="1701" w:header="708" w:footer="708" w:gutter="0"/>
          <w:cols w:space="708"/>
          <w:docGrid w:linePitch="360"/>
        </w:sectPr>
      </w:pPr>
      <w:r w:rsidRPr="007B2F01">
        <w:rPr>
          <w:rFonts w:ascii="Times New Roman" w:hAnsi="Times New Roman" w:cs="Times New Roman"/>
          <w:noProof/>
          <w:sz w:val="20"/>
          <w:szCs w:val="20"/>
          <w:lang w:eastAsia="es-CO"/>
        </w:rPr>
        <w:drawing>
          <wp:inline distT="0" distB="0" distL="0" distR="0" wp14:anchorId="48F0F4C9" wp14:editId="5EEB9D75">
            <wp:extent cx="5400040" cy="24055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405517"/>
                    </a:xfrm>
                    <a:prstGeom prst="rect">
                      <a:avLst/>
                    </a:prstGeom>
                  </pic:spPr>
                </pic:pic>
              </a:graphicData>
            </a:graphic>
          </wp:inline>
        </w:drawing>
      </w:r>
    </w:p>
    <w:p w:rsidR="00517A45" w:rsidRPr="007B2F01" w:rsidRDefault="00517A45" w:rsidP="00121671">
      <w:pPr>
        <w:autoSpaceDE w:val="0"/>
        <w:autoSpaceDN w:val="0"/>
        <w:adjustRightInd w:val="0"/>
        <w:spacing w:after="0" w:line="240" w:lineRule="auto"/>
        <w:jc w:val="both"/>
        <w:rPr>
          <w:rFonts w:ascii="Times New Roman" w:hAnsi="Times New Roman" w:cs="Times New Roman"/>
          <w:lang w:val="es-ES"/>
        </w:rPr>
      </w:pPr>
    </w:p>
    <w:p w:rsidR="00517A45" w:rsidRPr="007B2F01" w:rsidRDefault="00517A45" w:rsidP="00517A45">
      <w:pPr>
        <w:pStyle w:val="Prrafodelista"/>
        <w:numPr>
          <w:ilvl w:val="0"/>
          <w:numId w:val="18"/>
        </w:numPr>
        <w:jc w:val="both"/>
        <w:rPr>
          <w:rFonts w:ascii="Times New Roman" w:hAnsi="Times New Roman" w:cs="Times New Roman"/>
          <w:b/>
          <w:lang w:val="es-ES"/>
        </w:rPr>
      </w:pPr>
      <w:r w:rsidRPr="007B2F01">
        <w:rPr>
          <w:rFonts w:ascii="Times New Roman" w:hAnsi="Times New Roman" w:cs="Times New Roman"/>
          <w:b/>
          <w:lang w:val="es-ES"/>
        </w:rPr>
        <w:t>Funcionamiento</w:t>
      </w:r>
      <w:r w:rsidRPr="007B2F01">
        <w:rPr>
          <w:rFonts w:ascii="Times New Roman" w:hAnsi="Times New Roman" w:cs="Times New Roman"/>
          <w:b/>
          <w:lang w:val="es-ES"/>
        </w:rPr>
        <w:t xml:space="preserve"> de</w:t>
      </w:r>
      <w:r w:rsidRPr="007B2F01">
        <w:rPr>
          <w:rFonts w:ascii="Times New Roman" w:hAnsi="Times New Roman" w:cs="Times New Roman"/>
          <w:b/>
          <w:lang w:val="es-ES"/>
        </w:rPr>
        <w:t>l</w:t>
      </w:r>
      <w:r w:rsidRPr="007B2F01">
        <w:rPr>
          <w:rFonts w:ascii="Times New Roman" w:hAnsi="Times New Roman" w:cs="Times New Roman"/>
          <w:b/>
          <w:lang w:val="es-ES"/>
        </w:rPr>
        <w:t xml:space="preserve"> software.</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b/>
          <w:sz w:val="20"/>
          <w:szCs w:val="20"/>
        </w:rPr>
        <w:t xml:space="preserve">Ayuda: </w:t>
      </w:r>
      <w:r w:rsidRPr="007B2F01">
        <w:rPr>
          <w:rFonts w:ascii="Times New Roman" w:hAnsi="Times New Roman" w:cs="Times New Roman"/>
          <w:sz w:val="20"/>
          <w:szCs w:val="20"/>
        </w:rPr>
        <w:t>Inicia un menú de guía el cual indica el funcionamiento de cada uno de los demás campos del software.</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b/>
          <w:sz w:val="20"/>
          <w:szCs w:val="20"/>
        </w:rPr>
        <w:t>Contacto y Soporte:</w:t>
      </w:r>
      <w:r w:rsidRPr="007B2F01">
        <w:rPr>
          <w:rFonts w:ascii="Times New Roman" w:hAnsi="Times New Roman" w:cs="Times New Roman"/>
          <w:b/>
          <w:sz w:val="20"/>
          <w:szCs w:val="20"/>
        </w:rPr>
        <w:t xml:space="preserve"> </w:t>
      </w:r>
      <w:r w:rsidRPr="007B2F01">
        <w:rPr>
          <w:rFonts w:ascii="Times New Roman" w:hAnsi="Times New Roman" w:cs="Times New Roman"/>
          <w:sz w:val="20"/>
          <w:szCs w:val="20"/>
        </w:rPr>
        <w:t>Abre una ventana con los datos del programador a cargo del sistema para un contacto posterior para soporte de la aplicación.</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b/>
          <w:sz w:val="20"/>
          <w:szCs w:val="20"/>
        </w:rPr>
        <w:lastRenderedPageBreak/>
        <w:t>Cargar Tablas de Aforo:</w:t>
      </w:r>
      <w:r w:rsidRPr="007B2F01">
        <w:rPr>
          <w:rFonts w:ascii="Times New Roman" w:hAnsi="Times New Roman" w:cs="Times New Roman"/>
          <w:b/>
          <w:sz w:val="20"/>
          <w:szCs w:val="20"/>
        </w:rPr>
        <w:t xml:space="preserve"> </w:t>
      </w:r>
      <w:r w:rsidRPr="007B2F01">
        <w:rPr>
          <w:rFonts w:ascii="Times New Roman" w:hAnsi="Times New Roman" w:cs="Times New Roman"/>
          <w:sz w:val="20"/>
          <w:szCs w:val="20"/>
        </w:rPr>
        <w:t>Permite al usuario cargar un documento de Excel con las tablas de aforo de cada uno de los tanques disponibles,  este documento debe presentar un formato de 3 hojas internas con los nombres “</w:t>
      </w:r>
      <w:proofErr w:type="spellStart"/>
      <w:r w:rsidRPr="007B2F01">
        <w:rPr>
          <w:rFonts w:ascii="Times New Roman" w:hAnsi="Times New Roman" w:cs="Times New Roman"/>
          <w:sz w:val="20"/>
          <w:szCs w:val="20"/>
        </w:rPr>
        <w:t>Diesel</w:t>
      </w:r>
      <w:proofErr w:type="spellEnd"/>
      <w:r w:rsidRPr="007B2F01">
        <w:rPr>
          <w:rFonts w:ascii="Times New Roman" w:hAnsi="Times New Roman" w:cs="Times New Roman"/>
          <w:sz w:val="20"/>
          <w:szCs w:val="20"/>
        </w:rPr>
        <w:t>”, “Corriente” y “Premium”, en cada una de estas hojas deberá estar transcrita la tabla de aforos para cada uno de estos tanques. Estas tablas además deben contar con 230 valores de altura con su respectivo valor equivalente de volumen.</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b/>
          <w:sz w:val="20"/>
          <w:szCs w:val="20"/>
        </w:rPr>
        <w:t xml:space="preserve">Calcular Ángulo: </w:t>
      </w:r>
      <w:r w:rsidRPr="007B2F01">
        <w:rPr>
          <w:rFonts w:ascii="Times New Roman" w:hAnsi="Times New Roman" w:cs="Times New Roman"/>
          <w:sz w:val="20"/>
          <w:szCs w:val="20"/>
        </w:rPr>
        <w:t>Se determina la inclinación del tanque con la medida de altura de los 2 sensores de calibración inicial del sistema, además de la di</w:t>
      </w:r>
      <w:r w:rsidRPr="007B2F01">
        <w:rPr>
          <w:rFonts w:ascii="Times New Roman" w:hAnsi="Times New Roman" w:cs="Times New Roman"/>
          <w:sz w:val="20"/>
          <w:szCs w:val="20"/>
        </w:rPr>
        <w:t>stancia entre ellos, todo en cm</w:t>
      </w:r>
      <w:r w:rsidRPr="007B2F01">
        <w:rPr>
          <w:rFonts w:ascii="Times New Roman" w:hAnsi="Times New Roman" w:cs="Times New Roman"/>
          <w:sz w:val="20"/>
          <w:szCs w:val="20"/>
        </w:rPr>
        <w:t>.</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b/>
          <w:sz w:val="20"/>
          <w:szCs w:val="20"/>
        </w:rPr>
        <w:t>Calcular Volumen:</w:t>
      </w:r>
      <w:r w:rsidRPr="007B2F01">
        <w:rPr>
          <w:rFonts w:ascii="Times New Roman" w:hAnsi="Times New Roman" w:cs="Times New Roman"/>
          <w:b/>
          <w:sz w:val="20"/>
          <w:szCs w:val="20"/>
        </w:rPr>
        <w:t xml:space="preserve"> </w:t>
      </w:r>
      <w:r w:rsidRPr="007B2F01">
        <w:rPr>
          <w:rFonts w:ascii="Times New Roman" w:hAnsi="Times New Roman" w:cs="Times New Roman"/>
          <w:sz w:val="20"/>
          <w:szCs w:val="20"/>
        </w:rPr>
        <w:t>Con esta función se determina el valor del volumen basado en la distancia del sensor principal al centro del tanque, de su medida de altura y del ángulo calculado en el ítem anterior.</w:t>
      </w:r>
    </w:p>
    <w:p w:rsidR="00517A45" w:rsidRPr="007B2F01" w:rsidRDefault="00517A45" w:rsidP="00517A45">
      <w:pPr>
        <w:pStyle w:val="Prrafodelista"/>
        <w:numPr>
          <w:ilvl w:val="0"/>
          <w:numId w:val="18"/>
        </w:numPr>
        <w:jc w:val="both"/>
        <w:rPr>
          <w:rFonts w:ascii="Times New Roman" w:hAnsi="Times New Roman" w:cs="Times New Roman"/>
          <w:b/>
          <w:lang w:val="es-ES"/>
        </w:rPr>
      </w:pPr>
      <w:r w:rsidRPr="007B2F01">
        <w:rPr>
          <w:rFonts w:ascii="Times New Roman" w:hAnsi="Times New Roman" w:cs="Times New Roman"/>
          <w:b/>
          <w:lang w:val="es-ES"/>
        </w:rPr>
        <w:t>Error</w:t>
      </w:r>
      <w:r w:rsidRPr="007B2F01">
        <w:rPr>
          <w:rFonts w:ascii="Times New Roman" w:hAnsi="Times New Roman" w:cs="Times New Roman"/>
          <w:b/>
          <w:lang w:val="es-ES"/>
        </w:rPr>
        <w:t xml:space="preserve"> del software.</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sz w:val="20"/>
          <w:szCs w:val="20"/>
        </w:rPr>
        <w:t>El sistema cuenta con un error de cálculo menor al 1%, tomando como referencia el valor de volumen indicado en los aforos.</w:t>
      </w:r>
    </w:p>
    <w:p w:rsidR="00517A45" w:rsidRPr="007B2F01" w:rsidRDefault="00517A45" w:rsidP="00517A45">
      <w:pPr>
        <w:jc w:val="both"/>
        <w:rPr>
          <w:rFonts w:ascii="Times New Roman" w:hAnsi="Times New Roman" w:cs="Times New Roman"/>
          <w:sz w:val="20"/>
          <w:szCs w:val="20"/>
        </w:rPr>
      </w:pPr>
      <w:r w:rsidRPr="007B2F01">
        <w:rPr>
          <w:rFonts w:ascii="Times New Roman" w:hAnsi="Times New Roman" w:cs="Times New Roman"/>
          <w:sz w:val="20"/>
          <w:szCs w:val="20"/>
        </w:rPr>
        <w:t>Para el caso puntual de 0% de inclinación tenemos entonces con un valor especifico de 100 [cm] lo siguiente.</w:t>
      </w:r>
    </w:p>
    <w:p w:rsidR="007B2F01" w:rsidRPr="007B2F01" w:rsidRDefault="007B2F01" w:rsidP="007B2F01">
      <w:pPr>
        <w:jc w:val="center"/>
        <w:rPr>
          <w:rFonts w:ascii="Times New Roman" w:hAnsi="Times New Roman" w:cs="Times New Roman"/>
          <w:sz w:val="20"/>
          <w:szCs w:val="20"/>
        </w:rPr>
      </w:pPr>
      <w:r w:rsidRPr="007B2F01">
        <w:rPr>
          <w:rFonts w:ascii="Times New Roman" w:hAnsi="Times New Roman" w:cs="Times New Roman"/>
          <w:noProof/>
          <w:sz w:val="20"/>
          <w:szCs w:val="20"/>
          <w:lang w:eastAsia="es-CO"/>
        </w:rPr>
        <w:drawing>
          <wp:inline distT="0" distB="0" distL="0" distR="0" wp14:anchorId="073CFAD7" wp14:editId="496FC0BB">
            <wp:extent cx="4038600" cy="21969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643" cy="2213325"/>
                    </a:xfrm>
                    <a:prstGeom prst="rect">
                      <a:avLst/>
                    </a:prstGeom>
                    <a:noFill/>
                  </pic:spPr>
                </pic:pic>
              </a:graphicData>
            </a:graphic>
          </wp:inline>
        </w:drawing>
      </w:r>
    </w:p>
    <w:p w:rsidR="007B2F01" w:rsidRDefault="007B2F01" w:rsidP="007B2F01">
      <w:pPr>
        <w:jc w:val="center"/>
        <w:rPr>
          <w:rFonts w:ascii="Times New Roman" w:hAnsi="Times New Roman" w:cs="Times New Roman"/>
          <w:sz w:val="20"/>
          <w:szCs w:val="20"/>
        </w:rPr>
      </w:pPr>
      <w:r w:rsidRPr="007B2F01">
        <w:rPr>
          <w:rFonts w:ascii="Times New Roman" w:hAnsi="Times New Roman" w:cs="Times New Roman"/>
          <w:sz w:val="20"/>
          <w:szCs w:val="20"/>
        </w:rPr>
        <w:t xml:space="preserve">Figura 1: </w:t>
      </w:r>
      <w:r>
        <w:rPr>
          <w:rFonts w:ascii="Times New Roman" w:hAnsi="Times New Roman" w:cs="Times New Roman"/>
          <w:sz w:val="20"/>
          <w:szCs w:val="20"/>
        </w:rPr>
        <w:t>Valores de medida para 0º</w:t>
      </w:r>
    </w:p>
    <w:p w:rsidR="007B2F01" w:rsidRPr="007B2F01" w:rsidRDefault="003439DD" w:rsidP="007B2F01">
      <w:pPr>
        <w:jc w:val="center"/>
        <w:rPr>
          <w:rFonts w:ascii="Times New Roman" w:hAnsi="Times New Roman" w:cs="Times New Roman"/>
          <w:sz w:val="20"/>
          <w:szCs w:val="20"/>
        </w:rPr>
      </w:pPr>
      <w:r>
        <w:rPr>
          <w:rFonts w:ascii="Times New Roman" w:hAnsi="Times New Roman" w:cs="Times New Roman"/>
          <w:noProof/>
          <w:sz w:val="20"/>
          <w:szCs w:val="20"/>
          <w:lang w:eastAsia="es-CO"/>
        </w:rPr>
        <w:drawing>
          <wp:inline distT="0" distB="0" distL="0" distR="0" wp14:anchorId="47E50AB2">
            <wp:extent cx="4137532" cy="225334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58" cy="2254827"/>
                    </a:xfrm>
                    <a:prstGeom prst="rect">
                      <a:avLst/>
                    </a:prstGeom>
                    <a:noFill/>
                  </pic:spPr>
                </pic:pic>
              </a:graphicData>
            </a:graphic>
          </wp:inline>
        </w:drawing>
      </w:r>
    </w:p>
    <w:p w:rsidR="00517A45" w:rsidRPr="007B2F01" w:rsidRDefault="007B2F01" w:rsidP="007B2F01">
      <w:pPr>
        <w:jc w:val="center"/>
        <w:rPr>
          <w:rFonts w:ascii="Times New Roman" w:hAnsi="Times New Roman" w:cs="Times New Roman"/>
          <w:sz w:val="20"/>
          <w:szCs w:val="20"/>
        </w:rPr>
      </w:pPr>
      <w:r w:rsidRPr="007B2F01">
        <w:rPr>
          <w:rFonts w:ascii="Times New Roman" w:hAnsi="Times New Roman" w:cs="Times New Roman"/>
          <w:sz w:val="20"/>
          <w:szCs w:val="20"/>
        </w:rPr>
        <w:t xml:space="preserve">Figura 1: </w:t>
      </w:r>
      <w:r>
        <w:rPr>
          <w:rFonts w:ascii="Times New Roman" w:hAnsi="Times New Roman" w:cs="Times New Roman"/>
          <w:sz w:val="20"/>
          <w:szCs w:val="20"/>
        </w:rPr>
        <w:t>Error en la medida</w:t>
      </w:r>
    </w:p>
    <w:sectPr w:rsidR="00517A45" w:rsidRPr="007B2F01" w:rsidSect="007B2F01">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5031"/>
    <w:multiLevelType w:val="multilevel"/>
    <w:tmpl w:val="564875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008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4420B"/>
    <w:multiLevelType w:val="multilevel"/>
    <w:tmpl w:val="BD029B20"/>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C72744"/>
    <w:multiLevelType w:val="hybridMultilevel"/>
    <w:tmpl w:val="56162628"/>
    <w:lvl w:ilvl="0" w:tplc="25DCBB6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A74669"/>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E75575"/>
    <w:multiLevelType w:val="multilevel"/>
    <w:tmpl w:val="78863D94"/>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CE06EC"/>
    <w:multiLevelType w:val="multilevel"/>
    <w:tmpl w:val="2A30CA66"/>
    <w:lvl w:ilvl="0">
      <w:start w:val="3"/>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7">
    <w:nsid w:val="20365C7D"/>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EC2480"/>
    <w:multiLevelType w:val="hybridMultilevel"/>
    <w:tmpl w:val="23DACCA4"/>
    <w:lvl w:ilvl="0" w:tplc="5E18390E">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5A30AA6"/>
    <w:multiLevelType w:val="multilevel"/>
    <w:tmpl w:val="5BF2B40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E06DD"/>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DE01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F24823"/>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39529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F90555"/>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A95690C"/>
    <w:multiLevelType w:val="multilevel"/>
    <w:tmpl w:val="608E90E8"/>
    <w:lvl w:ilvl="0">
      <w:start w:val="3"/>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nsid w:val="4AF6014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DD1215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5B04AB"/>
    <w:multiLevelType w:val="hybridMultilevel"/>
    <w:tmpl w:val="A00208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44D502D"/>
    <w:multiLevelType w:val="hybridMultilevel"/>
    <w:tmpl w:val="8A7660D0"/>
    <w:lvl w:ilvl="0" w:tplc="E9BA026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7692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AE0015"/>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BF639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1C24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2F5C48"/>
    <w:multiLevelType w:val="hybridMultilevel"/>
    <w:tmpl w:val="D644AF74"/>
    <w:lvl w:ilvl="0" w:tplc="A73C2CC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FE3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4CE0FC5"/>
    <w:multiLevelType w:val="hybridMultilevel"/>
    <w:tmpl w:val="4BD0F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50C579A"/>
    <w:multiLevelType w:val="multilevel"/>
    <w:tmpl w:val="45149E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56A58F2"/>
    <w:multiLevelType w:val="multilevel"/>
    <w:tmpl w:val="51245F92"/>
    <w:lvl w:ilvl="0">
      <w:start w:val="3"/>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440" w:hanging="1440"/>
      </w:pPr>
      <w:rPr>
        <w:rFonts w:cs="Times New Roman" w:hint="default"/>
        <w:b/>
      </w:rPr>
    </w:lvl>
  </w:abstractNum>
  <w:abstractNum w:abstractNumId="29">
    <w:nsid w:val="69524698"/>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B8632D4"/>
    <w:multiLevelType w:val="multilevel"/>
    <w:tmpl w:val="66D44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CE2708A"/>
    <w:multiLevelType w:val="multilevel"/>
    <w:tmpl w:val="51245F92"/>
    <w:lvl w:ilvl="0">
      <w:start w:val="3"/>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440" w:hanging="1440"/>
      </w:pPr>
      <w:rPr>
        <w:rFonts w:cs="Times New Roman" w:hint="default"/>
        <w:b/>
      </w:rPr>
    </w:lvl>
  </w:abstractNum>
  <w:abstractNum w:abstractNumId="32">
    <w:nsid w:val="6D6B7529"/>
    <w:multiLevelType w:val="multilevel"/>
    <w:tmpl w:val="78863D94"/>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2D35BC3"/>
    <w:multiLevelType w:val="multilevel"/>
    <w:tmpl w:val="FF8AD65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29212D"/>
    <w:multiLevelType w:val="hybridMultilevel"/>
    <w:tmpl w:val="C6426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9CE194E"/>
    <w:multiLevelType w:val="hybridMultilevel"/>
    <w:tmpl w:val="71ECDF44"/>
    <w:lvl w:ilvl="0" w:tplc="60F89E4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
  </w:num>
  <w:num w:numId="3">
    <w:abstractNumId w:val="17"/>
  </w:num>
  <w:num w:numId="4">
    <w:abstractNumId w:val="25"/>
  </w:num>
  <w:num w:numId="5">
    <w:abstractNumId w:val="22"/>
  </w:num>
  <w:num w:numId="6">
    <w:abstractNumId w:val="11"/>
  </w:num>
  <w:num w:numId="7">
    <w:abstractNumId w:val="13"/>
  </w:num>
  <w:num w:numId="8">
    <w:abstractNumId w:val="20"/>
  </w:num>
  <w:num w:numId="9">
    <w:abstractNumId w:val="23"/>
  </w:num>
  <w:num w:numId="10">
    <w:abstractNumId w:val="7"/>
  </w:num>
  <w:num w:numId="11">
    <w:abstractNumId w:val="30"/>
  </w:num>
  <w:num w:numId="12">
    <w:abstractNumId w:val="21"/>
  </w:num>
  <w:num w:numId="13">
    <w:abstractNumId w:val="29"/>
  </w:num>
  <w:num w:numId="14">
    <w:abstractNumId w:val="10"/>
  </w:num>
  <w:num w:numId="15">
    <w:abstractNumId w:val="14"/>
  </w:num>
  <w:num w:numId="16">
    <w:abstractNumId w:val="12"/>
  </w:num>
  <w:num w:numId="17">
    <w:abstractNumId w:val="4"/>
  </w:num>
  <w:num w:numId="18">
    <w:abstractNumId w:val="16"/>
  </w:num>
  <w:num w:numId="19">
    <w:abstractNumId w:val="6"/>
  </w:num>
  <w:num w:numId="20">
    <w:abstractNumId w:val="33"/>
  </w:num>
  <w:num w:numId="21">
    <w:abstractNumId w:val="26"/>
  </w:num>
  <w:num w:numId="22">
    <w:abstractNumId w:val="34"/>
  </w:num>
  <w:num w:numId="23">
    <w:abstractNumId w:val="18"/>
  </w:num>
  <w:num w:numId="24">
    <w:abstractNumId w:val="32"/>
  </w:num>
  <w:num w:numId="25">
    <w:abstractNumId w:val="5"/>
  </w:num>
  <w:num w:numId="26">
    <w:abstractNumId w:val="31"/>
  </w:num>
  <w:num w:numId="27">
    <w:abstractNumId w:val="19"/>
  </w:num>
  <w:num w:numId="28">
    <w:abstractNumId w:val="24"/>
  </w:num>
  <w:num w:numId="29">
    <w:abstractNumId w:val="8"/>
  </w:num>
  <w:num w:numId="30">
    <w:abstractNumId w:val="35"/>
  </w:num>
  <w:num w:numId="31">
    <w:abstractNumId w:val="3"/>
  </w:num>
  <w:num w:numId="32">
    <w:abstractNumId w:val="28"/>
  </w:num>
  <w:num w:numId="33">
    <w:abstractNumId w:val="15"/>
  </w:num>
  <w:num w:numId="34">
    <w:abstractNumId w:val="0"/>
  </w:num>
  <w:num w:numId="35">
    <w:abstractNumId w:val="9"/>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CE"/>
    <w:rsid w:val="00007033"/>
    <w:rsid w:val="000777CF"/>
    <w:rsid w:val="00085155"/>
    <w:rsid w:val="001204CE"/>
    <w:rsid w:val="00121671"/>
    <w:rsid w:val="0017031A"/>
    <w:rsid w:val="001E24B2"/>
    <w:rsid w:val="00220354"/>
    <w:rsid w:val="003439DD"/>
    <w:rsid w:val="004244B6"/>
    <w:rsid w:val="00442BE6"/>
    <w:rsid w:val="00497AEB"/>
    <w:rsid w:val="004B4D7F"/>
    <w:rsid w:val="004D5511"/>
    <w:rsid w:val="004E5CEC"/>
    <w:rsid w:val="00517A45"/>
    <w:rsid w:val="005A4DF8"/>
    <w:rsid w:val="005B6A42"/>
    <w:rsid w:val="00665DAA"/>
    <w:rsid w:val="006D016B"/>
    <w:rsid w:val="00715F73"/>
    <w:rsid w:val="00720C25"/>
    <w:rsid w:val="00752B9F"/>
    <w:rsid w:val="00781A62"/>
    <w:rsid w:val="007870EE"/>
    <w:rsid w:val="007A6605"/>
    <w:rsid w:val="007B2F01"/>
    <w:rsid w:val="00816317"/>
    <w:rsid w:val="00820B63"/>
    <w:rsid w:val="008756D3"/>
    <w:rsid w:val="008B3951"/>
    <w:rsid w:val="008E21EF"/>
    <w:rsid w:val="0094659E"/>
    <w:rsid w:val="00987F16"/>
    <w:rsid w:val="00A26BA4"/>
    <w:rsid w:val="00A37AEC"/>
    <w:rsid w:val="00A97668"/>
    <w:rsid w:val="00AA28A5"/>
    <w:rsid w:val="00AB580E"/>
    <w:rsid w:val="00B32AF6"/>
    <w:rsid w:val="00C217FA"/>
    <w:rsid w:val="00C702BA"/>
    <w:rsid w:val="00CC020C"/>
    <w:rsid w:val="00D05F4F"/>
    <w:rsid w:val="00D874B7"/>
    <w:rsid w:val="00D92C87"/>
    <w:rsid w:val="00D94987"/>
    <w:rsid w:val="00D95655"/>
    <w:rsid w:val="00DA6741"/>
    <w:rsid w:val="00E02D58"/>
    <w:rsid w:val="00E23F69"/>
    <w:rsid w:val="00E573E2"/>
    <w:rsid w:val="00E67D57"/>
    <w:rsid w:val="00E84C4A"/>
    <w:rsid w:val="00EA3A62"/>
    <w:rsid w:val="00ED0D44"/>
    <w:rsid w:val="00F07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CE"/>
    <w:rPr>
      <w:lang w:val="es-CO"/>
    </w:rPr>
  </w:style>
  <w:style w:type="paragraph" w:styleId="Ttulo1">
    <w:name w:val="heading 1"/>
    <w:basedOn w:val="Normal"/>
    <w:next w:val="Normal"/>
    <w:link w:val="Ttulo1Car"/>
    <w:uiPriority w:val="9"/>
    <w:qFormat/>
    <w:rsid w:val="00517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58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80E"/>
    <w:rPr>
      <w:rFonts w:ascii="Tahoma" w:hAnsi="Tahoma" w:cs="Tahoma"/>
      <w:sz w:val="16"/>
      <w:szCs w:val="16"/>
      <w:lang w:val="es-CO"/>
    </w:rPr>
  </w:style>
  <w:style w:type="paragraph" w:styleId="Prrafodelista">
    <w:name w:val="List Paragraph"/>
    <w:basedOn w:val="Normal"/>
    <w:uiPriority w:val="34"/>
    <w:qFormat/>
    <w:rsid w:val="007870EE"/>
    <w:pPr>
      <w:ind w:left="720"/>
      <w:contextualSpacing/>
    </w:pPr>
  </w:style>
  <w:style w:type="table" w:styleId="Tablaconcuadrcula">
    <w:name w:val="Table Grid"/>
    <w:basedOn w:val="Tablanormal"/>
    <w:uiPriority w:val="59"/>
    <w:rsid w:val="0071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94987"/>
    <w:rPr>
      <w:color w:val="808080"/>
    </w:rPr>
  </w:style>
  <w:style w:type="character" w:customStyle="1" w:styleId="Ttulo1Car">
    <w:name w:val="Título 1 Car"/>
    <w:basedOn w:val="Fuentedeprrafopredeter"/>
    <w:link w:val="Ttulo1"/>
    <w:uiPriority w:val="9"/>
    <w:rsid w:val="00517A45"/>
    <w:rPr>
      <w:rFonts w:asciiTheme="majorHAnsi" w:eastAsiaTheme="majorEastAsia" w:hAnsiTheme="majorHAnsi" w:cstheme="majorBidi"/>
      <w:b/>
      <w:bCs/>
      <w:color w:val="365F91" w:themeColor="accent1" w:themeShade="BF"/>
      <w:sz w:val="28"/>
      <w:szCs w:val="28"/>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CE"/>
    <w:rPr>
      <w:lang w:val="es-CO"/>
    </w:rPr>
  </w:style>
  <w:style w:type="paragraph" w:styleId="Ttulo1">
    <w:name w:val="heading 1"/>
    <w:basedOn w:val="Normal"/>
    <w:next w:val="Normal"/>
    <w:link w:val="Ttulo1Car"/>
    <w:uiPriority w:val="9"/>
    <w:qFormat/>
    <w:rsid w:val="00517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58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80E"/>
    <w:rPr>
      <w:rFonts w:ascii="Tahoma" w:hAnsi="Tahoma" w:cs="Tahoma"/>
      <w:sz w:val="16"/>
      <w:szCs w:val="16"/>
      <w:lang w:val="es-CO"/>
    </w:rPr>
  </w:style>
  <w:style w:type="paragraph" w:styleId="Prrafodelista">
    <w:name w:val="List Paragraph"/>
    <w:basedOn w:val="Normal"/>
    <w:uiPriority w:val="34"/>
    <w:qFormat/>
    <w:rsid w:val="007870EE"/>
    <w:pPr>
      <w:ind w:left="720"/>
      <w:contextualSpacing/>
    </w:pPr>
  </w:style>
  <w:style w:type="table" w:styleId="Tablaconcuadrcula">
    <w:name w:val="Table Grid"/>
    <w:basedOn w:val="Tablanormal"/>
    <w:uiPriority w:val="59"/>
    <w:rsid w:val="0071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94987"/>
    <w:rPr>
      <w:color w:val="808080"/>
    </w:rPr>
  </w:style>
  <w:style w:type="character" w:customStyle="1" w:styleId="Ttulo1Car">
    <w:name w:val="Título 1 Car"/>
    <w:basedOn w:val="Fuentedeprrafopredeter"/>
    <w:link w:val="Ttulo1"/>
    <w:uiPriority w:val="9"/>
    <w:rsid w:val="00517A45"/>
    <w:rPr>
      <w:rFonts w:asciiTheme="majorHAnsi" w:eastAsiaTheme="majorEastAsia" w:hAnsiTheme="majorHAnsi" w:cstheme="majorBidi"/>
      <w:b/>
      <w:bCs/>
      <w:color w:val="365F91" w:themeColor="accent1" w:themeShade="BF"/>
      <w:sz w:val="28"/>
      <w:szCs w:val="2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0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F3560-B6D7-459E-B647-40291CB8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Cualmemo</dc:creator>
  <cp:lastModifiedBy>Christian Moreno</cp:lastModifiedBy>
  <cp:revision>3</cp:revision>
  <cp:lastPrinted>2017-09-06T23:03:00Z</cp:lastPrinted>
  <dcterms:created xsi:type="dcterms:W3CDTF">2017-09-06T23:03:00Z</dcterms:created>
  <dcterms:modified xsi:type="dcterms:W3CDTF">2017-09-06T23:03:00Z</dcterms:modified>
</cp:coreProperties>
</file>