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120"/>
        <w:jc w:val="center"/>
      </w:pPr>
      <w:r>
        <w:rPr>
          <w:rFonts w:ascii="Arial" w:hAnsi="Arial"/>
          <w:b/>
          <w:i w:val="0"/>
          <w:color w:val="0D47A1"/>
          <w:sz w:val="24"/>
        </w:rPr>
        <w:t>CÔNG TY CỔ PHẦN SẢN XUẤT CƠ KHÍ SAO VÀNG</w:t>
      </w:r>
    </w:p>
    <w:p>
      <w:pPr>
        <w:spacing w:before="300" w:after="120"/>
        <w:jc w:val="center"/>
      </w:pPr>
      <w:r>
        <w:rPr>
          <w:rFonts w:ascii="Arial" w:hAnsi="Arial"/>
          <w:b/>
          <w:i w:val="0"/>
          <w:color w:val="705D30"/>
          <w:sz w:val="36"/>
        </w:rPr>
        <w:t>THƯ VIỆN KỸ THUẬT &amp; CATALOGUE</w:t>
        <w:br/>
        <w:t>HỆ THỐNG CỬA uPVC &amp; CỬA NHÔM EUROWINDOW</w:t>
      </w:r>
    </w:p>
    <w:p>
      <w:pPr>
        <w:spacing w:before="0" w:after="400"/>
        <w:jc w:val="center"/>
      </w:pPr>
      <w:r>
        <w:rPr>
          <w:rFonts w:ascii="Arial" w:hAnsi="Arial"/>
          <w:b w:val="0"/>
          <w:i w:val="0"/>
          <w:sz w:val="22"/>
        </w:rPr>
        <w:t>Tài liệu kỹ thuật tổng hợp hệ cửa nhựa lõi thép uPVC và nhôm định hình Eurowindow</w:t>
        <w:br/>
        <w:t>Tích hợp phân tích ưu nhược điểm R&amp;D và ma trận so sánh chéo phân khúc cao cấp</w:t>
      </w:r>
    </w:p>
    <w:p>
      <w:pPr>
        <w:spacing w:before="0" w:after="800"/>
        <w:jc w:val="center"/>
      </w:pPr>
      <w:r>
        <w:rPr>
          <w:rFonts w:ascii="Arial" w:hAnsi="Arial"/>
          <w:b w:val="0"/>
          <w:i w:val="0"/>
          <w:sz w:val="20"/>
        </w:rPr>
        <w:t>Năm 2026 - Lưu hành nội bộ</w:t>
      </w:r>
    </w:p>
    <w:p>
      <w:pPr>
        <w:spacing w:before="240" w:after="120"/>
        <w:jc w:val="left"/>
      </w:pPr>
      <w:r>
        <w:rPr>
          <w:rFonts w:ascii="Arial" w:hAnsi="Arial"/>
          <w:b/>
          <w:i w:val="0"/>
          <w:color w:val="0D47A1"/>
          <w:sz w:val="28"/>
        </w:rPr>
        <w:t>GIỚI THIỆU THƯƠNG HIỆU EUROWINDOW</w:t>
      </w:r>
    </w:p>
    <w:p>
      <w:pPr>
        <w:spacing w:before="0" w:after="120"/>
        <w:jc w:val="left"/>
      </w:pPr>
      <w:r>
        <w:rPr>
          <w:rFonts w:ascii="Arial" w:hAnsi="Arial"/>
          <w:b w:val="0"/>
          <w:i w:val="0"/>
          <w:sz w:val="22"/>
        </w:rPr>
        <w:t>Eurowindow là đơn vị đi tiên phong khai mở phân khúc cửa uPVC cao cấp tại Việt Nam từ năm 2002. Với nhà máy quy mô công nghiệp lớn hiện đại, hãng cung cấp trọn gói các giải pháp cửa nhựa lõi thép Koemmerling và cửa nhôm cao cấp Eurowindow (tự thiết kế định hình rãnh C chuẩn Châu Âu) đạt chứng nhận chất lượng quốc tế. Đặc trưng lớn nhất của Eurowindow là chất lượng đồng bộ cực cao từ profile nhựa/nhôm, phụ kiện Roto/G-U/Cmech cho đến gioăng đúc sẵn, được tin dùng trong hàng triệu biệt thự, lâu đài cao cấp và cao ốc văn phòng hạng sang trên toàn lãnh thổ Việt Nam.</w:t>
      </w:r>
    </w:p>
    <w:p>
      <w:pPr>
        <w:spacing w:before="240" w:after="120"/>
        <w:jc w:val="left"/>
      </w:pPr>
      <w:r>
        <w:rPr>
          <w:rFonts w:ascii="Arial" w:hAnsi="Arial"/>
          <w:b/>
          <w:i w:val="0"/>
          <w:color w:val="0D47A1"/>
          <w:sz w:val="28"/>
        </w:rPr>
        <w:t>CHI TIẾT THÔNG SỐ, ƯU NHƯỢC ĐIỂM R&amp;D 5 HỆ CỬA EUROWINDOW</w:t>
      </w:r>
    </w:p>
    <w:p>
      <w:pPr>
        <w:spacing w:before="120" w:after="120"/>
        <w:jc w:val="left"/>
      </w:pPr>
      <w:r>
        <w:rPr>
          <w:rFonts w:ascii="Arial" w:hAnsi="Arial"/>
          <w:b/>
          <w:i w:val="0"/>
          <w:color w:val="705D30"/>
          <w:sz w:val="24"/>
        </w:rPr>
        <w:t>1. EW uPVC Asia60 (Cửa nhựa uPVC Koemmerling lõi thép)</w:t>
      </w:r>
    </w:p>
    <w:p>
      <w:pPr>
        <w:pStyle w:val="ListBullet"/>
        <w:spacing w:after="60"/>
      </w:pPr>
      <w:r>
        <w:rPr>
          <w:rFonts w:ascii="Arial" w:hAnsi="Arial"/>
          <w:sz w:val="21"/>
        </w:rPr>
        <w:t>Độ dày profile: 2.2mm - 2.5mm vỏ uPVC + lõi thép gia cường 1.5mm chịu va đập.</w:t>
      </w:r>
    </w:p>
    <w:p>
      <w:pPr>
        <w:pStyle w:val="ListBullet"/>
        <w:spacing w:after="60"/>
      </w:pPr>
      <w:r>
        <w:rPr>
          <w:rFonts w:ascii="Arial" w:hAnsi="Arial"/>
          <w:sz w:val="21"/>
        </w:rPr>
        <w:t>Ưu điểm R&amp;D: Khả năng chống truyền nhiệt và cách âm tuyệt đỉnh hàng đầu (nhờ cấu trúc rỗng nhựa uPVC triệt tiêu sóng âm), gioăng đúc TPE mềm êm kín khít khói bụi hoàn hảo.</w:t>
      </w:r>
    </w:p>
    <w:p>
      <w:pPr>
        <w:pStyle w:val="ListBullet"/>
        <w:spacing w:after="60"/>
      </w:pPr>
      <w:r>
        <w:rPr>
          <w:rFonts w:ascii="Arial" w:hAnsi="Arial"/>
          <w:sz w:val="21"/>
        </w:rPr>
        <w:t>Nhược điểm R&amp;D: Bản khung nhựa to, thô dày, kém phóng khoáng về view nhìn so với hệ nhôm Slim hiện đại. Nhựa trắng có thể bị ố vàng nhẹ sau 20-30 năm mưa nắng.</w:t>
      </w:r>
    </w:p>
    <w:p>
      <w:pPr>
        <w:spacing w:before="120" w:after="120"/>
        <w:jc w:val="left"/>
      </w:pPr>
      <w:r>
        <w:rPr>
          <w:rFonts w:ascii="Arial" w:hAnsi="Arial"/>
          <w:b/>
          <w:i w:val="0"/>
          <w:color w:val="705D30"/>
          <w:sz w:val="24"/>
        </w:rPr>
        <w:t>2. EW EA55 (Cửa nhôm mở quay EA55 cao cấp)</w:t>
      </w:r>
    </w:p>
    <w:p>
      <w:pPr>
        <w:pStyle w:val="ListBullet"/>
        <w:spacing w:after="60"/>
      </w:pPr>
      <w:r>
        <w:rPr>
          <w:rFonts w:ascii="Arial" w:hAnsi="Arial"/>
          <w:sz w:val="21"/>
        </w:rPr>
        <w:t>Độ dày nhôm: 1.4mm - 2.0mm tiêu chuẩn rãnh C.</w:t>
      </w:r>
    </w:p>
    <w:p>
      <w:pPr>
        <w:pStyle w:val="ListBullet"/>
        <w:spacing w:after="60"/>
      </w:pPr>
      <w:r>
        <w:rPr>
          <w:rFonts w:ascii="Arial" w:hAnsi="Arial"/>
          <w:sz w:val="21"/>
        </w:rPr>
        <w:t>Ưu điểm R&amp;D: Thiết kế bo góc thẩm mỹ cực kỳ sang trọng quý phái, rãnh C Châu Âu lắp CMECH/Roto chính hãng, công nghệ sơn bột tĩnh điện độc quyền bảo hành 10-20 năm.</w:t>
      </w:r>
    </w:p>
    <w:p>
      <w:pPr>
        <w:pStyle w:val="ListBullet"/>
        <w:spacing w:after="60"/>
      </w:pPr>
      <w:r>
        <w:rPr>
          <w:rFonts w:ascii="Arial" w:hAnsi="Arial"/>
          <w:sz w:val="21"/>
        </w:rPr>
        <w:t>Nhược điểm R&amp;D: Giá nhôm thanh và thành phẩm thi công trọn gói cao hơn hẳn nhôm Quảng Đông phổ thông.</w:t>
      </w:r>
    </w:p>
    <w:p>
      <w:pPr>
        <w:spacing w:before="120" w:after="120"/>
        <w:jc w:val="left"/>
      </w:pPr>
      <w:r>
        <w:rPr>
          <w:rFonts w:ascii="Arial" w:hAnsi="Arial"/>
          <w:b/>
          <w:i w:val="0"/>
          <w:color w:val="705D30"/>
          <w:sz w:val="24"/>
        </w:rPr>
        <w:t>3. EW EA70 (Cửa nhôm lùa trượt EA70)</w:t>
      </w:r>
    </w:p>
    <w:p>
      <w:pPr>
        <w:pStyle w:val="ListBullet"/>
        <w:spacing w:after="60"/>
      </w:pPr>
      <w:r>
        <w:rPr>
          <w:rFonts w:ascii="Arial" w:hAnsi="Arial"/>
          <w:sz w:val="21"/>
        </w:rPr>
        <w:t>Độ dày nhôm: 1.6mm - 1.8mm.</w:t>
      </w:r>
    </w:p>
    <w:p>
      <w:pPr>
        <w:pStyle w:val="ListBullet"/>
        <w:spacing w:after="60"/>
      </w:pPr>
      <w:r>
        <w:rPr>
          <w:rFonts w:ascii="Arial" w:hAnsi="Arial"/>
          <w:sz w:val="21"/>
        </w:rPr>
        <w:t>Ưu điểm R&amp;D: Hệ thống lùa trượt đóng mở êm nhẹ thích hợp lắp đặt làm cửa ra ban công chung cư và biệt thự nghỉ dưỡng giúp tối ưu không gian sinh hoạt.</w:t>
      </w:r>
    </w:p>
    <w:p>
      <w:pPr>
        <w:pStyle w:val="ListBullet"/>
        <w:spacing w:after="60"/>
      </w:pPr>
      <w:r>
        <w:rPr>
          <w:rFonts w:ascii="Arial" w:hAnsi="Arial"/>
          <w:sz w:val="21"/>
        </w:rPr>
        <w:t>Nhược điểm R&amp;D: Độ kín khít chống bão kém hơn hệ quay EA55.</w:t>
      </w:r>
    </w:p>
    <w:p>
      <w:pPr>
        <w:spacing w:before="120" w:after="120"/>
        <w:jc w:val="left"/>
      </w:pPr>
      <w:r>
        <w:rPr>
          <w:rFonts w:ascii="Arial" w:hAnsi="Arial"/>
          <w:b/>
          <w:i w:val="0"/>
          <w:color w:val="705D30"/>
          <w:sz w:val="24"/>
        </w:rPr>
        <w:t>4. EW EA90 (Vách mặt dựng Stick EA90)</w:t>
      </w:r>
    </w:p>
    <w:p>
      <w:pPr>
        <w:pStyle w:val="ListBullet"/>
        <w:spacing w:after="60"/>
      </w:pPr>
      <w:r>
        <w:rPr>
          <w:rFonts w:ascii="Arial" w:hAnsi="Arial"/>
          <w:sz w:val="21"/>
        </w:rPr>
        <w:t>Độ dày nhôm: 2.2mm - 3.0mm.</w:t>
      </w:r>
    </w:p>
    <w:p>
      <w:pPr>
        <w:pStyle w:val="ListBullet"/>
        <w:spacing w:after="60"/>
      </w:pPr>
      <w:r>
        <w:rPr>
          <w:rFonts w:ascii="Arial" w:hAnsi="Arial"/>
          <w:sz w:val="21"/>
        </w:rPr>
        <w:t>Ưu điểm R&amp;D: Kết cấu xương chịu lực siêu dày chống gió bão giật ngoại thất tòa nhà cực tốt, sơn tĩnh điện PVDF bền màu muối mặn.</w:t>
      </w:r>
    </w:p>
    <w:p>
      <w:pPr>
        <w:pStyle w:val="ListBullet"/>
        <w:spacing w:after="60"/>
      </w:pPr>
      <w:r>
        <w:rPr>
          <w:rFonts w:ascii="Arial" w:hAnsi="Arial"/>
          <w:sz w:val="21"/>
        </w:rPr>
        <w:t>Nhược điểm R&amp;D: Đòi hỏi thiết kế bản vẽ Shopdrawing chuẩn xác và thi công giàn giáo phức tạp ngoài công trình.</w:t>
      </w:r>
    </w:p>
    <w:p>
      <w:pPr>
        <w:spacing w:before="120" w:after="120"/>
        <w:jc w:val="left"/>
      </w:pPr>
      <w:r>
        <w:rPr>
          <w:rFonts w:ascii="Arial" w:hAnsi="Arial"/>
          <w:b/>
          <w:i w:val="0"/>
          <w:color w:val="705D30"/>
          <w:sz w:val="24"/>
        </w:rPr>
        <w:t>5. EW Thermal (Cửa nhôm cầu cách nhiệt Eurowindow)</w:t>
      </w:r>
    </w:p>
    <w:p>
      <w:pPr>
        <w:pStyle w:val="ListBullet"/>
        <w:spacing w:after="60"/>
      </w:pPr>
      <w:r>
        <w:rPr>
          <w:rFonts w:ascii="Arial" w:hAnsi="Arial"/>
          <w:sz w:val="21"/>
        </w:rPr>
        <w:t>Độ dày nhôm: 2.0mm tích hợp dải cầu cách nhiệt Polyamide Technoform Đức.</w:t>
      </w:r>
    </w:p>
    <w:p>
      <w:pPr>
        <w:pStyle w:val="ListBullet"/>
        <w:spacing w:after="60"/>
      </w:pPr>
      <w:r>
        <w:rPr>
          <w:rFonts w:ascii="Arial" w:hAnsi="Arial"/>
          <w:sz w:val="21"/>
        </w:rPr>
        <w:t>Ưu điểm R&amp;D: Cách âm và ngăn truyền nhiệt tuyệt hảo nhất, ngăn thất thoát hơi lạnh điều hòa giúp tiết kiệm 35% điện năng tiêu thụ.</w:t>
      </w:r>
    </w:p>
    <w:p>
      <w:pPr>
        <w:pStyle w:val="ListBullet"/>
        <w:spacing w:after="60"/>
      </w:pPr>
      <w:r>
        <w:rPr>
          <w:rFonts w:ascii="Arial" w:hAnsi="Arial"/>
          <w:sz w:val="21"/>
        </w:rPr>
        <w:t>Nhược điểm R&amp;D: Giá thành lắp đặt thuộc phân khúc siêu đắt đỏ Luxury biệt thự nghỉ dưỡng.</w:t>
      </w:r>
    </w:p>
    <w:p>
      <w:pPr>
        <w:spacing w:before="240" w:after="120"/>
        <w:jc w:val="left"/>
      </w:pPr>
      <w:r>
        <w:rPr>
          <w:rFonts w:ascii="Arial" w:hAnsi="Arial"/>
          <w:b/>
          <w:i w:val="0"/>
          <w:color w:val="0D47A1"/>
          <w:sz w:val="28"/>
        </w:rPr>
        <w:t>PHẦN SO SÁNH MA TRẬN PHÂN KHÚC HỆ NHÔM EUROWINDOW EA55 VỚI ĐỐI THỦ CẠNH TRANH</w:t>
      </w:r>
    </w:p>
    <w:p>
      <w:pPr>
        <w:spacing w:before="0" w:after="120"/>
        <w:jc w:val="left"/>
      </w:pPr>
      <w:r>
        <w:rPr>
          <w:rFonts w:ascii="Arial" w:hAnsi="Arial"/>
          <w:b w:val="0"/>
          <w:i w:val="0"/>
          <w:sz w:val="22"/>
        </w:rPr>
        <w:t>Bảng ma trận so sánh chéo đặc tính kỹ thuật hệ nhôm mở quay Eurowindow EA55 với các dòng nhôm cùng phân khúc cao cấp trên thị trường xây dựng Việt Nam:</w:t>
      </w:r>
    </w:p>
    <w:tbl>
      <w:tblPr>
        <w:tblStyle w:val="TableGrid"/>
        <w:tblW w:type="auto" w:w="0"/>
        <w:jc w:val="center"/>
        <w:tblLook w:firstColumn="1" w:firstRow="1" w:lastColumn="0" w:lastRow="0" w:noHBand="0" w:noVBand="1" w:val="04A0"/>
      </w:tblPr>
      <w:tblGrid>
        <w:gridCol w:w="1938"/>
        <w:gridCol w:w="1938"/>
        <w:gridCol w:w="1938"/>
        <w:gridCol w:w="1938"/>
        <w:gridCol w:w="1938"/>
      </w:tblGrid>
      <w:tr>
        <w:tc>
          <w:tcPr>
            <w:tcW w:type="dxa" w:w="1938"/>
          </w:tcPr>
          <w:p>
            <w:r>
              <w:rPr>
                <w:b/>
                <w:sz w:val="20"/>
              </w:rPr>
              <w:t>Đặc tính so sánh</w:t>
            </w:r>
          </w:p>
        </w:tc>
        <w:tc>
          <w:tcPr>
            <w:tcW w:type="dxa" w:w="1938"/>
          </w:tcPr>
          <w:p>
            <w:r>
              <w:rPr>
                <w:b/>
                <w:sz w:val="20"/>
              </w:rPr>
              <w:t>Eurowindow EA55</w:t>
            </w:r>
          </w:p>
        </w:tc>
        <w:tc>
          <w:tcPr>
            <w:tcW w:type="dxa" w:w="1938"/>
          </w:tcPr>
          <w:p>
            <w:r>
              <w:rPr>
                <w:b/>
                <w:sz w:val="20"/>
              </w:rPr>
              <w:t>Civro AW55</w:t>
            </w:r>
          </w:p>
        </w:tc>
        <w:tc>
          <w:tcPr>
            <w:tcW w:type="dxa" w:w="1938"/>
          </w:tcPr>
          <w:p>
            <w:r>
              <w:rPr>
                <w:b/>
                <w:sz w:val="20"/>
              </w:rPr>
              <w:t>Maxpro R55</w:t>
            </w:r>
          </w:p>
        </w:tc>
        <w:tc>
          <w:tcPr>
            <w:tcW w:type="dxa" w:w="1938"/>
          </w:tcPr>
          <w:p>
            <w:r>
              <w:rPr>
                <w:b/>
                <w:sz w:val="20"/>
              </w:rPr>
              <w:t>Xingfa Quảng Đông 55</w:t>
            </w:r>
          </w:p>
        </w:tc>
      </w:tr>
      <w:tr>
        <w:tc>
          <w:tcPr>
            <w:tcW w:type="dxa" w:w="1938"/>
          </w:tcPr>
          <w:p>
            <w:r>
              <w:rPr>
                <w:b/>
                <w:sz w:val="19"/>
              </w:rPr>
              <w:t>Nguồn gốc xuất xứ</w:t>
            </w:r>
          </w:p>
        </w:tc>
        <w:tc>
          <w:tcPr>
            <w:tcW w:type="dxa" w:w="1938"/>
          </w:tcPr>
          <w:p>
            <w:r>
              <w:rPr>
                <w:sz w:val="19"/>
              </w:rPr>
              <w:t>Eurowindow Việt Nam</w:t>
            </w:r>
          </w:p>
        </w:tc>
        <w:tc>
          <w:tcPr>
            <w:tcW w:type="dxa" w:w="1938"/>
          </w:tcPr>
          <w:p>
            <w:r>
              <w:rPr>
                <w:sz w:val="19"/>
              </w:rPr>
              <w:t>Civro Đức / đùn ép TQ</w:t>
            </w:r>
          </w:p>
        </w:tc>
        <w:tc>
          <w:tcPr>
            <w:tcW w:type="dxa" w:w="1938"/>
          </w:tcPr>
          <w:p>
            <w:r>
              <w:rPr>
                <w:sz w:val="19"/>
              </w:rPr>
              <w:t>Nhật Bản / đùn ép VN</w:t>
            </w:r>
          </w:p>
        </w:tc>
        <w:tc>
          <w:tcPr>
            <w:tcW w:type="dxa" w:w="1938"/>
          </w:tcPr>
          <w:p>
            <w:r>
              <w:rPr>
                <w:sz w:val="19"/>
              </w:rPr>
              <w:t>Quảng Đông (Trung Quốc)</w:t>
            </w:r>
          </w:p>
        </w:tc>
      </w:tr>
      <w:tr>
        <w:tc>
          <w:tcPr>
            <w:tcW w:type="dxa" w:w="1938"/>
          </w:tcPr>
          <w:p>
            <w:r>
              <w:rPr>
                <w:b/>
                <w:sz w:val="19"/>
              </w:rPr>
              <w:t>Công nghệ sơn phủ</w:t>
            </w:r>
          </w:p>
        </w:tc>
        <w:tc>
          <w:tcPr>
            <w:tcW w:type="dxa" w:w="1938"/>
          </w:tcPr>
          <w:p>
            <w:r>
              <w:rPr>
                <w:sz w:val="19"/>
              </w:rPr>
              <w:t>Sơn tĩnh điện Eurowindow</w:t>
            </w:r>
          </w:p>
        </w:tc>
        <w:tc>
          <w:tcPr>
            <w:tcW w:type="dxa" w:w="1938"/>
          </w:tcPr>
          <w:p>
            <w:r>
              <w:rPr>
                <w:sz w:val="19"/>
              </w:rPr>
              <w:t>Sơn Matt cao cấp</w:t>
            </w:r>
          </w:p>
        </w:tc>
        <w:tc>
          <w:tcPr>
            <w:tcW w:type="dxa" w:w="1938"/>
          </w:tcPr>
          <w:p>
            <w:r>
              <w:rPr>
                <w:sz w:val="19"/>
              </w:rPr>
              <w:t>Mạ điện di Anodise ED</w:t>
            </w:r>
          </w:p>
        </w:tc>
        <w:tc>
          <w:tcPr>
            <w:tcW w:type="dxa" w:w="1938"/>
          </w:tcPr>
          <w:p>
            <w:r>
              <w:rPr>
                <w:sz w:val="19"/>
              </w:rPr>
              <w:t>Sơn tĩnh điện tiêu chuẩn</w:t>
            </w:r>
          </w:p>
        </w:tc>
      </w:tr>
      <w:tr>
        <w:tc>
          <w:tcPr>
            <w:tcW w:type="dxa" w:w="1938"/>
          </w:tcPr>
          <w:p>
            <w:r>
              <w:rPr>
                <w:b/>
                <w:sz w:val="19"/>
              </w:rPr>
              <w:t>Tiêu chuẩn rãnh phụ kiện</w:t>
            </w:r>
          </w:p>
        </w:tc>
        <w:tc>
          <w:tcPr>
            <w:tcW w:type="dxa" w:w="1938"/>
          </w:tcPr>
          <w:p>
            <w:r>
              <w:rPr>
                <w:sz w:val="19"/>
              </w:rPr>
              <w:t>Chuẩn rãnh C Châu Âu</w:t>
            </w:r>
          </w:p>
        </w:tc>
        <w:tc>
          <w:tcPr>
            <w:tcW w:type="dxa" w:w="1938"/>
          </w:tcPr>
          <w:p>
            <w:r>
              <w:rPr>
                <w:sz w:val="19"/>
              </w:rPr>
              <w:t>Chuẩn rãnh C Châu Âu</w:t>
            </w:r>
          </w:p>
        </w:tc>
        <w:tc>
          <w:tcPr>
            <w:tcW w:type="dxa" w:w="1938"/>
          </w:tcPr>
          <w:p>
            <w:r>
              <w:rPr>
                <w:sz w:val="19"/>
              </w:rPr>
              <w:t>Chuẩn rãnh C Châu Âu</w:t>
            </w:r>
          </w:p>
        </w:tc>
        <w:tc>
          <w:tcPr>
            <w:tcW w:type="dxa" w:w="1938"/>
          </w:tcPr>
          <w:p>
            <w:r>
              <w:rPr>
                <w:sz w:val="19"/>
              </w:rPr>
              <w:t>Rãnh 22mm truyền thống</w:t>
            </w:r>
          </w:p>
        </w:tc>
      </w:tr>
      <w:tr>
        <w:tc>
          <w:tcPr>
            <w:tcW w:type="dxa" w:w="1938"/>
          </w:tcPr>
          <w:p>
            <w:r>
              <w:rPr>
                <w:b/>
                <w:sz w:val="19"/>
              </w:rPr>
              <w:t>Thời gian bảo hành sơn</w:t>
            </w:r>
          </w:p>
        </w:tc>
        <w:tc>
          <w:tcPr>
            <w:tcW w:type="dxa" w:w="1938"/>
          </w:tcPr>
          <w:p>
            <w:r>
              <w:rPr>
                <w:sz w:val="19"/>
              </w:rPr>
              <w:t>Bảo hành 10-20 năm</w:t>
            </w:r>
          </w:p>
        </w:tc>
        <w:tc>
          <w:tcPr>
            <w:tcW w:type="dxa" w:w="1938"/>
          </w:tcPr>
          <w:p>
            <w:r>
              <w:rPr>
                <w:sz w:val="19"/>
              </w:rPr>
              <w:t>Bảo hành 20 năm</w:t>
            </w:r>
          </w:p>
        </w:tc>
        <w:tc>
          <w:tcPr>
            <w:tcW w:type="dxa" w:w="1938"/>
          </w:tcPr>
          <w:p>
            <w:r>
              <w:rPr>
                <w:sz w:val="19"/>
              </w:rPr>
              <w:t>Bảo hành 25 năm</w:t>
            </w:r>
          </w:p>
        </w:tc>
        <w:tc>
          <w:tcPr>
            <w:tcW w:type="dxa" w:w="1938"/>
          </w:tcPr>
          <w:p>
            <w:r>
              <w:rPr>
                <w:sz w:val="19"/>
              </w:rPr>
              <w:t>Bảo hành 5 năm</w:t>
            </w:r>
          </w:p>
        </w:tc>
      </w:tr>
      <w:tr>
        <w:tc>
          <w:tcPr>
            <w:tcW w:type="dxa" w:w="1938"/>
          </w:tcPr>
          <w:p>
            <w:r>
              <w:rPr>
                <w:b/>
                <w:sz w:val="19"/>
              </w:rPr>
              <w:t>Thương hiệu định vị</w:t>
            </w:r>
          </w:p>
        </w:tc>
        <w:tc>
          <w:tcPr>
            <w:tcW w:type="dxa" w:w="1938"/>
          </w:tcPr>
          <w:p>
            <w:r>
              <w:rPr>
                <w:sz w:val="19"/>
              </w:rPr>
              <w:t>Quốc gia (Việt Nam)</w:t>
            </w:r>
          </w:p>
        </w:tc>
        <w:tc>
          <w:tcPr>
            <w:tcW w:type="dxa" w:w="1938"/>
          </w:tcPr>
          <w:p>
            <w:r>
              <w:rPr>
                <w:sz w:val="19"/>
              </w:rPr>
              <w:t>Thượng lưu (Châu Âu)</w:t>
            </w:r>
          </w:p>
        </w:tc>
        <w:tc>
          <w:tcPr>
            <w:tcW w:type="dxa" w:w="1938"/>
          </w:tcPr>
          <w:p>
            <w:r>
              <w:rPr>
                <w:sz w:val="19"/>
              </w:rPr>
              <w:t>Cận cao cấp (Nhật Bản)</w:t>
            </w:r>
          </w:p>
        </w:tc>
        <w:tc>
          <w:tcPr>
            <w:tcW w:type="dxa" w:w="1938"/>
          </w:tcPr>
          <w:p>
            <w:r>
              <w:rPr>
                <w:sz w:val="19"/>
              </w:rPr>
              <w:t>Quốc dân thông dụng</w:t>
            </w:r>
          </w:p>
        </w:tc>
      </w:tr>
      <w:tr>
        <w:tc>
          <w:tcPr>
            <w:tcW w:type="dxa" w:w="1938"/>
          </w:tcPr>
          <w:p>
            <w:r>
              <w:rPr>
                <w:b/>
                <w:sz w:val="19"/>
              </w:rPr>
              <w:t>Phân khúc giá bán</w:t>
            </w:r>
          </w:p>
        </w:tc>
        <w:tc>
          <w:tcPr>
            <w:tcW w:type="dxa" w:w="1938"/>
          </w:tcPr>
          <w:p>
            <w:r>
              <w:rPr>
                <w:sz w:val="19"/>
              </w:rPr>
              <w:t>$$$$ (Cao cấp)</w:t>
            </w:r>
          </w:p>
        </w:tc>
        <w:tc>
          <w:tcPr>
            <w:tcW w:type="dxa" w:w="1938"/>
          </w:tcPr>
          <w:p>
            <w:r>
              <w:rPr>
                <w:sz w:val="19"/>
              </w:rPr>
              <w:t>$$$$$ (Siêu cao cấp)</w:t>
            </w:r>
          </w:p>
        </w:tc>
        <w:tc>
          <w:tcPr>
            <w:tcW w:type="dxa" w:w="1938"/>
          </w:tcPr>
          <w:p>
            <w:r>
              <w:rPr>
                <w:sz w:val="19"/>
              </w:rPr>
              <w:t>$$$ (Cận cao cấp)</w:t>
            </w:r>
          </w:p>
        </w:tc>
        <w:tc>
          <w:tcPr>
            <w:tcW w:type="dxa" w:w="1938"/>
          </w:tcPr>
          <w:p>
            <w:r>
              <w:rPr>
                <w:sz w:val="19"/>
              </w:rPr>
              <w:t>$$ (Tầm trung)</w:t>
            </w:r>
          </w:p>
        </w:tc>
      </w:tr>
    </w:tbl>
    <w:p/>
    <w:p>
      <w:pPr>
        <w:spacing w:before="0" w:after="120"/>
        <w:jc w:val="left"/>
      </w:pPr>
      <w:r>
        <w:rPr>
          <w:rFonts w:ascii="Arial" w:hAnsi="Arial"/>
          <w:b w:val="0"/>
          <w:i/>
          <w:sz w:val="20"/>
        </w:rPr>
        <w:t>Tài liệu lưu hành nội bộ và thuộc bản quyền R&amp;D Sao Vàng Group.</w:t>
      </w:r>
    </w:p>
    <w:sectPr w:rsidR="00FC693F" w:rsidRPr="0006063C" w:rsidSect="00034616">
      <w:pgSz w:w="12240" w:h="15840"/>
      <w:pgMar w:top="1134" w:right="1134"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