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4741"/>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MẠ ANODIZE ED HONDALEX JAPAN</w:t>
      </w:r>
    </w:p>
    <w:p>
      <w:pPr>
        <w:spacing w:before="0" w:after="400"/>
        <w:jc w:val="center"/>
      </w:pPr>
      <w:r>
        <w:rPr>
          <w:rFonts w:ascii="Arial" w:hAnsi="Arial"/>
          <w:b w:val="0"/>
          <w:i w:val="0"/>
          <w:sz w:val="22"/>
        </w:rPr>
        <w:t>Tài liệu kỹ thuật tổng hợp hệ cửa nhôm liên doanh đùn ép Honda Metal Industries Nhật Bản</w:t>
        <w:br/>
        <w:t>Tích hợp phân tích ưu nhược điểm R&amp;D và ma trận so sánh phân khúc thị trường</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D4741"/>
          <w:sz w:val="28"/>
        </w:rPr>
        <w:t>GIỚI THIỆU THƯƠNG HIỆU NHÔM HONDALEX (LONG VÂN)</w:t>
      </w:r>
    </w:p>
    <w:p>
      <w:pPr>
        <w:spacing w:before="0" w:after="120"/>
        <w:jc w:val="left"/>
      </w:pPr>
      <w:r>
        <w:rPr>
          <w:rFonts w:ascii="Arial" w:hAnsi="Arial"/>
          <w:b w:val="0"/>
          <w:i w:val="0"/>
          <w:sz w:val="22"/>
        </w:rPr>
        <w:t>Nhôm Hondalex là sản phẩm hợp tác chiến lược giữa Công ty TNHH Long Vân NTV Việt Nam và Tập đoàn nhôm danh tiếng Honda Metal Industries (Nhật Bản). Với nhà máy LOVAL hiện đại tại Bình Dương và nhà máy Honda Metal Industries khánh thành tại KCN VSIP, Hondalex đi tiên phong cung cấp công nghệ xử lý bề mặt nhôm đùn ép mạ điện di Anodize ED hoàn toàn tự động đạt công suất 1000 tấn/tháng. Sản phẩm tuân thủ nghiêm ngặt tiêu chuẩn quốc tế ISO 9001, JIS H4100 Nhật Bản, JIS H8601/H8602 cho xử lý anodize, và tiêu chuẩn ASTM B211M của Mỹ. Đặc trưng lớn nhất của nhôm Hondalex là trọng lượng cực nhẹ nhưng kết cấu bền chắc dẻo dai, nước mạ bóng mịn chống ăn mòn muối biển mặn tuyệt đối đã được tin dùng trong các siêu công trình như cao ốc Long Hải, hầm Thủ Thiêm, và tòa nhà Charm Residence.</w:t>
      </w:r>
    </w:p>
    <w:p>
      <w:pPr>
        <w:spacing w:before="240" w:after="120"/>
        <w:jc w:val="left"/>
      </w:pPr>
      <w:r>
        <w:rPr>
          <w:rFonts w:ascii="Arial" w:hAnsi="Arial"/>
          <w:b/>
          <w:i w:val="0"/>
          <w:color w:val="0D4741"/>
          <w:sz w:val="28"/>
        </w:rPr>
        <w:t>CHI TIẾT THÔNG SỐ, ƯU NHƯỢC ĐIỂM R&amp;D 6 HỆ NHÔM HONDALEX</w:t>
      </w:r>
    </w:p>
    <w:p>
      <w:pPr>
        <w:spacing w:before="120" w:after="120"/>
        <w:jc w:val="left"/>
      </w:pPr>
      <w:r>
        <w:rPr>
          <w:rFonts w:ascii="Arial" w:hAnsi="Arial"/>
          <w:b/>
          <w:i w:val="0"/>
          <w:color w:val="705D30"/>
          <w:sz w:val="24"/>
        </w:rPr>
        <w:t>1. Hondalex LV 60 (Cửa đi mở quay Anodize ED cao cấp)</w:t>
      </w:r>
    </w:p>
    <w:p>
      <w:pPr>
        <w:pStyle w:val="ListBullet"/>
        <w:spacing w:after="60"/>
      </w:pPr>
      <w:r>
        <w:rPr>
          <w:rFonts w:ascii="Arial" w:hAnsi="Arial"/>
          <w:sz w:val="21"/>
        </w:rPr>
        <w:t>Độ dày nhôm: 1.8mm bản dày.</w:t>
      </w:r>
    </w:p>
    <w:p>
      <w:pPr>
        <w:pStyle w:val="ListBullet"/>
        <w:spacing w:after="60"/>
      </w:pPr>
      <w:r>
        <w:rPr>
          <w:rFonts w:ascii="Arial" w:hAnsi="Arial"/>
          <w:sz w:val="21"/>
        </w:rPr>
        <w:t>Ưu điểm R&amp;D: Độ cứng vững chịu lực gió bão hoàn hảo, công nghệ xi mạ điện di ED bóng mịn tự nhiên vô cùng sang trọng bền màu trên 40 năm, đạt chuẩn JIS Nhật Bản cao cấp nhất.</w:t>
      </w:r>
    </w:p>
    <w:p>
      <w:pPr>
        <w:pStyle w:val="ListBullet"/>
        <w:spacing w:after="60"/>
      </w:pPr>
      <w:r>
        <w:rPr>
          <w:rFonts w:ascii="Arial" w:hAnsi="Arial"/>
          <w:sz w:val="21"/>
        </w:rPr>
        <w:t>Nhược điểm R&amp;D: Giá nhôm thanh xi mạ ED và phụ kiện đi kèm khá cao, kén thợ gia công.</w:t>
      </w:r>
    </w:p>
    <w:p>
      <w:pPr>
        <w:spacing w:before="120" w:after="120"/>
        <w:jc w:val="left"/>
      </w:pPr>
      <w:r>
        <w:rPr>
          <w:rFonts w:ascii="Arial" w:hAnsi="Arial"/>
          <w:b/>
          <w:i w:val="0"/>
          <w:color w:val="705D30"/>
          <w:sz w:val="24"/>
        </w:rPr>
        <w:t>2. Hondalex LV 34 (Cửa đi mở quay tối giản)</w:t>
      </w:r>
    </w:p>
    <w:p>
      <w:pPr>
        <w:pStyle w:val="ListBullet"/>
        <w:spacing w:after="60"/>
      </w:pPr>
      <w:r>
        <w:rPr>
          <w:rFonts w:ascii="Arial" w:hAnsi="Arial"/>
          <w:sz w:val="21"/>
        </w:rPr>
        <w:t>Độ dày nhôm: 1.2mm - 1.3mm.</w:t>
      </w:r>
    </w:p>
    <w:p>
      <w:pPr>
        <w:pStyle w:val="ListBullet"/>
        <w:spacing w:after="60"/>
      </w:pPr>
      <w:r>
        <w:rPr>
          <w:rFonts w:ascii="Arial" w:hAnsi="Arial"/>
          <w:sz w:val="21"/>
        </w:rPr>
        <w:t>Ưu điểm R&amp;D: Thiết kế tối giản tinh tế phong cách Nhật Bản, lắp ráp đơn giản, chi phí nguyên liệu tối ưu cho nhà phố dân dụng tầm trung.</w:t>
      </w:r>
    </w:p>
    <w:p>
      <w:pPr>
        <w:pStyle w:val="ListBullet"/>
        <w:spacing w:after="60"/>
      </w:pPr>
      <w:r>
        <w:rPr>
          <w:rFonts w:ascii="Arial" w:hAnsi="Arial"/>
          <w:sz w:val="21"/>
        </w:rPr>
        <w:t>Nhược điểm R&amp;D: Bản nhôm mỏng không lắp được kính hộp quá dày cách âm.</w:t>
      </w:r>
    </w:p>
    <w:p>
      <w:pPr>
        <w:spacing w:before="120" w:after="120"/>
        <w:jc w:val="left"/>
      </w:pPr>
      <w:r>
        <w:rPr>
          <w:rFonts w:ascii="Arial" w:hAnsi="Arial"/>
          <w:b/>
          <w:i w:val="0"/>
          <w:color w:val="705D30"/>
          <w:sz w:val="24"/>
        </w:rPr>
        <w:t>3. Hondalex LV 70 (Cửa đi mở quay kinh tế)</w:t>
      </w:r>
    </w:p>
    <w:p>
      <w:pPr>
        <w:pStyle w:val="ListBullet"/>
        <w:spacing w:after="60"/>
      </w:pPr>
      <w:r>
        <w:rPr>
          <w:rFonts w:ascii="Arial" w:hAnsi="Arial"/>
          <w:sz w:val="21"/>
        </w:rPr>
        <w:t>Độ dày nhôm: 1.2mm - 1.3mm.</w:t>
      </w:r>
    </w:p>
    <w:p>
      <w:pPr>
        <w:pStyle w:val="ListBullet"/>
        <w:spacing w:after="60"/>
      </w:pPr>
      <w:r>
        <w:rPr>
          <w:rFonts w:ascii="Arial" w:hAnsi="Arial"/>
          <w:sz w:val="21"/>
        </w:rPr>
        <w:t>Ưu điểm R&amp;D: Trọng lượng thanh nhôm tối ưu giúp vận hành cửa đóng mở cực kỳ nhẹ tay êm ái, xi mạ Anodize ED chống xước xát rất tốt.</w:t>
      </w:r>
    </w:p>
    <w:p>
      <w:pPr>
        <w:pStyle w:val="ListBullet"/>
        <w:spacing w:after="60"/>
      </w:pPr>
      <w:r>
        <w:rPr>
          <w:rFonts w:ascii="Arial" w:hAnsi="Arial"/>
          <w:sz w:val="21"/>
        </w:rPr>
        <w:t>Nhược điểm R&amp;D: Độ chịu gió giật ngoại thất kém hơn bản LV 60 dày.</w:t>
      </w:r>
    </w:p>
    <w:p>
      <w:pPr>
        <w:spacing w:before="120" w:after="120"/>
        <w:jc w:val="left"/>
      </w:pPr>
      <w:r>
        <w:rPr>
          <w:rFonts w:ascii="Arial" w:hAnsi="Arial"/>
          <w:b/>
          <w:i w:val="0"/>
          <w:color w:val="705D30"/>
          <w:sz w:val="24"/>
        </w:rPr>
        <w:t>4. Hondalex LV 60 Window (Cửa sổ bật hất)</w:t>
      </w:r>
    </w:p>
    <w:p>
      <w:pPr>
        <w:pStyle w:val="ListBullet"/>
        <w:spacing w:after="60"/>
      </w:pPr>
      <w:r>
        <w:rPr>
          <w:rFonts w:ascii="Arial" w:hAnsi="Arial"/>
          <w:sz w:val="21"/>
        </w:rPr>
        <w:t>Độ dày nhôm: 1.5mm.</w:t>
      </w:r>
    </w:p>
    <w:p>
      <w:pPr>
        <w:pStyle w:val="ListBullet"/>
        <w:spacing w:after="60"/>
      </w:pPr>
      <w:r>
        <w:rPr>
          <w:rFonts w:ascii="Arial" w:hAnsi="Arial"/>
          <w:sz w:val="21"/>
        </w:rPr>
        <w:t>Ưu điểm R&amp;D: Khung cánh thiết kế chuyên biệt chống dột nước mưa chèn gioăng EPDM đúc Nhật Bản kín khít tuyệt đối, chống gió bão giật cao tầng tốt.</w:t>
      </w:r>
    </w:p>
    <w:p>
      <w:pPr>
        <w:pStyle w:val="ListBullet"/>
        <w:spacing w:after="60"/>
      </w:pPr>
      <w:r>
        <w:rPr>
          <w:rFonts w:ascii="Arial" w:hAnsi="Arial"/>
          <w:sz w:val="21"/>
        </w:rPr>
        <w:t>Nhược điểm R&amp;D: Trọng lượng nặng hơn các dòng cửa sổ nhôm cỏ.</w:t>
      </w:r>
    </w:p>
    <w:p>
      <w:pPr>
        <w:spacing w:before="120" w:after="120"/>
        <w:jc w:val="left"/>
      </w:pPr>
      <w:r>
        <w:rPr>
          <w:rFonts w:ascii="Arial" w:hAnsi="Arial"/>
          <w:b/>
          <w:i w:val="0"/>
          <w:color w:val="705D30"/>
          <w:sz w:val="24"/>
        </w:rPr>
        <w:t>5. Hondalex LV 38 Window (Cửa sổ hất phổ thông)</w:t>
      </w:r>
    </w:p>
    <w:p>
      <w:pPr>
        <w:pStyle w:val="ListBullet"/>
        <w:spacing w:after="60"/>
      </w:pPr>
      <w:r>
        <w:rPr>
          <w:rFonts w:ascii="Arial" w:hAnsi="Arial"/>
          <w:sz w:val="21"/>
        </w:rPr>
        <w:t>Độ dày nhôm: 0.9mm - 1.2mm.</w:t>
      </w:r>
    </w:p>
    <w:p>
      <w:pPr>
        <w:pStyle w:val="ListBullet"/>
        <w:spacing w:after="60"/>
      </w:pPr>
      <w:r>
        <w:rPr>
          <w:rFonts w:ascii="Arial" w:hAnsi="Arial"/>
          <w:sz w:val="21"/>
        </w:rPr>
        <w:t>Ưu điểm R&amp;D: Bản nhôm siêu gọn mỏng nhẹ, giá thành rẻ nhất phân khúc, thi công gia công dập ke góc cực nhanh.</w:t>
      </w:r>
    </w:p>
    <w:p>
      <w:pPr>
        <w:pStyle w:val="ListBullet"/>
        <w:spacing w:after="60"/>
      </w:pPr>
      <w:r>
        <w:rPr>
          <w:rFonts w:ascii="Arial" w:hAnsi="Arial"/>
          <w:sz w:val="21"/>
        </w:rPr>
        <w:t>Nhược điểm R&amp;D: Độ bền chịu tải kém, không lắp được ở các vị trí chịu bão lớn.</w:t>
      </w:r>
    </w:p>
    <w:p>
      <w:pPr>
        <w:spacing w:before="120" w:after="120"/>
        <w:jc w:val="left"/>
      </w:pPr>
      <w:r>
        <w:rPr>
          <w:rFonts w:ascii="Arial" w:hAnsi="Arial"/>
          <w:b/>
          <w:i w:val="0"/>
          <w:color w:val="705D30"/>
          <w:sz w:val="24"/>
        </w:rPr>
        <w:t>6. Hondalex LV 76 (Cửa đi &amp; sổ trượt lùa)</w:t>
      </w:r>
    </w:p>
    <w:p>
      <w:pPr>
        <w:pStyle w:val="ListBullet"/>
        <w:spacing w:after="60"/>
      </w:pPr>
      <w:r>
        <w:rPr>
          <w:rFonts w:ascii="Arial" w:hAnsi="Arial"/>
          <w:sz w:val="21"/>
        </w:rPr>
        <w:t>Độ dày nhôm: 1.2mm.</w:t>
      </w:r>
    </w:p>
    <w:p>
      <w:pPr>
        <w:pStyle w:val="ListBullet"/>
        <w:spacing w:after="60"/>
      </w:pPr>
      <w:r>
        <w:rPr>
          <w:rFonts w:ascii="Arial" w:hAnsi="Arial"/>
          <w:sz w:val="21"/>
        </w:rPr>
        <w:t>Ưu điểm R&amp;D: Lùa trượt 2 ray tiết kiệm không gian, hệ thống gioăng chèn nỉ cao cấp giúp lướt êm dịu không tiếng ồn chuẩn Nhật.</w:t>
      </w:r>
    </w:p>
    <w:p>
      <w:pPr>
        <w:pStyle w:val="ListBullet"/>
        <w:spacing w:after="60"/>
      </w:pPr>
      <w:r>
        <w:rPr>
          <w:rFonts w:ascii="Arial" w:hAnsi="Arial"/>
          <w:sz w:val="21"/>
        </w:rPr>
        <w:t>Nhược điểm R&amp;D: Kín khít chắn nước bão ở mức khá, cần vệ sinh ray trượt định kỳ.</w:t>
      </w:r>
    </w:p>
    <w:p>
      <w:pPr>
        <w:spacing w:before="240" w:after="120"/>
        <w:jc w:val="left"/>
      </w:pPr>
      <w:r>
        <w:rPr>
          <w:rFonts w:ascii="Arial" w:hAnsi="Arial"/>
          <w:b/>
          <w:i w:val="0"/>
          <w:color w:val="0D4741"/>
          <w:sz w:val="28"/>
        </w:rPr>
        <w:t>PHẦN SO SÁNH MA TRẬN PHÂN KHÚC HỆ HONDALEX LV 60 VỚI ĐỐI THỦ CẠNH TRANH</w:t>
      </w:r>
    </w:p>
    <w:p>
      <w:pPr>
        <w:spacing w:before="0" w:after="120"/>
        <w:jc w:val="left"/>
      </w:pPr>
      <w:r>
        <w:rPr>
          <w:rFonts w:ascii="Arial" w:hAnsi="Arial"/>
          <w:b w:val="0"/>
          <w:i w:val="0"/>
          <w:sz w:val="22"/>
        </w:rPr>
        <w:t>Bảng ma trận so sánh chéo đặc tính kỹ thuật hệ nhôm Hondalex LV 60 xi mạ điện di ED Nhật Bản với các dòng nhôm cùng phân khúc xi mạ cao cấp trên thị trường: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Hondalex LV 60</w:t>
            </w:r>
          </w:p>
        </w:tc>
        <w:tc>
          <w:tcPr>
            <w:tcW w:type="dxa" w:w="1938"/>
          </w:tcPr>
          <w:p>
            <w:r>
              <w:rPr>
                <w:b/>
                <w:sz w:val="20"/>
              </w:rPr>
              <w:t>Maxpro R55</w:t>
            </w:r>
          </w:p>
        </w:tc>
        <w:tc>
          <w:tcPr>
            <w:tcW w:type="dxa" w:w="1938"/>
          </w:tcPr>
          <w:p>
            <w:r>
              <w:rPr>
                <w:b/>
                <w:sz w:val="20"/>
              </w:rPr>
              <w:t>Civro AW55</w:t>
            </w:r>
          </w:p>
        </w:tc>
        <w:tc>
          <w:tcPr>
            <w:tcW w:type="dxa" w:w="1938"/>
          </w:tcPr>
          <w:p>
            <w:r>
              <w:rPr>
                <w:b/>
                <w:sz w:val="20"/>
              </w:rPr>
              <w:t>Xingfa Class A</w:t>
            </w:r>
          </w:p>
        </w:tc>
      </w:tr>
      <w:tr>
        <w:tc>
          <w:tcPr>
            <w:tcW w:type="dxa" w:w="1938"/>
          </w:tcPr>
          <w:p>
            <w:r>
              <w:rPr>
                <w:b/>
                <w:sz w:val="19"/>
              </w:rPr>
              <w:t>Nguồn gốc xuất xứ</w:t>
            </w:r>
          </w:p>
        </w:tc>
        <w:tc>
          <w:tcPr>
            <w:tcW w:type="dxa" w:w="1938"/>
          </w:tcPr>
          <w:p>
            <w:r>
              <w:rPr>
                <w:sz w:val="19"/>
              </w:rPr>
              <w:t>Liên doanh Nhật - Việt</w:t>
            </w:r>
          </w:p>
        </w:tc>
        <w:tc>
          <w:tcPr>
            <w:tcW w:type="dxa" w:w="1938"/>
          </w:tcPr>
          <w:p>
            <w:r>
              <w:rPr>
                <w:sz w:val="19"/>
              </w:rPr>
              <w:t>Nhật Bản - đùn ép TQ/VN</w:t>
            </w:r>
          </w:p>
        </w:tc>
        <w:tc>
          <w:tcPr>
            <w:tcW w:type="dxa" w:w="1938"/>
          </w:tcPr>
          <w:p>
            <w:r>
              <w:rPr>
                <w:sz w:val="19"/>
              </w:rPr>
              <w:t>Đức/Trung Quốc (Luxury)</w:t>
            </w:r>
          </w:p>
        </w:tc>
        <w:tc>
          <w:tcPr>
            <w:tcW w:type="dxa" w:w="1938"/>
          </w:tcPr>
          <w:p>
            <w:r>
              <w:rPr>
                <w:sz w:val="19"/>
              </w:rPr>
              <w:t>Quảng Đông (Trung Quốc)</w:t>
            </w:r>
          </w:p>
        </w:tc>
      </w:tr>
      <w:tr>
        <w:tc>
          <w:tcPr>
            <w:tcW w:type="dxa" w:w="1938"/>
          </w:tcPr>
          <w:p>
            <w:r>
              <w:rPr>
                <w:b/>
                <w:sz w:val="19"/>
              </w:rPr>
              <w:t>Công nghệ bề mặt</w:t>
            </w:r>
          </w:p>
        </w:tc>
        <w:tc>
          <w:tcPr>
            <w:tcW w:type="dxa" w:w="1938"/>
          </w:tcPr>
          <w:p>
            <w:r>
              <w:rPr>
                <w:sz w:val="19"/>
              </w:rPr>
              <w:t>Mạ điện di Anodise ED</w:t>
            </w:r>
          </w:p>
        </w:tc>
        <w:tc>
          <w:tcPr>
            <w:tcW w:type="dxa" w:w="1938"/>
          </w:tcPr>
          <w:p>
            <w:r>
              <w:rPr>
                <w:sz w:val="19"/>
              </w:rPr>
              <w:t>Mạ điện di Anodise ED</w:t>
            </w:r>
          </w:p>
        </w:tc>
        <w:tc>
          <w:tcPr>
            <w:tcW w:type="dxa" w:w="1938"/>
          </w:tcPr>
          <w:p>
            <w:r>
              <w:rPr>
                <w:sz w:val="19"/>
              </w:rPr>
              <w:t>Sơn phủ Matt / Anodize</w:t>
            </w:r>
          </w:p>
        </w:tc>
        <w:tc>
          <w:tcPr>
            <w:tcW w:type="dxa" w:w="1938"/>
          </w:tcPr>
          <w:p>
            <w:r>
              <w:rPr>
                <w:sz w:val="19"/>
              </w:rPr>
              <w:t>Mạ Anodized cải tiến</w:t>
            </w:r>
          </w:p>
        </w:tc>
      </w:tr>
      <w:tr>
        <w:tc>
          <w:tcPr>
            <w:tcW w:type="dxa" w:w="1938"/>
          </w:tcPr>
          <w:p>
            <w:r>
              <w:rPr>
                <w:b/>
                <w:sz w:val="19"/>
              </w:rPr>
              <w:t>Độ dày cánh cửa (mm)</w:t>
            </w:r>
          </w:p>
        </w:tc>
        <w:tc>
          <w:tcPr>
            <w:tcW w:type="dxa" w:w="1938"/>
          </w:tcPr>
          <w:p>
            <w:r>
              <w:rPr>
                <w:sz w:val="19"/>
              </w:rPr>
              <w:t>1.8mm</w:t>
            </w:r>
          </w:p>
        </w:tc>
        <w:tc>
          <w:tcPr>
            <w:tcW w:type="dxa" w:w="1938"/>
          </w:tcPr>
          <w:p>
            <w:r>
              <w:rPr>
                <w:sz w:val="19"/>
              </w:rPr>
              <w:t>1.4mm - 2.0mm</w:t>
            </w:r>
          </w:p>
        </w:tc>
        <w:tc>
          <w:tcPr>
            <w:tcW w:type="dxa" w:w="1938"/>
          </w:tcPr>
          <w:p>
            <w:r>
              <w:rPr>
                <w:sz w:val="19"/>
              </w:rPr>
              <w:t>1.6mm - 1.8mm</w:t>
            </w:r>
          </w:p>
        </w:tc>
        <w:tc>
          <w:tcPr>
            <w:tcW w:type="dxa" w:w="1938"/>
          </w:tcPr>
          <w:p>
            <w:r>
              <w:rPr>
                <w:sz w:val="19"/>
              </w:rPr>
              <w:t>2.0mm</w:t>
            </w:r>
          </w:p>
        </w:tc>
      </w:tr>
      <w:tr>
        <w:tc>
          <w:tcPr>
            <w:tcW w:type="dxa" w:w="1938"/>
          </w:tcPr>
          <w:p>
            <w:r>
              <w:rPr>
                <w:b/>
                <w:sz w:val="19"/>
              </w:rPr>
              <w:t>Tiêu chuẩn kỹ thuật</w:t>
            </w:r>
          </w:p>
        </w:tc>
        <w:tc>
          <w:tcPr>
            <w:tcW w:type="dxa" w:w="1938"/>
          </w:tcPr>
          <w:p>
            <w:r>
              <w:rPr>
                <w:sz w:val="19"/>
              </w:rPr>
              <w:t>JIS H4100 (Nhật Bản)</w:t>
            </w:r>
          </w:p>
        </w:tc>
        <w:tc>
          <w:tcPr>
            <w:tcW w:type="dxa" w:w="1938"/>
          </w:tcPr>
          <w:p>
            <w:r>
              <w:rPr>
                <w:sz w:val="19"/>
              </w:rPr>
              <w:t>JIS H4100 (Nhật Bản)</w:t>
            </w:r>
          </w:p>
        </w:tc>
        <w:tc>
          <w:tcPr>
            <w:tcW w:type="dxa" w:w="1938"/>
          </w:tcPr>
          <w:p>
            <w:r>
              <w:rPr>
                <w:sz w:val="19"/>
              </w:rPr>
              <w:t>DIN EN (Châu Âu)</w:t>
            </w:r>
          </w:p>
        </w:tc>
        <w:tc>
          <w:tcPr>
            <w:tcW w:type="dxa" w:w="1938"/>
          </w:tcPr>
          <w:p>
            <w:r>
              <w:rPr>
                <w:sz w:val="19"/>
              </w:rPr>
              <w:t>Qualicoat / TCVN</w:t>
            </w:r>
          </w:p>
        </w:tc>
      </w:tr>
      <w:tr>
        <w:tc>
          <w:tcPr>
            <w:tcW w:type="dxa" w:w="1938"/>
          </w:tcPr>
          <w:p>
            <w:r>
              <w:rPr>
                <w:b/>
                <w:sz w:val="19"/>
              </w:rPr>
              <w:t>Độ bền màu bảo hành</w:t>
            </w:r>
          </w:p>
        </w:tc>
        <w:tc>
          <w:tcPr>
            <w:tcW w:type="dxa" w:w="1938"/>
          </w:tcPr>
          <w:p>
            <w:r>
              <w:rPr>
                <w:sz w:val="19"/>
              </w:rPr>
              <w:t>Bảo hành trên 40 năm</w:t>
            </w:r>
          </w:p>
        </w:tc>
        <w:tc>
          <w:tcPr>
            <w:tcW w:type="dxa" w:w="1938"/>
          </w:tcPr>
          <w:p>
            <w:r>
              <w:rPr>
                <w:sz w:val="19"/>
              </w:rPr>
              <w:t>Bảo hành 25 năm</w:t>
            </w:r>
          </w:p>
        </w:tc>
        <w:tc>
          <w:tcPr>
            <w:tcW w:type="dxa" w:w="1938"/>
          </w:tcPr>
          <w:p>
            <w:r>
              <w:rPr>
                <w:sz w:val="19"/>
              </w:rPr>
              <w:t>Bảo hành 20 năm</w:t>
            </w:r>
          </w:p>
        </w:tc>
        <w:tc>
          <w:tcPr>
            <w:tcW w:type="dxa" w:w="1938"/>
          </w:tcPr>
          <w:p>
            <w:r>
              <w:rPr>
                <w:sz w:val="19"/>
              </w:rPr>
              <w:t>Bảo hành 20-25 năm</w:t>
            </w:r>
          </w:p>
        </w:tc>
      </w:tr>
      <w:tr>
        <w:tc>
          <w:tcPr>
            <w:tcW w:type="dxa" w:w="1938"/>
          </w:tcPr>
          <w:p>
            <w:r>
              <w:rPr>
                <w:b/>
                <w:sz w:val="19"/>
              </w:rPr>
              <w:t>Phân khúc giá bán</w:t>
            </w:r>
          </w:p>
        </w:tc>
        <w:tc>
          <w:tcPr>
            <w:tcW w:type="dxa" w:w="1938"/>
          </w:tcPr>
          <w:p>
            <w:r>
              <w:rPr>
                <w:sz w:val="19"/>
              </w:rPr>
              <w:t>$$$$ (Cao cấp)</w:t>
            </w:r>
          </w:p>
        </w:tc>
        <w:tc>
          <w:tcPr>
            <w:tcW w:type="dxa" w:w="1938"/>
          </w:tcPr>
          <w:p>
            <w:r>
              <w:rPr>
                <w:sz w:val="19"/>
              </w:rPr>
              <w:t>$$$ (Cận cao cấp)</w:t>
            </w:r>
          </w:p>
        </w:tc>
        <w:tc>
          <w:tcPr>
            <w:tcW w:type="dxa" w:w="1938"/>
          </w:tcPr>
          <w:p>
            <w:r>
              <w:rPr>
                <w:sz w:val="19"/>
              </w:rPr>
              <w:t>$$$$$ (Siêu cao cấp)</w:t>
            </w:r>
          </w:p>
        </w:tc>
        <w:tc>
          <w:tcPr>
            <w:tcW w:type="dxa" w:w="1938"/>
          </w:tcPr>
          <w:p>
            <w:r>
              <w:rPr>
                <w:sz w:val="19"/>
              </w:rPr>
              <w:t>$$$$ (Cao cấp)</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