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003E3E"/>
          <w:sz w:val="24"/>
        </w:rPr>
        <w:t>CÔNG TY CỔ PHẦN SẢN XUẤT CƠ KHÍ SAO VÀNG</w:t>
      </w:r>
    </w:p>
    <w:p>
      <w:pPr>
        <w:spacing w:before="300" w:after="120"/>
        <w:jc w:val="center"/>
      </w:pPr>
      <w:r>
        <w:rPr>
          <w:rFonts w:ascii="Arial" w:hAnsi="Arial"/>
          <w:b/>
          <w:i w:val="0"/>
          <w:color w:val="705D30"/>
          <w:sz w:val="36"/>
        </w:rPr>
        <w:t>THƯ VIỆN KỸ THUẬT &amp; CATALOGUE</w:t>
        <w:br/>
        <w:t>HỆ CỬA NHÔM LIÊN DOANH VIỆT PHÁP SHAL</w:t>
      </w:r>
    </w:p>
    <w:p>
      <w:pPr>
        <w:spacing w:before="0" w:after="400"/>
        <w:jc w:val="center"/>
      </w:pPr>
      <w:r>
        <w:rPr>
          <w:rFonts w:ascii="Arial" w:hAnsi="Arial"/>
          <w:b w:val="0"/>
          <w:i w:val="0"/>
          <w:sz w:val="22"/>
        </w:rPr>
        <w:t>Tài liệu kỹ thuật tổng hợp hệ cửa nhôm liên doanh công nghệ Sepalumic (Pháp)</w:t>
        <w:br/>
        <w:t>Tích hợp phân tích ưu nhược điểm R&amp;D và ma trận so sánh phân khúc thị trường</w:t>
      </w:r>
    </w:p>
    <w:p>
      <w:pPr>
        <w:spacing w:before="0" w:after="800"/>
        <w:jc w:val="center"/>
      </w:pPr>
      <w:r>
        <w:rPr>
          <w:rFonts w:ascii="Arial" w:hAnsi="Arial"/>
          <w:b w:val="0"/>
          <w:i w:val="0"/>
          <w:sz w:val="20"/>
        </w:rPr>
        <w:t>Năm 2026 - Lưu hành nội bộ</w:t>
      </w:r>
    </w:p>
    <w:p>
      <w:pPr>
        <w:spacing w:before="240" w:after="120"/>
        <w:jc w:val="left"/>
      </w:pPr>
      <w:r>
        <w:rPr>
          <w:rFonts w:ascii="Arial" w:hAnsi="Arial"/>
          <w:b/>
          <w:i w:val="0"/>
          <w:color w:val="003E3E"/>
          <w:sz w:val="28"/>
        </w:rPr>
        <w:t>GIỚI THIỆU THƯƠNG HIỆU NHÔM VIỆT PHÁP SHAL</w:t>
      </w:r>
    </w:p>
    <w:p>
      <w:pPr>
        <w:spacing w:before="0" w:after="120"/>
        <w:jc w:val="left"/>
      </w:pPr>
      <w:r>
        <w:rPr>
          <w:rFonts w:ascii="Arial" w:hAnsi="Arial"/>
          <w:b w:val="0"/>
          <w:i w:val="0"/>
          <w:sz w:val="22"/>
        </w:rPr>
        <w:t>Nhôm Việt Pháp SHAL là sản phẩm liên doanh giữa Tập đoàn Sepalumic (Pháp) và Công ty HACIPCO thuộc UBND thành phố Hà Nội. Với hơn 2 thập kỷ hoạt động phát triển tại Việt Nam, Việt Pháp SHAL là một trong những thương hiệu nhôm định hình đầu tiên đặt nền móng cho nhôm hệ định hình sơn tĩnh điện trong nước. Năm 2015, nhà máy hiện đại quy mô lớn được khánh thành tại KCN Phúc Sơn, Ninh Bình với tổng mức đầu tư 1.180 tỷ đồng, nhập khẩu toàn bộ hệ thống máy đùn ép và sơn tĩnh điện từ Tây Ban Nha, Ý, Đức. Nhôm Việt Pháp SHAL đạt đầy đủ các tiêu chuẩn quốc tế khắc khe như AAMA, GSB, Qualicoat, JIS H4100, ASTM B221M và TCVN. Đặc biệt, hãng cam kết bảo hành bề mặt lớp sơn phủ lên tới 30 năm cho các dòng sản phẩm cao cấp rãnh C Châu Âu.</w:t>
      </w:r>
    </w:p>
    <w:p>
      <w:pPr>
        <w:spacing w:before="240" w:after="120"/>
        <w:jc w:val="left"/>
      </w:pPr>
      <w:r>
        <w:rPr>
          <w:rFonts w:ascii="Arial" w:hAnsi="Arial"/>
          <w:b/>
          <w:i w:val="0"/>
          <w:color w:val="003E3E"/>
          <w:sz w:val="28"/>
        </w:rPr>
        <w:t>CHI TIẾT THÔNG SỐ, ƯU NHƯỢC ĐIỂM R&amp;D CÁC HỆ NHÔM VIỆT PHÁP SHAL</w:t>
      </w:r>
    </w:p>
    <w:p>
      <w:pPr>
        <w:spacing w:before="120" w:after="120"/>
        <w:jc w:val="left"/>
      </w:pPr>
      <w:r>
        <w:rPr>
          <w:rFonts w:ascii="Arial" w:hAnsi="Arial"/>
          <w:b/>
          <w:i w:val="0"/>
          <w:color w:val="705D30"/>
          <w:sz w:val="24"/>
        </w:rPr>
        <w:t>1. Việt Pháp Hệ 450 (Cửa đi mở quay)</w:t>
      </w:r>
    </w:p>
    <w:p>
      <w:pPr>
        <w:pStyle w:val="ListBullet"/>
        <w:spacing w:after="60"/>
      </w:pPr>
      <w:r>
        <w:rPr>
          <w:rFonts w:ascii="Arial" w:hAnsi="Arial"/>
          <w:sz w:val="21"/>
        </w:rPr>
        <w:t>Độ dày nhôm: 1.2mm - 1.4mm.</w:t>
      </w:r>
    </w:p>
    <w:p>
      <w:pPr>
        <w:pStyle w:val="ListBullet"/>
        <w:spacing w:after="60"/>
      </w:pPr>
      <w:r>
        <w:rPr>
          <w:rFonts w:ascii="Arial" w:hAnsi="Arial"/>
          <w:sz w:val="21"/>
        </w:rPr>
        <w:t>Ưu điểm R&amp;D: Giá thành rất rẻ, dễ gia công bằng máy đột dập thông dụng, phụ kiện Kinlong hoặc Việt Pháp nội địa rất sẵn, phù hợp cho nhà cấp 4, nhà phố giá rẻ, kho xưởng.</w:t>
      </w:r>
    </w:p>
    <w:p>
      <w:pPr>
        <w:pStyle w:val="ListBullet"/>
        <w:spacing w:after="60"/>
      </w:pPr>
      <w:r>
        <w:rPr>
          <w:rFonts w:ascii="Arial" w:hAnsi="Arial"/>
          <w:sz w:val="21"/>
        </w:rPr>
        <w:t>Nhược điểm R&amp;D: Bản cánh hẹp, độ dày mỏng nên chống rung gió yếu, không tương thích phụ kiện rãnh C cao cấp, cách âm ở mức trung bình.</w:t>
      </w:r>
    </w:p>
    <w:p>
      <w:pPr>
        <w:spacing w:before="120" w:after="120"/>
        <w:jc w:val="left"/>
      </w:pPr>
      <w:r>
        <w:rPr>
          <w:rFonts w:ascii="Arial" w:hAnsi="Arial"/>
          <w:b/>
          <w:i w:val="0"/>
          <w:color w:val="705D30"/>
          <w:sz w:val="24"/>
        </w:rPr>
        <w:t>2. Việt Pháp Hệ 4400 (Cửa sổ mở quay/hất)</w:t>
      </w:r>
    </w:p>
    <w:p>
      <w:pPr>
        <w:pStyle w:val="ListBullet"/>
        <w:spacing w:after="60"/>
      </w:pPr>
      <w:r>
        <w:rPr>
          <w:rFonts w:ascii="Arial" w:hAnsi="Arial"/>
          <w:sz w:val="21"/>
        </w:rPr>
        <w:t>Độ dày nhôm: 1.1mm - 1.2mm.</w:t>
      </w:r>
    </w:p>
    <w:p>
      <w:pPr>
        <w:pStyle w:val="ListBullet"/>
        <w:spacing w:after="60"/>
      </w:pPr>
      <w:r>
        <w:rPr>
          <w:rFonts w:ascii="Arial" w:hAnsi="Arial"/>
          <w:sz w:val="21"/>
        </w:rPr>
        <w:t>Ưu điểm R&amp;D: Bản nhôm mỏng nhẹ, chi phí nguyên vật liệu siêu thấp, lắp dựng cực nhanh, đa năng làm được cả cửa sổ quay và hất.</w:t>
      </w:r>
    </w:p>
    <w:p>
      <w:pPr>
        <w:pStyle w:val="ListBullet"/>
        <w:spacing w:after="60"/>
      </w:pPr>
      <w:r>
        <w:rPr>
          <w:rFonts w:ascii="Arial" w:hAnsi="Arial"/>
          <w:sz w:val="21"/>
        </w:rPr>
        <w:t>Nhược điểm R&amp;D: Độ kín khít nước mưa trung bình, bản cánh mỏng dễ bị biến dạng nếu va đập gió lớn.</w:t>
      </w:r>
    </w:p>
    <w:p>
      <w:pPr>
        <w:spacing w:before="120" w:after="120"/>
        <w:jc w:val="left"/>
      </w:pPr>
      <w:r>
        <w:rPr>
          <w:rFonts w:ascii="Arial" w:hAnsi="Arial"/>
          <w:b/>
          <w:i w:val="0"/>
          <w:color w:val="705D30"/>
          <w:sz w:val="24"/>
        </w:rPr>
        <w:t>3. Việt Pháp Hệ 2600 (Cửa lùa trượt)</w:t>
      </w:r>
    </w:p>
    <w:p>
      <w:pPr>
        <w:pStyle w:val="ListBullet"/>
        <w:spacing w:after="60"/>
      </w:pPr>
      <w:r>
        <w:rPr>
          <w:rFonts w:ascii="Arial" w:hAnsi="Arial"/>
          <w:sz w:val="21"/>
        </w:rPr>
        <w:t>Độ dày nhôm: 1.1mm - 1.2mm.</w:t>
      </w:r>
    </w:p>
    <w:p>
      <w:pPr>
        <w:pStyle w:val="ListBullet"/>
        <w:spacing w:after="60"/>
      </w:pPr>
      <w:r>
        <w:rPr>
          <w:rFonts w:ascii="Arial" w:hAnsi="Arial"/>
          <w:sz w:val="21"/>
        </w:rPr>
        <w:t>Ưu điểm R&amp;D: Hệ lùa trượt 2 ray kinh điển, giá thành cực rẻ tiết kiệm diện tích tối đa.</w:t>
      </w:r>
    </w:p>
    <w:p>
      <w:pPr>
        <w:pStyle w:val="ListBullet"/>
        <w:spacing w:after="60"/>
      </w:pPr>
      <w:r>
        <w:rPr>
          <w:rFonts w:ascii="Arial" w:hAnsi="Arial"/>
          <w:sz w:val="21"/>
        </w:rPr>
        <w:t>Nhược điểm R&amp;D: Ray nhôm dễ mòn, độ trượt lùa nhẹ nhàng kém hơn các hệ lùa bản lớn có ray inox chặn.</w:t>
      </w:r>
    </w:p>
    <w:p>
      <w:pPr>
        <w:spacing w:before="120" w:after="120"/>
        <w:jc w:val="left"/>
      </w:pPr>
      <w:r>
        <w:rPr>
          <w:rFonts w:ascii="Arial" w:hAnsi="Arial"/>
          <w:b/>
          <w:i w:val="0"/>
          <w:color w:val="705D30"/>
          <w:sz w:val="24"/>
        </w:rPr>
        <w:t>4. Shal 55 (Nhôm hệ trung cấp)</w:t>
      </w:r>
    </w:p>
    <w:p>
      <w:pPr>
        <w:pStyle w:val="ListBullet"/>
        <w:spacing w:after="60"/>
      </w:pPr>
      <w:r>
        <w:rPr>
          <w:rFonts w:ascii="Arial" w:hAnsi="Arial"/>
          <w:sz w:val="21"/>
        </w:rPr>
        <w:t>Độ dày nhôm: 1.2mm - 1.4mm.</w:t>
      </w:r>
    </w:p>
    <w:p>
      <w:pPr>
        <w:pStyle w:val="ListBullet"/>
        <w:spacing w:after="60"/>
      </w:pPr>
      <w:r>
        <w:rPr>
          <w:rFonts w:ascii="Arial" w:hAnsi="Arial"/>
          <w:sz w:val="21"/>
        </w:rPr>
        <w:t>Ưu điểm R&amp;D: Thiết kế phẳng phiu kiểu dáng rãnh C tương tự Xingfa hiện đại, khắc phục nhược điểm thẩm mỹ của hệ 450 truyền thống.</w:t>
      </w:r>
    </w:p>
    <w:p>
      <w:pPr>
        <w:pStyle w:val="ListBullet"/>
        <w:spacing w:after="60"/>
      </w:pPr>
      <w:r>
        <w:rPr>
          <w:rFonts w:ascii="Arial" w:hAnsi="Arial"/>
          <w:sz w:val="21"/>
        </w:rPr>
        <w:t>Nhược điểm R&amp;D: Phân khúc cạnh tranh khốc liệt với nhôm PMA và Xingfa mỏng trong nước.</w:t>
      </w:r>
    </w:p>
    <w:p>
      <w:pPr>
        <w:spacing w:before="120" w:after="120"/>
        <w:jc w:val="left"/>
      </w:pPr>
      <w:r>
        <w:rPr>
          <w:rFonts w:ascii="Arial" w:hAnsi="Arial"/>
          <w:b/>
          <w:i w:val="0"/>
          <w:color w:val="705D30"/>
          <w:sz w:val="24"/>
        </w:rPr>
        <w:t>5. Việt Pháp 1100 (Vách mặt dựng Stick)</w:t>
      </w:r>
    </w:p>
    <w:p>
      <w:pPr>
        <w:pStyle w:val="ListBullet"/>
        <w:spacing w:after="60"/>
      </w:pPr>
      <w:r>
        <w:rPr>
          <w:rFonts w:ascii="Arial" w:hAnsi="Arial"/>
          <w:sz w:val="21"/>
        </w:rPr>
        <w:t>Độ dày nhôm: 1.5mm - 2.0mm.</w:t>
      </w:r>
    </w:p>
    <w:p>
      <w:pPr>
        <w:pStyle w:val="ListBullet"/>
        <w:spacing w:after="60"/>
      </w:pPr>
      <w:r>
        <w:rPr>
          <w:rFonts w:ascii="Arial" w:hAnsi="Arial"/>
          <w:sz w:val="21"/>
        </w:rPr>
        <w:t>Ưu điểm R&amp;D: Giá nhôm mặt dựng Stick nội địa rẻ, lắp đặt không cần cầu trục chuyên dụng lớn, giảm thiểu chi phí đầu tư.</w:t>
      </w:r>
    </w:p>
    <w:p>
      <w:pPr>
        <w:pStyle w:val="ListBullet"/>
        <w:spacing w:after="60"/>
      </w:pPr>
      <w:r>
        <w:rPr>
          <w:rFonts w:ascii="Arial" w:hAnsi="Arial"/>
          <w:sz w:val="21"/>
        </w:rPr>
        <w:t>Nhược điểm R&amp;D: Khả năng chống thấm dột dài hạn phụ thuộc hoàn toàn vào tay nghề đi keo ngoài công trường.</w:t>
      </w:r>
    </w:p>
    <w:p>
      <w:pPr>
        <w:spacing w:before="120" w:after="120"/>
        <w:jc w:val="left"/>
      </w:pPr>
      <w:r>
        <w:rPr>
          <w:rFonts w:ascii="Arial" w:hAnsi="Arial"/>
          <w:b/>
          <w:i w:val="0"/>
          <w:color w:val="705D30"/>
          <w:sz w:val="24"/>
        </w:rPr>
        <w:t>6. Shal Premium (Hệ rãnh C cao cấp bảo hành 30 năm)</w:t>
      </w:r>
    </w:p>
    <w:p>
      <w:pPr>
        <w:pStyle w:val="ListBullet"/>
        <w:spacing w:after="60"/>
      </w:pPr>
      <w:r>
        <w:rPr>
          <w:rFonts w:ascii="Arial" w:hAnsi="Arial"/>
          <w:sz w:val="21"/>
        </w:rPr>
        <w:t>Độ dày nhôm: 1.6mm - 2.0mm chuẩn rãnh C.</w:t>
      </w:r>
    </w:p>
    <w:p>
      <w:pPr>
        <w:pStyle w:val="ListBullet"/>
        <w:spacing w:after="60"/>
      </w:pPr>
      <w:r>
        <w:rPr>
          <w:rFonts w:ascii="Arial" w:hAnsi="Arial"/>
          <w:sz w:val="21"/>
        </w:rPr>
        <w:t>Ưu điểm R&amp;D: Lớp sơn phủ cao cấp nhập khẩu bảo hành bề mặt lên tới 30 năm chống phai màu, kết cấu rãnh C Châu Âu tích hợp CMECH/Roto cách âm cách nhiệt hoàn hảo.</w:t>
      </w:r>
    </w:p>
    <w:p>
      <w:pPr>
        <w:pStyle w:val="ListBullet"/>
        <w:spacing w:after="60"/>
      </w:pPr>
      <w:r>
        <w:rPr>
          <w:rFonts w:ascii="Arial" w:hAnsi="Arial"/>
          <w:sz w:val="21"/>
        </w:rPr>
        <w:t>Nhược điểm R&amp;D: Chi phí sản xuất cao, định vị phân khúc khách hàng cao cấp khó bán hơn các dòng nhôm bình dân.</w:t>
      </w:r>
    </w:p>
    <w:p>
      <w:pPr>
        <w:spacing w:before="240" w:after="120"/>
        <w:jc w:val="left"/>
      </w:pPr>
      <w:r>
        <w:rPr>
          <w:rFonts w:ascii="Arial" w:hAnsi="Arial"/>
          <w:b/>
          <w:i w:val="0"/>
          <w:color w:val="003E3E"/>
          <w:sz w:val="28"/>
        </w:rPr>
        <w:t>PHẦN SO SÁNH MA TRẬN PHÂN KHÚC HỆ VIỆT PHÁP 450 VỚI ĐỐI THỦ CẠNH TRANH</w:t>
      </w:r>
    </w:p>
    <w:p>
      <w:pPr>
        <w:spacing w:before="0" w:after="120"/>
        <w:jc w:val="left"/>
      </w:pPr>
      <w:r>
        <w:rPr>
          <w:rFonts w:ascii="Arial" w:hAnsi="Arial"/>
          <w:b w:val="0"/>
          <w:i w:val="0"/>
          <w:sz w:val="22"/>
        </w:rPr>
        <w:t>Bảng ma trận so sánh chéo đặc tính kỹ thuật hệ nhôm Việt Pháp 450 truyền thống với các dòng nhôm phân khúc phổ thông và cận trung cấp trên thị trường: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Pr>
                <w:b/>
                <w:sz w:val="20"/>
              </w:rPr>
              <w:t>Đặc tính so sánh</w:t>
            </w:r>
          </w:p>
        </w:tc>
        <w:tc>
          <w:tcPr>
            <w:tcW w:type="dxa" w:w="1938"/>
          </w:tcPr>
          <w:p>
            <w:r>
              <w:rPr>
                <w:b/>
                <w:sz w:val="20"/>
              </w:rPr>
              <w:t>Việt Pháp 450</w:t>
            </w:r>
          </w:p>
        </w:tc>
        <w:tc>
          <w:tcPr>
            <w:tcW w:type="dxa" w:w="1938"/>
          </w:tcPr>
          <w:p>
            <w:r>
              <w:rPr>
                <w:b/>
                <w:sz w:val="20"/>
              </w:rPr>
              <w:t>PMA 55</w:t>
            </w:r>
          </w:p>
        </w:tc>
        <w:tc>
          <w:tcPr>
            <w:tcW w:type="dxa" w:w="1938"/>
          </w:tcPr>
          <w:p>
            <w:r>
              <w:rPr>
                <w:b/>
                <w:sz w:val="20"/>
              </w:rPr>
              <w:t>Topal Slida</w:t>
            </w:r>
          </w:p>
        </w:tc>
        <w:tc>
          <w:tcPr>
            <w:tcW w:type="dxa" w:w="1938"/>
          </w:tcPr>
          <w:p>
            <w:r>
              <w:rPr>
                <w:b/>
                <w:sz w:val="20"/>
              </w:rPr>
              <w:t>Xingfa Việt Nam</w:t>
            </w:r>
          </w:p>
        </w:tc>
      </w:tr>
      <w:tr>
        <w:tc>
          <w:tcPr>
            <w:tcW w:type="dxa" w:w="1938"/>
          </w:tcPr>
          <w:p>
            <w:r>
              <w:rPr>
                <w:b/>
                <w:sz w:val="19"/>
              </w:rPr>
              <w:t>Độ dày cánh cửa</w:t>
            </w:r>
          </w:p>
        </w:tc>
        <w:tc>
          <w:tcPr>
            <w:tcW w:type="dxa" w:w="1938"/>
          </w:tcPr>
          <w:p>
            <w:r>
              <w:rPr>
                <w:sz w:val="19"/>
              </w:rPr>
              <w:t>1.2mm - 1.4mm</w:t>
            </w:r>
          </w:p>
        </w:tc>
        <w:tc>
          <w:tcPr>
            <w:tcW w:type="dxa" w:w="1938"/>
          </w:tcPr>
          <w:p>
            <w:r>
              <w:rPr>
                <w:sz w:val="19"/>
              </w:rPr>
              <w:t>1.2mm - 1.4mm</w:t>
            </w:r>
          </w:p>
        </w:tc>
        <w:tc>
          <w:tcPr>
            <w:tcW w:type="dxa" w:w="1938"/>
          </w:tcPr>
          <w:p>
            <w:r>
              <w:rPr>
                <w:sz w:val="19"/>
              </w:rPr>
              <w:t>1.2mm</w:t>
            </w:r>
          </w:p>
        </w:tc>
        <w:tc>
          <w:tcPr>
            <w:tcW w:type="dxa" w:w="1938"/>
          </w:tcPr>
          <w:p>
            <w:r>
              <w:rPr>
                <w:sz w:val="19"/>
              </w:rPr>
              <w:t>1.4mm</w:t>
            </w:r>
          </w:p>
        </w:tc>
      </w:tr>
      <w:tr>
        <w:tc>
          <w:tcPr>
            <w:tcW w:type="dxa" w:w="1938"/>
          </w:tcPr>
          <w:p>
            <w:r>
              <w:rPr>
                <w:b/>
                <w:sz w:val="19"/>
              </w:rPr>
              <w:t>Kiểu dáng nẹp kính</w:t>
            </w:r>
          </w:p>
        </w:tc>
        <w:tc>
          <w:tcPr>
            <w:tcW w:type="dxa" w:w="1938"/>
          </w:tcPr>
          <w:p>
            <w:r>
              <w:rPr>
                <w:sz w:val="19"/>
              </w:rPr>
              <w:t>Nẹp sập rời truyền thống</w:t>
            </w:r>
          </w:p>
        </w:tc>
        <w:tc>
          <w:tcPr>
            <w:tcW w:type="dxa" w:w="1938"/>
          </w:tcPr>
          <w:p>
            <w:r>
              <w:rPr>
                <w:sz w:val="19"/>
              </w:rPr>
              <w:t>Nẹp liền sập vát cạnh</w:t>
            </w:r>
          </w:p>
        </w:tc>
        <w:tc>
          <w:tcPr>
            <w:tcW w:type="dxa" w:w="1938"/>
          </w:tcPr>
          <w:p>
            <w:r>
              <w:rPr>
                <w:sz w:val="19"/>
              </w:rPr>
              <w:t>Nẹp sập rời vuông</w:t>
            </w:r>
          </w:p>
        </w:tc>
        <w:tc>
          <w:tcPr>
            <w:tcW w:type="dxa" w:w="1938"/>
          </w:tcPr>
          <w:p>
            <w:r>
              <w:rPr>
                <w:sz w:val="19"/>
              </w:rPr>
              <w:t>Nẹp sập bo tròn</w:t>
            </w:r>
          </w:p>
        </w:tc>
      </w:tr>
      <w:tr>
        <w:tc>
          <w:tcPr>
            <w:tcW w:type="dxa" w:w="1938"/>
          </w:tcPr>
          <w:p>
            <w:r>
              <w:rPr>
                <w:b/>
                <w:sz w:val="19"/>
              </w:rPr>
              <w:t>Độ bền màu sơn phủ</w:t>
            </w:r>
          </w:p>
        </w:tc>
        <w:tc>
          <w:tcPr>
            <w:tcW w:type="dxa" w:w="1938"/>
          </w:tcPr>
          <w:p>
            <w:r>
              <w:rPr>
                <w:sz w:val="19"/>
              </w:rPr>
              <w:t>Bảo hành 5-10 năm</w:t>
            </w:r>
          </w:p>
        </w:tc>
        <w:tc>
          <w:tcPr>
            <w:tcW w:type="dxa" w:w="1938"/>
          </w:tcPr>
          <w:p>
            <w:r>
              <w:rPr>
                <w:sz w:val="19"/>
              </w:rPr>
              <w:t>Bảo hành 10-15 năm</w:t>
            </w:r>
          </w:p>
        </w:tc>
        <w:tc>
          <w:tcPr>
            <w:tcW w:type="dxa" w:w="1938"/>
          </w:tcPr>
          <w:p>
            <w:r>
              <w:rPr>
                <w:sz w:val="19"/>
              </w:rPr>
              <w:t>Bảo hành 10 năm</w:t>
            </w:r>
          </w:p>
        </w:tc>
        <w:tc>
          <w:tcPr>
            <w:tcW w:type="dxa" w:w="1938"/>
          </w:tcPr>
          <w:p>
            <w:r>
              <w:rPr>
                <w:sz w:val="19"/>
              </w:rPr>
              <w:t>Bảo hành 10 năm</w:t>
            </w:r>
          </w:p>
        </w:tc>
      </w:tr>
      <w:tr>
        <w:tc>
          <w:tcPr>
            <w:tcW w:type="dxa" w:w="1938"/>
          </w:tcPr>
          <w:p>
            <w:r>
              <w:rPr>
                <w:b/>
                <w:sz w:val="19"/>
              </w:rPr>
              <w:t>Hệ phụ kiện phổ biến</w:t>
            </w:r>
          </w:p>
        </w:tc>
        <w:tc>
          <w:tcPr>
            <w:tcW w:type="dxa" w:w="1938"/>
          </w:tcPr>
          <w:p>
            <w:r>
              <w:rPr>
                <w:sz w:val="19"/>
              </w:rPr>
              <w:t>Chốt gạt Việt Pháp / Kinlong</w:t>
            </w:r>
          </w:p>
        </w:tc>
        <w:tc>
          <w:tcPr>
            <w:tcW w:type="dxa" w:w="1938"/>
          </w:tcPr>
          <w:p>
            <w:r>
              <w:rPr>
                <w:sz w:val="19"/>
              </w:rPr>
              <w:t>PMA / Kinlong rãnh 22</w:t>
            </w:r>
          </w:p>
        </w:tc>
        <w:tc>
          <w:tcPr>
            <w:tcW w:type="dxa" w:w="1938"/>
          </w:tcPr>
          <w:p>
            <w:r>
              <w:rPr>
                <w:sz w:val="19"/>
              </w:rPr>
              <w:t>Topal đồng bộ</w:t>
            </w:r>
          </w:p>
        </w:tc>
        <w:tc>
          <w:tcPr>
            <w:tcW w:type="dxa" w:w="1938"/>
          </w:tcPr>
          <w:p>
            <w:r>
              <w:rPr>
                <w:sz w:val="19"/>
              </w:rPr>
              <w:t>Kinlong / Draho rãnh 22</w:t>
            </w:r>
          </w:p>
        </w:tc>
      </w:tr>
      <w:tr>
        <w:tc>
          <w:tcPr>
            <w:tcW w:type="dxa" w:w="1938"/>
          </w:tcPr>
          <w:p>
            <w:r>
              <w:rPr>
                <w:b/>
                <w:sz w:val="19"/>
              </w:rPr>
              <w:t>Phân khúc giá</w:t>
            </w:r>
          </w:p>
        </w:tc>
        <w:tc>
          <w:tcPr>
            <w:tcW w:type="dxa" w:w="1938"/>
          </w:tcPr>
          <w:p>
            <w:r>
              <w:rPr>
                <w:sz w:val="19"/>
              </w:rPr>
              <w:t>$ (Siêu tiết kiệm)</w:t>
            </w:r>
          </w:p>
        </w:tc>
        <w:tc>
          <w:tcPr>
            <w:tcW w:type="dxa" w:w="1938"/>
          </w:tcPr>
          <w:p>
            <w:r>
              <w:rPr>
                <w:sz w:val="19"/>
              </w:rPr>
              <w:t>$$ (Bình dân giá tốt)</w:t>
            </w:r>
          </w:p>
        </w:tc>
        <w:tc>
          <w:tcPr>
            <w:tcW w:type="dxa" w:w="1938"/>
          </w:tcPr>
          <w:p>
            <w:r>
              <w:rPr>
                <w:sz w:val="19"/>
              </w:rPr>
              <w:t>$$ (Tầm trung)</w:t>
            </w:r>
          </w:p>
        </w:tc>
        <w:tc>
          <w:tcPr>
            <w:tcW w:type="dxa" w:w="1938"/>
          </w:tcPr>
          <w:p>
            <w:r>
              <w:rPr>
                <w:sz w:val="19"/>
              </w:rPr>
              <w:t>$$ (Tầm trung)</w:t>
            </w:r>
          </w:p>
        </w:tc>
      </w:tr>
    </w:tbl>
    <w:p/>
    <w:p>
      <w:pPr>
        <w:spacing w:before="0" w:after="120"/>
        <w:jc w:val="left"/>
      </w:pPr>
      <w:r>
        <w:rPr>
          <w:rFonts w:ascii="Arial" w:hAnsi="Arial"/>
          <w:b w:val="0"/>
          <w:i/>
          <w:sz w:val="20"/>
        </w:rPr>
        <w:t>Tài liệu lưu hành nội bộ và thuộc bản quyền R&amp;D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