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706B9" w14:textId="04F1DF5C" w:rsidR="00490CEC" w:rsidRPr="00FE405D" w:rsidRDefault="00F27112" w:rsidP="00E8301D">
      <w:pPr>
        <w:spacing w:line="360" w:lineRule="auto"/>
        <w:ind w:right="234"/>
        <w:jc w:val="both"/>
        <w:rPr>
          <w:b/>
          <w:bCs/>
          <w:sz w:val="28"/>
          <w:szCs w:val="28"/>
          <w:lang w:val="vi-VN"/>
        </w:rPr>
      </w:pPr>
      <w:r w:rsidRPr="00FE405D">
        <w:rPr>
          <w:b/>
          <w:bCs/>
          <w:sz w:val="28"/>
          <w:szCs w:val="28"/>
        </w:rPr>
        <w:t>Does corporate digitalization build trust? Evidence from trade credit access in an emerging market</w:t>
      </w:r>
    </w:p>
    <w:p w14:paraId="2E01A194" w14:textId="790E790E" w:rsidR="00EA70A2" w:rsidRPr="00E8301D" w:rsidRDefault="002B4E10" w:rsidP="00E8301D">
      <w:pPr>
        <w:spacing w:line="360" w:lineRule="auto"/>
        <w:ind w:right="234"/>
        <w:jc w:val="both"/>
        <w:rPr>
          <w:b/>
          <w:bCs/>
          <w:iCs/>
          <w:lang w:val="vi-VN"/>
        </w:rPr>
      </w:pPr>
      <w:r w:rsidRPr="00E8301D">
        <w:rPr>
          <w:b/>
          <w:shd w:val="clear" w:color="auto" w:fill="FFFFFF"/>
        </w:rPr>
        <w:t>ABSTRACT</w:t>
      </w:r>
    </w:p>
    <w:p w14:paraId="4951AC2E" w14:textId="7C99584B" w:rsidR="00AC63BD" w:rsidRPr="00E8301D" w:rsidRDefault="00DF61C1" w:rsidP="00E8301D">
      <w:pPr>
        <w:spacing w:line="360" w:lineRule="auto"/>
        <w:ind w:right="234"/>
        <w:jc w:val="both"/>
        <w:rPr>
          <w:i/>
          <w:iCs/>
        </w:rPr>
      </w:pPr>
      <w:r w:rsidRPr="00DF61C1">
        <w:rPr>
          <w:i/>
          <w:iCs/>
        </w:rPr>
        <w:t>This study investigates how corporate digitalization strategically impacts trade credit access within supply chains, focusing on the dynamic, rapidly digitizing emerging market of Vietnam. Utilizing a comprehensive panel dataset of listed firms from 2015 to 2024, we employ machine learning-based textual analysis to construct a corporate digitalization index. To address endogeneity, we exploit the staggered rollout of provincial digital transformation action plans as a quasi-natural experiment within a staggered difference-in-differences (DID) framework. Our findings reveal that digital transformation significantly enhances a firm's access to trade credit by establishing "digital trust." This digital trust premium is particularly pronounced for non-state-owned enterprises (non-SOEs) seeking to overcome institutional voids, as well as in environments characterized by high information asymmetry and economic policy uncertainty. Crucially, from a network perspective, digitalization exhibits a persistent effect over time and equips firms with a dual capacity: it secures short-term upstream credit while simultaneously enabling firms to increase trade credit provision to downstream partners. Ultimately, this study highlights corporate digitalization as a strategic institutional equalizer in Asia-Pacific markets, offering vital insights for managers and policymakers aiming to optimize working capital and build resilient inter-firm partnerships</w:t>
      </w:r>
      <w:r w:rsidR="00347ACB" w:rsidRPr="00E8301D">
        <w:rPr>
          <w:i/>
          <w:iCs/>
        </w:rPr>
        <w:t>.</w:t>
      </w:r>
    </w:p>
    <w:p w14:paraId="177F917B" w14:textId="3932903B" w:rsidR="009127D9" w:rsidRDefault="00AC63BD" w:rsidP="00E8301D">
      <w:pPr>
        <w:spacing w:line="360" w:lineRule="auto"/>
        <w:ind w:right="234"/>
        <w:jc w:val="both"/>
        <w:rPr>
          <w:i/>
        </w:rPr>
      </w:pPr>
      <w:r w:rsidRPr="00E8301D">
        <w:rPr>
          <w:b/>
        </w:rPr>
        <w:t>Keywords:</w:t>
      </w:r>
      <w:r w:rsidRPr="00E8301D">
        <w:rPr>
          <w:i/>
        </w:rPr>
        <w:t xml:space="preserve"> </w:t>
      </w:r>
      <w:r w:rsidR="006E0E7A" w:rsidRPr="006E0E7A">
        <w:rPr>
          <w:i/>
        </w:rPr>
        <w:t xml:space="preserve">Corporate digitalization; Trade credit; Digital trust; Informal institutions; Difference-in-differences; </w:t>
      </w:r>
      <w:r w:rsidR="00DF61C1" w:rsidRPr="00DF61C1">
        <w:rPr>
          <w:i/>
        </w:rPr>
        <w:t>Asia-Pacific emerging markets</w:t>
      </w:r>
      <w:r w:rsidR="009127D9" w:rsidRPr="00E8301D">
        <w:rPr>
          <w:i/>
        </w:rPr>
        <w:t>.</w:t>
      </w:r>
    </w:p>
    <w:p w14:paraId="1D296798" w14:textId="0E341779" w:rsidR="005E0F3E" w:rsidRPr="00F42390" w:rsidRDefault="005E0F3E" w:rsidP="00E8301D">
      <w:pPr>
        <w:spacing w:line="360" w:lineRule="auto"/>
        <w:ind w:right="234"/>
        <w:jc w:val="both"/>
        <w:rPr>
          <w:i/>
          <w:lang w:val="vi-VN"/>
        </w:rPr>
      </w:pPr>
      <w:r w:rsidRPr="005E0F3E">
        <w:rPr>
          <w:b/>
          <w:bCs/>
          <w:iCs/>
        </w:rPr>
        <w:t>JEL Classification:</w:t>
      </w:r>
      <w:r w:rsidRPr="005E0F3E">
        <w:rPr>
          <w:i/>
        </w:rPr>
        <w:t xml:space="preserve"> G32; O33; P31.</w:t>
      </w:r>
      <w:r w:rsidR="00F42390">
        <w:rPr>
          <w:i/>
          <w:lang w:val="vi-VN"/>
        </w:rPr>
        <w:tab/>
      </w:r>
    </w:p>
    <w:p w14:paraId="6ED391DE" w14:textId="4D9643E5" w:rsidR="00D122D1" w:rsidRDefault="002454BC" w:rsidP="00E8301D">
      <w:pPr>
        <w:spacing w:before="120" w:after="120" w:line="360" w:lineRule="auto"/>
        <w:ind w:right="234"/>
        <w:jc w:val="both"/>
        <w:rPr>
          <w:lang w:val="vi-VN"/>
        </w:rPr>
      </w:pPr>
      <w:r w:rsidRPr="00E8301D">
        <w:rPr>
          <w:rStyle w:val="fontstyle01"/>
          <w:rFonts w:ascii="Times New Roman" w:hAnsi="Times New Roman"/>
          <w:color w:val="auto"/>
          <w:sz w:val="24"/>
          <w:szCs w:val="24"/>
          <w:lang w:val="vi-VN"/>
        </w:rPr>
        <w:t xml:space="preserve">1. </w:t>
      </w:r>
      <w:r w:rsidRPr="00E8301D">
        <w:rPr>
          <w:rStyle w:val="fontstyle01"/>
          <w:rFonts w:ascii="Times New Roman" w:hAnsi="Times New Roman"/>
          <w:color w:val="auto"/>
          <w:sz w:val="24"/>
          <w:szCs w:val="24"/>
        </w:rPr>
        <w:t>Introduction</w:t>
      </w:r>
      <w:r w:rsidRPr="00E8301D">
        <w:t xml:space="preserve"> </w:t>
      </w:r>
    </w:p>
    <w:p w14:paraId="5E713D51" w14:textId="18676307" w:rsidR="00F42390" w:rsidRPr="00F42390" w:rsidRDefault="00F42390" w:rsidP="00F42390">
      <w:pPr>
        <w:spacing w:before="120" w:after="120" w:line="360" w:lineRule="auto"/>
        <w:ind w:right="234"/>
        <w:jc w:val="both"/>
        <w:rPr>
          <w:lang w:val="vi-VN"/>
        </w:rPr>
      </w:pPr>
      <w:r w:rsidRPr="00F42390">
        <w:t xml:space="preserve">The application of artificial intelligence (AI)-enabled systems to the workforce has fundamentally changed job content by reducing routinization and set procedures, making employee creativity increasingly essential for effective adaptation. As AI automation takes over repetitive duties, it shifts the focus of human work toward a greater proportion of non-routine tasks that require higher-level problem-solving. This structural shift introduces a crucial phenomenon known as AI-enabled job non-routinization (AI-JN), which is defined as the extent to which work tasks involve greater uncertainty, fewer set procedures, and complex cognitive demands. In the context of smart seaports and maritime logistics—specifically in the rapidly digitalizing hubs of Southeast Vietnam, such as the Cai Mep - </w:t>
      </w:r>
      <w:proofErr w:type="spellStart"/>
      <w:r w:rsidRPr="00F42390">
        <w:t>Thi</w:t>
      </w:r>
      <w:proofErr w:type="spellEnd"/>
      <w:r w:rsidRPr="00F42390">
        <w:t xml:space="preserve"> Vai port clusters—AI systems (e.g., smart container routing, automated customs clearance) operate under immense time pressure. As algorithms assume control over routine coordination, logistics employees are increasingly pushed to navigate unpredictable supply chain disruptions and complex interpersonal negotiations, rendering AI-JN a prominent and stressful </w:t>
      </w:r>
      <w:r w:rsidRPr="00F42390">
        <w:lastRenderedPageBreak/>
        <w:t>workplace reality.  While existing literature has primarily explored AI-JN through the transactional theory of stress—highlighting how cognitive appraisals (challenge versus hindrance) lead to dual forms of creativity—our understanding of the deeper psychological and identity-based reactions to AI remains limited. Non-routine tasks demand continuous cognitive and emotional resources due to their unpredictability. However, in fast-paced logistics environments, AI does not merely alter task composition; its deployment directly interacts with employees' sense of self and professional standing. Therefore, drawing upon Affective Events and Identity Theory (</w:t>
      </w:r>
      <w:proofErr w:type="spellStart"/>
      <w:r w:rsidRPr="00F42390">
        <w:t>Petriglieri</w:t>
      </w:r>
      <w:proofErr w:type="spellEnd"/>
      <w:r w:rsidRPr="00F42390">
        <w:t>, 2011), this study argues that the emotional and identity-driven responses to AI-JN offer a more profound explanation for employee creative behaviors in high-stakes technological transitions.  Specifically, we propose that AI-JN drives dual creativity outcomes—proactive and responsive creativity—through two distinct psychological pathways: creative self-efficacy and professional identity threat. On one hand, by freeing up resources from mundane tasks, AI-JN can provide opportunities for mastery and personal growth. This shift can elevate an employee's creative self-efficacy (Tierney &amp; Farmer, 2002), subsequently fostering proactive creativity, which is defined as the voluntary generation of novel ideas driven by intrinsic motivation. On the other hand, AI-JN introduces high unpredictability that can deplete an employee's mental resource pool. When AI encroaches upon decision-making territories traditionally held by human coordinators, it can trigger a professional identity threat (</w:t>
      </w:r>
      <w:proofErr w:type="spellStart"/>
      <w:r w:rsidRPr="00F42390">
        <w:t>Petriglieri</w:t>
      </w:r>
      <w:proofErr w:type="spellEnd"/>
      <w:r w:rsidRPr="00F42390">
        <w:t>, 2011). Experiencing this threat restricts employees' cognitive capacities, forcing them to engage in responsive creativity, which acts as a passive, minimum-effort coping mechanism to meet immediate, external creative demands.  Crucially, the translation of AI-JN into either creative self-efficacy or professional identity threat depends on the psychological relationship between the logistics employee and the algorithmic system. We identify algorithmic trust (</w:t>
      </w:r>
      <w:proofErr w:type="spellStart"/>
      <w:r w:rsidRPr="00F42390">
        <w:t>Glikson</w:t>
      </w:r>
      <w:proofErr w:type="spellEnd"/>
      <w:r w:rsidRPr="00F42390">
        <w:t xml:space="preserve"> &amp; Woolley, 2020) as a critical boundary condition. The transactional theory of stress suggests that individual responses to stressors are heavily regulated by available coping resources. In a smart seaport context, trust in AI functions as this vital psychological resource. When employees trust the AI systems coordinating their port operations, they are more likely to view AI-JN as an augmentation of their own capabilities, thereby boosting their creative self-efficacy. Conversely, a lack of trust in AI algorithms exacerbates the fear of unpredictability, amplifying professional identity threat and channeling efforts strictly into responsive creativity.  By testing this moderated mediation model in the specific context of Southeast Vietnam's seaport logistics, this study makes three significant contributions. First, it extends the AI-JN literature by incorporating Affective Events and Identity Theory, moving beyond traditional cognitive stress appraisals to capture the identity-level friction between human operators and AI. Second, it enriches the creativity literature by demonstrating how algorithmic trust bifurcates employee motivation into proactive versus responsive creative behaviors[cite: 1]. Finally, it provides contextualized, practical insights for port authorities and maritime </w:t>
      </w:r>
      <w:r w:rsidRPr="00F42390">
        <w:lastRenderedPageBreak/>
        <w:t>organizations on how to manage human-AI integration by fostering trust and safeguarding professional identity in an era of aggressive digital transformation.</w:t>
      </w:r>
    </w:p>
    <w:p w14:paraId="6F3D0F07" w14:textId="09B12B56" w:rsidR="002454BC" w:rsidRPr="00E8301D" w:rsidRDefault="002454BC" w:rsidP="00E8301D">
      <w:pPr>
        <w:spacing w:before="120" w:after="120" w:line="360" w:lineRule="auto"/>
        <w:ind w:right="234"/>
        <w:jc w:val="both"/>
        <w:rPr>
          <w:b/>
          <w:bCs/>
          <w:sz w:val="22"/>
          <w:szCs w:val="22"/>
          <w:lang w:val="vi-VN"/>
        </w:rPr>
      </w:pPr>
      <w:r w:rsidRPr="00E8301D">
        <w:rPr>
          <w:b/>
          <w:bCs/>
          <w:lang w:val="en-US"/>
        </w:rPr>
        <w:t xml:space="preserve">2. </w:t>
      </w:r>
      <w:r w:rsidR="000E02A7" w:rsidRPr="000E02A7">
        <w:rPr>
          <w:b/>
          <w:bCs/>
        </w:rPr>
        <w:t>Literature review and research hypotheses</w:t>
      </w:r>
    </w:p>
    <w:p w14:paraId="4881A4DC" w14:textId="77777777" w:rsidR="000E02A7" w:rsidRDefault="008A5406" w:rsidP="00E8301D">
      <w:pPr>
        <w:pStyle w:val="BodyText"/>
        <w:spacing w:line="360" w:lineRule="auto"/>
        <w:ind w:left="0" w:right="234" w:firstLine="0"/>
        <w:rPr>
          <w:b/>
          <w:bCs/>
          <w:lang w:val="vi-VN"/>
        </w:rPr>
      </w:pPr>
      <w:r w:rsidRPr="00E8301D">
        <w:rPr>
          <w:b/>
          <w:bCs/>
          <w:lang w:val="vi-VN"/>
        </w:rPr>
        <w:t xml:space="preserve">2.1 </w:t>
      </w:r>
      <w:r w:rsidR="000E02A7" w:rsidRPr="000E02A7">
        <w:rPr>
          <w:b/>
          <w:bCs/>
        </w:rPr>
        <w:t>Literature Review</w:t>
      </w:r>
    </w:p>
    <w:p w14:paraId="56A92040" w14:textId="77777777" w:rsidR="00A902D0" w:rsidRDefault="000E02A7" w:rsidP="000E02A7">
      <w:pPr>
        <w:spacing w:before="120" w:after="120" w:line="360" w:lineRule="auto"/>
        <w:ind w:right="234"/>
        <w:jc w:val="both"/>
        <w:rPr>
          <w:lang w:val="vi-VN"/>
        </w:rPr>
      </w:pPr>
      <w:r w:rsidRPr="000E02A7">
        <w:rPr>
          <w:b/>
          <w:bCs/>
        </w:rPr>
        <w:t>2.1.1. Trade Credit in Emerging Markets</w:t>
      </w:r>
      <w:r w:rsidRPr="000E02A7">
        <w:t xml:space="preserve"> </w:t>
      </w:r>
    </w:p>
    <w:p w14:paraId="2DD4F601" w14:textId="6AAC3B75" w:rsidR="000E02A7" w:rsidRPr="000E02A7" w:rsidRDefault="007F4D4F" w:rsidP="000E02A7">
      <w:pPr>
        <w:spacing w:before="120" w:after="120" w:line="360" w:lineRule="auto"/>
        <w:ind w:right="234"/>
        <w:jc w:val="both"/>
      </w:pPr>
      <w:r w:rsidRPr="007F4D4F">
        <w:t>According to Petersen and Rajan (1997), trade credit is essentially a short-term financing arrangement in which suppliers permit purchasers to postpone payments for products and services. According to the financing advantage theory, suppliers can offer credit more effectively than traditional financial institutions since they have greater information about the business conditions of their clients (</w:t>
      </w:r>
      <w:proofErr w:type="spellStart"/>
      <w:r w:rsidRPr="007F4D4F">
        <w:t>Biais</w:t>
      </w:r>
      <w:proofErr w:type="spellEnd"/>
      <w:r w:rsidRPr="007F4D4F">
        <w:t xml:space="preserve"> &amp; Gollier, 1997). Trade credit is an essential alternative to bank financing in emerging nations where formal institutional gaps and financial frictions are common (Allen, Qian, &amp; Qian, 2005; Fisman &amp; Love, 2003</w:t>
      </w:r>
      <w:r w:rsidR="000E02A7" w:rsidRPr="000E02A7">
        <w:t xml:space="preserve">). Despite its unsecured nature, the provision of trade credit relies heavily on relational capital, reputation, and mutual trust between supply chain partners (Giannetti, Burkart, &amp; Ellingsen, 2011; Wu et al., 2022). Consequently, firms that can successfully signal reliability and operational transparency </w:t>
      </w:r>
      <w:r w:rsidRPr="007F4D4F">
        <w:t>are more likely to obtain trade credit at higher levels (Garcia-Teruel &amp; Martinez-Solano, 2010)</w:t>
      </w:r>
      <w:r w:rsidR="000E02A7" w:rsidRPr="000E02A7">
        <w:t>.</w:t>
      </w:r>
    </w:p>
    <w:p w14:paraId="08DCCA5C" w14:textId="77777777" w:rsidR="009B214F" w:rsidRDefault="000E02A7" w:rsidP="000E02A7">
      <w:pPr>
        <w:spacing w:before="120" w:after="120" w:line="360" w:lineRule="auto"/>
        <w:ind w:right="234"/>
        <w:jc w:val="both"/>
        <w:rPr>
          <w:lang w:val="vi-VN"/>
        </w:rPr>
      </w:pPr>
      <w:r w:rsidRPr="000E02A7">
        <w:rPr>
          <w:b/>
          <w:bCs/>
        </w:rPr>
        <w:t>2.1.2. Corporate Digitalization and Firm Outcomes</w:t>
      </w:r>
      <w:r w:rsidRPr="000E02A7">
        <w:t xml:space="preserve"> </w:t>
      </w:r>
    </w:p>
    <w:p w14:paraId="5DEE57E8" w14:textId="42E62BB9" w:rsidR="000E02A7" w:rsidRPr="000E02A7" w:rsidRDefault="000E02A7" w:rsidP="000E02A7">
      <w:pPr>
        <w:spacing w:before="120" w:after="120" w:line="360" w:lineRule="auto"/>
        <w:ind w:right="234"/>
        <w:jc w:val="both"/>
      </w:pPr>
      <w:r w:rsidRPr="000E02A7">
        <w:t xml:space="preserve">Corporate digitalization refers to the </w:t>
      </w:r>
      <w:r w:rsidR="007F4D4F" w:rsidRPr="007F4D4F">
        <w:t>incorporating digital technology into a company's management and operational procedures, such as cloud computing, artificial intelligence, big data, and automated enterprise resource planning (ERP) systems (Goldfarb &amp; Tucker, 2019). Current research shows that by reducing information asymmetry, digital transformation significantly improves organizational results</w:t>
      </w:r>
      <w:r w:rsidRPr="000E02A7">
        <w:t>, optimizing resource allocation, and improving internal governance (Verburg et al., 2018). Furthermore, digitalization enables real-time data tracking and enhances the quality of financial disclosures, thereby reducing the monitoring costs for external stakeholders (</w:t>
      </w:r>
      <w:proofErr w:type="spellStart"/>
      <w:r w:rsidRPr="000E02A7">
        <w:t>Ghasemaghaei</w:t>
      </w:r>
      <w:proofErr w:type="spellEnd"/>
      <w:r w:rsidRPr="000E02A7">
        <w:t xml:space="preserve"> &amp; </w:t>
      </w:r>
      <w:proofErr w:type="spellStart"/>
      <w:r w:rsidRPr="000E02A7">
        <w:t>Calic</w:t>
      </w:r>
      <w:proofErr w:type="spellEnd"/>
      <w:r w:rsidRPr="000E02A7">
        <w:t>, 2019). Recent studies have begun to explore the financial implications of digitalization, noting its positive effect on reducing the cost of debt and easing general financing constraints (Hu et al., 2024; Liu &amp; Wang, 2023). However, its specific role as an informal institutional mechanism to foster "digital trust" in supply chain financing requires further theoretical and empirical elaboration.</w:t>
      </w:r>
    </w:p>
    <w:p w14:paraId="1BAF4D6E" w14:textId="77777777" w:rsidR="000E02A7" w:rsidRPr="000E02A7" w:rsidRDefault="000E02A7" w:rsidP="000E02A7">
      <w:pPr>
        <w:spacing w:before="120" w:after="120" w:line="360" w:lineRule="auto"/>
        <w:ind w:right="234"/>
        <w:jc w:val="both"/>
        <w:rPr>
          <w:b/>
          <w:bCs/>
        </w:rPr>
      </w:pPr>
      <w:r w:rsidRPr="000E02A7">
        <w:rPr>
          <w:b/>
          <w:bCs/>
        </w:rPr>
        <w:t>2.2. Research Hypotheses</w:t>
      </w:r>
    </w:p>
    <w:p w14:paraId="40362A52" w14:textId="77777777" w:rsidR="000E02A7" w:rsidRDefault="000E02A7" w:rsidP="000E02A7">
      <w:pPr>
        <w:spacing w:before="120" w:after="120" w:line="360" w:lineRule="auto"/>
        <w:ind w:right="234"/>
        <w:jc w:val="both"/>
        <w:rPr>
          <w:lang w:val="vi-VN"/>
        </w:rPr>
      </w:pPr>
      <w:r w:rsidRPr="000E02A7">
        <w:rPr>
          <w:b/>
          <w:bCs/>
        </w:rPr>
        <w:t>2.2.1. Corporate Digitalization and Trade Credit Access</w:t>
      </w:r>
      <w:r w:rsidRPr="000E02A7">
        <w:t xml:space="preserve"> </w:t>
      </w:r>
    </w:p>
    <w:p w14:paraId="2F3A28E3" w14:textId="03C88F82" w:rsidR="000E02A7" w:rsidRPr="000E02A7" w:rsidRDefault="000E02A7" w:rsidP="000E02A7">
      <w:pPr>
        <w:spacing w:before="120" w:after="120" w:line="360" w:lineRule="auto"/>
        <w:ind w:right="234"/>
        <w:jc w:val="both"/>
      </w:pPr>
      <w:r w:rsidRPr="000E02A7">
        <w:t xml:space="preserve">Unlike formal bank loans backed by collateral, trade credit is an informal financing mechanism heavily dependent on information transparency and trust. When a firm actively undergoes digital transformation, it </w:t>
      </w:r>
      <w:r w:rsidRPr="000E02A7">
        <w:lastRenderedPageBreak/>
        <w:t>standardizes its operational processes and improves its information processing capabilities (Goldfarb &amp; Tucker, 2019). This digital footprint creates a transparent and traceable transaction history, which significantly reduces the information-gathering and monitoring costs for suppliers. Furthermore, a high degree of digitalization signals forward-looking management and robust operational capabilities, thereby enhancing the firm's commercial reputation (Hu et al., 2024). This enhanced transparency and operational efficiency cultivate a form of "digital trust" among supply chain partners. Consequently, suppliers are more willing to extend favorable deferred payment terms to digitalized buyers, mitigating concerns over default risks. Therefore, we propose the following baseline hypothesis:</w:t>
      </w:r>
    </w:p>
    <w:p w14:paraId="653F6195" w14:textId="77777777" w:rsidR="000E02A7" w:rsidRPr="000E02A7" w:rsidRDefault="000E02A7" w:rsidP="000E02A7">
      <w:pPr>
        <w:numPr>
          <w:ilvl w:val="0"/>
          <w:numId w:val="33"/>
        </w:numPr>
        <w:spacing w:before="120" w:after="120" w:line="360" w:lineRule="auto"/>
        <w:ind w:right="234"/>
        <w:jc w:val="both"/>
      </w:pPr>
      <w:r w:rsidRPr="000E02A7">
        <w:rPr>
          <w:b/>
          <w:bCs/>
        </w:rPr>
        <w:t>H1: Firms with a higher degree of corporate digitalization access more trade credit.</w:t>
      </w:r>
    </w:p>
    <w:p w14:paraId="01B18190" w14:textId="77777777" w:rsidR="000E02A7" w:rsidRDefault="000E02A7" w:rsidP="000E02A7">
      <w:pPr>
        <w:spacing w:before="120" w:after="120" w:line="360" w:lineRule="auto"/>
        <w:ind w:right="234"/>
        <w:jc w:val="both"/>
        <w:rPr>
          <w:lang w:val="vi-VN"/>
        </w:rPr>
      </w:pPr>
      <w:r w:rsidRPr="000E02A7">
        <w:rPr>
          <w:b/>
          <w:bCs/>
        </w:rPr>
        <w:t>2.2.2. The Moderating Role of Information Asymmetry</w:t>
      </w:r>
      <w:r w:rsidRPr="000E02A7">
        <w:t xml:space="preserve"> </w:t>
      </w:r>
    </w:p>
    <w:p w14:paraId="4B8F7828" w14:textId="565478F7" w:rsidR="000E02A7" w:rsidRPr="000E02A7" w:rsidRDefault="000E02A7" w:rsidP="000E02A7">
      <w:pPr>
        <w:spacing w:before="120" w:after="120" w:line="360" w:lineRule="auto"/>
        <w:ind w:right="234"/>
        <w:jc w:val="both"/>
      </w:pPr>
      <w:r w:rsidRPr="000E02A7">
        <w:t>Information asymmetry is a primary friction in credit markets, often leading to adverse selection and moral hazard, which restrict a firm's access to external financing (Stiglitz &amp; Weiss, 1981). In supplier-buyer relationships, severe information asymmetry makes it difficult for suppliers to accurately assess the liquidity and creditworthiness of buyers, prompting them to tighten trade credit terms (Zhang et al., 2014). Corporate digitalization acts as a direct countermeasure to this friction. By implementing integrated digital platforms, firms can share real-time inventory, sales, and financial data with their upstream partners, effectively bridging the information gap (Liu &amp; Wang, 2023). We argue that the marginal benefit of digital trust is greater for firms suffering from severe information opacity. For highly transparent firms, suppliers already have sufficient information to grant credit; however, for opaque firms, digitalization serves as a crucial signaling mechanism to prove reliability. Thus, we hypothesize:</w:t>
      </w:r>
    </w:p>
    <w:p w14:paraId="5A016701" w14:textId="77777777" w:rsidR="000E02A7" w:rsidRPr="000E02A7" w:rsidRDefault="000E02A7" w:rsidP="000E02A7">
      <w:pPr>
        <w:numPr>
          <w:ilvl w:val="0"/>
          <w:numId w:val="34"/>
        </w:numPr>
        <w:spacing w:before="120" w:after="120" w:line="360" w:lineRule="auto"/>
        <w:ind w:right="234"/>
        <w:jc w:val="both"/>
      </w:pPr>
      <w:r w:rsidRPr="000E02A7">
        <w:rPr>
          <w:b/>
          <w:bCs/>
        </w:rPr>
        <w:t>H2: The positive effect of corporate digitalization on trade credit is more pronounced for firms with higher information asymmetry.</w:t>
      </w:r>
    </w:p>
    <w:p w14:paraId="22D402C7" w14:textId="77777777" w:rsidR="000E02A7" w:rsidRDefault="000E02A7" w:rsidP="000E02A7">
      <w:pPr>
        <w:spacing w:before="120" w:after="120" w:line="360" w:lineRule="auto"/>
        <w:ind w:right="234"/>
        <w:jc w:val="both"/>
        <w:rPr>
          <w:lang w:val="vi-VN"/>
        </w:rPr>
      </w:pPr>
      <w:r w:rsidRPr="000E02A7">
        <w:rPr>
          <w:b/>
          <w:bCs/>
        </w:rPr>
        <w:t>2.2.3. The Moderating Role of Ownership Nature</w:t>
      </w:r>
      <w:r w:rsidRPr="000E02A7">
        <w:t xml:space="preserve"> </w:t>
      </w:r>
    </w:p>
    <w:p w14:paraId="02D96E5A" w14:textId="76CF29F5" w:rsidR="000E02A7" w:rsidRPr="000E02A7" w:rsidRDefault="007F4D4F" w:rsidP="000E02A7">
      <w:pPr>
        <w:spacing w:before="120" w:after="120" w:line="360" w:lineRule="auto"/>
        <w:ind w:right="234"/>
        <w:jc w:val="both"/>
      </w:pPr>
      <w:r w:rsidRPr="007F4D4F">
        <w:t xml:space="preserve">Property rights play a major role in determining a firm's financing environment in developing markets and transition economies (Cull &amp; Xu, 2005). Regardless of their actual operational performance, state-owned businesses (SOEs) usually enjoy preferential access to bank loans and trade credit due to strong political connections and implicit government assurances (Brandt &amp; Li, 2003; Tan et al., 2014). On the other hand, non-state-owned businesses (non-SOEs) operate in a more restricted financial environment and encounter widespread credit discrimination (Allen et al., 2005). </w:t>
      </w:r>
      <w:r w:rsidR="000E02A7" w:rsidRPr="000E02A7">
        <w:t xml:space="preserve">Lacking formal credit endorsements from the government, non-SOEs must rely on alternative signals of competence and reliability to secure supply chain financing. Corporate digitalization provides such an alternative. By building "digital trust," non-SOEs can compensate for their lack of institutional support, reassuring suppliers of their solvency and operational </w:t>
      </w:r>
      <w:r w:rsidR="000E02A7" w:rsidRPr="000E02A7">
        <w:lastRenderedPageBreak/>
        <w:t>stability. Therefore, digitalization should play a more critical role in expanding trade credit access for non-SOEs than for their state-owned counterparts. Based on this logic, we propose:</w:t>
      </w:r>
    </w:p>
    <w:p w14:paraId="5E91FE90" w14:textId="43F64F3B" w:rsidR="000E02A7" w:rsidRPr="000E02A7" w:rsidRDefault="000E02A7" w:rsidP="000E02A7">
      <w:pPr>
        <w:numPr>
          <w:ilvl w:val="0"/>
          <w:numId w:val="35"/>
        </w:numPr>
        <w:spacing w:before="120" w:after="120" w:line="360" w:lineRule="auto"/>
        <w:ind w:right="234"/>
        <w:jc w:val="both"/>
      </w:pPr>
      <w:r w:rsidRPr="000E02A7">
        <w:rPr>
          <w:b/>
          <w:bCs/>
        </w:rPr>
        <w:t>H3: The positive effect of corporate digitalization on trade credit is more pronounced among non-state-owned enterprises (non-SOEs)</w:t>
      </w:r>
    </w:p>
    <w:p w14:paraId="3C2A1C36" w14:textId="6D0C8AB1" w:rsidR="000E02A7" w:rsidRPr="000E02A7" w:rsidRDefault="000E02A7" w:rsidP="000E02A7">
      <w:pPr>
        <w:spacing w:before="120" w:after="120" w:line="360" w:lineRule="auto"/>
        <w:ind w:right="234"/>
        <w:jc w:val="both"/>
      </w:pPr>
      <w:r w:rsidRPr="000E02A7">
        <w:t>Based on the theoretical arguments and hypotheses developed above, we construct a conceptual framework to illustrate the mechanism through which technological factors influence supply chain financing. As depicted in Figure 1, corporate digitalization serves as the primary independent variable targeting trade credit access. Furthermore, the framework incorporates two institutional and market friction variables</w:t>
      </w:r>
      <w:r w:rsidR="00B3603B">
        <w:rPr>
          <w:lang w:val="vi-VN"/>
        </w:rPr>
        <w:t xml:space="preserve"> </w:t>
      </w:r>
      <w:r w:rsidRPr="000E02A7">
        <w:t>namely information asymmetry and ownership nature</w:t>
      </w:r>
      <w:r w:rsidR="00B3603B">
        <w:rPr>
          <w:lang w:val="vi-VN"/>
        </w:rPr>
        <w:t xml:space="preserve"> </w:t>
      </w:r>
      <w:r w:rsidRPr="000E02A7">
        <w:t>as moderators that alter the baseline relationship. The standardized visual representation of our research design is presented below.</w:t>
      </w:r>
    </w:p>
    <w:p w14:paraId="2BB0D43C" w14:textId="097170E9" w:rsidR="002454BC" w:rsidRPr="004A2D81" w:rsidRDefault="004A2D81" w:rsidP="004A2D81">
      <w:pPr>
        <w:pStyle w:val="BodyText"/>
        <w:spacing w:line="360" w:lineRule="auto"/>
        <w:ind w:left="0" w:right="234" w:firstLine="0"/>
        <w:rPr>
          <w:b/>
          <w:bCs/>
          <w:lang w:val="en-US"/>
        </w:rPr>
      </w:pPr>
      <w:r w:rsidRPr="000E02A7">
        <w:rPr>
          <w:noProof/>
          <w:lang w:val="vi-VN"/>
        </w:rPr>
        <w:drawing>
          <wp:anchor distT="0" distB="0" distL="114300" distR="114300" simplePos="0" relativeHeight="251658240" behindDoc="0" locked="0" layoutInCell="1" allowOverlap="1" wp14:anchorId="6257A8AE" wp14:editId="13687757">
            <wp:simplePos x="0" y="0"/>
            <wp:positionH relativeFrom="margin">
              <wp:align>left</wp:align>
            </wp:positionH>
            <wp:positionV relativeFrom="paragraph">
              <wp:posOffset>303819</wp:posOffset>
            </wp:positionV>
            <wp:extent cx="4807527" cy="2930566"/>
            <wp:effectExtent l="0" t="0" r="0" b="3175"/>
            <wp:wrapTopAndBottom/>
            <wp:docPr id="3598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299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7527" cy="2930566"/>
                    </a:xfrm>
                    <a:prstGeom prst="rect">
                      <a:avLst/>
                    </a:prstGeom>
                  </pic:spPr>
                </pic:pic>
              </a:graphicData>
            </a:graphic>
          </wp:anchor>
        </w:drawing>
      </w:r>
      <w:r w:rsidR="000E02A7" w:rsidRPr="00CC55DE">
        <w:rPr>
          <w:b/>
          <w:bCs/>
          <w:lang w:val="vi-VN"/>
        </w:rPr>
        <w:t>Figure 1: Conceptual Model</w:t>
      </w:r>
    </w:p>
    <w:p w14:paraId="6F9592C1" w14:textId="5033D1B0" w:rsidR="00D122D1" w:rsidRPr="000E02A7" w:rsidRDefault="007C3B21" w:rsidP="00E8301D">
      <w:pPr>
        <w:pStyle w:val="Heading2"/>
        <w:tabs>
          <w:tab w:val="left" w:pos="792"/>
        </w:tabs>
        <w:spacing w:before="240" w:line="360" w:lineRule="auto"/>
        <w:ind w:left="0" w:right="234"/>
        <w:rPr>
          <w:b w:val="0"/>
          <w:lang w:val="vi-VN"/>
        </w:rPr>
      </w:pPr>
      <w:r w:rsidRPr="00E8301D">
        <w:rPr>
          <w:rStyle w:val="fontstyle01"/>
          <w:rFonts w:ascii="Times New Roman" w:hAnsi="Times New Roman"/>
          <w:b/>
          <w:color w:val="auto"/>
          <w:sz w:val="24"/>
          <w:szCs w:val="24"/>
          <w:lang w:val="vi-VN"/>
        </w:rPr>
        <w:t xml:space="preserve">3. </w:t>
      </w:r>
      <w:r w:rsidR="000E02A7" w:rsidRPr="000E02A7">
        <w:rPr>
          <w:rStyle w:val="fontstyle01"/>
          <w:rFonts w:ascii="Times New Roman" w:hAnsi="Times New Roman"/>
          <w:b/>
          <w:color w:val="auto"/>
          <w:sz w:val="24"/>
          <w:szCs w:val="24"/>
        </w:rPr>
        <w:t>Research design</w:t>
      </w:r>
    </w:p>
    <w:p w14:paraId="26012F88" w14:textId="6053E763" w:rsidR="00B431B3" w:rsidRPr="00B431B3" w:rsidRDefault="00E82104" w:rsidP="00E8301D">
      <w:pPr>
        <w:pStyle w:val="Heading2"/>
        <w:tabs>
          <w:tab w:val="left" w:pos="792"/>
        </w:tabs>
        <w:spacing w:before="240" w:line="360" w:lineRule="auto"/>
        <w:ind w:left="0" w:right="234"/>
        <w:rPr>
          <w:bCs w:val="0"/>
          <w:lang w:val="vi-VN"/>
        </w:rPr>
      </w:pPr>
      <w:r w:rsidRPr="00E8301D">
        <w:rPr>
          <w:bCs w:val="0"/>
        </w:rPr>
        <w:t xml:space="preserve">3.1 </w:t>
      </w:r>
      <w:r w:rsidR="00B431B3" w:rsidRPr="00B431B3">
        <w:rPr>
          <w:bCs w:val="0"/>
        </w:rPr>
        <w:t>Sample selection and data sources</w:t>
      </w:r>
    </w:p>
    <w:p w14:paraId="014BF072" w14:textId="55D20287" w:rsidR="00B431B3" w:rsidRPr="00B431B3" w:rsidRDefault="007F4D4F" w:rsidP="00B431B3">
      <w:pPr>
        <w:pStyle w:val="Heading2"/>
        <w:tabs>
          <w:tab w:val="left" w:pos="792"/>
        </w:tabs>
        <w:spacing w:before="240" w:line="360" w:lineRule="auto"/>
        <w:ind w:left="0" w:right="234"/>
        <w:rPr>
          <w:b w:val="0"/>
          <w:bCs w:val="0"/>
          <w:lang w:val="vi-VN"/>
        </w:rPr>
      </w:pPr>
      <w:r w:rsidRPr="007F4D4F">
        <w:rPr>
          <w:b w:val="0"/>
          <w:bCs w:val="0"/>
          <w:lang w:val="vi-VN"/>
        </w:rPr>
        <w:t>This study makes use of an extensive panel dataset of publicly traded companies in Vietnam from 2015 to 2024 that are listed on the Ho Chi Minh City Stock Exchange (HOSE) and the Hanoi Stock Exchange (HNX).</w:t>
      </w:r>
      <w:r>
        <w:rPr>
          <w:b w:val="0"/>
          <w:bCs w:val="0"/>
          <w:lang w:val="en-US"/>
        </w:rPr>
        <w:t xml:space="preserve"> </w:t>
      </w:r>
      <w:r w:rsidR="00B431B3" w:rsidRPr="00B431B3">
        <w:rPr>
          <w:b w:val="0"/>
          <w:bCs w:val="0"/>
          <w:lang w:val="vi-VN"/>
        </w:rPr>
        <w:t>The choice of this timeframe captures the accelerating phase of digital adoption in Vietnam, alongside the implementation of key national technological initiatives.</w:t>
      </w:r>
    </w:p>
    <w:p w14:paraId="5953FAC3" w14:textId="6C3864F3" w:rsidR="00B431B3" w:rsidRPr="00B431B3" w:rsidRDefault="00B431B3" w:rsidP="00B431B3">
      <w:pPr>
        <w:pStyle w:val="Heading2"/>
        <w:tabs>
          <w:tab w:val="left" w:pos="792"/>
        </w:tabs>
        <w:spacing w:before="240" w:line="360" w:lineRule="auto"/>
        <w:ind w:left="0" w:right="234"/>
        <w:rPr>
          <w:b w:val="0"/>
          <w:bCs w:val="0"/>
          <w:lang w:val="vi-VN"/>
        </w:rPr>
      </w:pPr>
      <w:r w:rsidRPr="00B431B3">
        <w:rPr>
          <w:b w:val="0"/>
          <w:bCs w:val="0"/>
          <w:lang w:val="vi-VN"/>
        </w:rPr>
        <w:t xml:space="preserve">Our data collection process integrates two primary sources. </w:t>
      </w:r>
      <w:r w:rsidR="007F4D4F" w:rsidRPr="007F4D4F">
        <w:rPr>
          <w:b w:val="0"/>
          <w:bCs w:val="0"/>
          <w:lang w:val="vi-VN"/>
        </w:rPr>
        <w:t xml:space="preserve">The FiinPro database, the most extensive financial database for the Vietnamese market, is used to extract firm-level financial and corporate </w:t>
      </w:r>
      <w:r w:rsidR="007F4D4F" w:rsidRPr="007F4D4F">
        <w:rPr>
          <w:b w:val="0"/>
          <w:bCs w:val="0"/>
          <w:lang w:val="vi-VN"/>
        </w:rPr>
        <w:lastRenderedPageBreak/>
        <w:t>governance data</w:t>
      </w:r>
      <w:r w:rsidRPr="00B431B3">
        <w:rPr>
          <w:b w:val="0"/>
          <w:bCs w:val="0"/>
          <w:lang w:val="vi-VN"/>
        </w:rPr>
        <w:t>, and cross-verified with audited annual reports. To construct the corporate digitalization index, we employ a textual analysis approach (machine learning-based word frequency counting) on the annual reports of the sampled firms. This methodology has been widely validated in recent financial literature for capturing complex firm strategies that are not explicitly quantified in financial statements (Hassan et al., 2019; Loughran &amp; McDonald, 2011).</w:t>
      </w:r>
    </w:p>
    <w:p w14:paraId="05C7F146" w14:textId="27B55362" w:rsidR="00B431B3" w:rsidRPr="00B431B3" w:rsidRDefault="007F4D4F" w:rsidP="00B431B3">
      <w:pPr>
        <w:pStyle w:val="Heading2"/>
        <w:tabs>
          <w:tab w:val="left" w:pos="792"/>
        </w:tabs>
        <w:spacing w:before="240" w:line="360" w:lineRule="auto"/>
        <w:ind w:left="0" w:right="234"/>
        <w:rPr>
          <w:b w:val="0"/>
          <w:bCs w:val="0"/>
          <w:lang w:val="vi-VN"/>
        </w:rPr>
      </w:pPr>
      <w:r w:rsidRPr="007F4D4F">
        <w:rPr>
          <w:b w:val="0"/>
          <w:bCs w:val="0"/>
          <w:lang w:val="vi-VN"/>
        </w:rPr>
        <w:t xml:space="preserve">In order to guarantee the reliability and validity of our empirical estimation, we methodically </w:t>
      </w:r>
      <w:r w:rsidR="00B431B3" w:rsidRPr="00B431B3">
        <w:rPr>
          <w:b w:val="0"/>
          <w:bCs w:val="0"/>
          <w:lang w:val="vi-VN"/>
        </w:rPr>
        <w:t xml:space="preserve">screen the initial dataset following standard corporate finance practices (Fama &amp; French, 1992; Li, Zhu, &amp; Xu, 2025). The sample filtering process includes the following procedures: </w:t>
      </w:r>
    </w:p>
    <w:p w14:paraId="627FAE9E" w14:textId="468CFF4B" w:rsidR="00B431B3" w:rsidRPr="00B431B3" w:rsidRDefault="007F4D4F" w:rsidP="00B431B3">
      <w:pPr>
        <w:pStyle w:val="Heading2"/>
        <w:numPr>
          <w:ilvl w:val="0"/>
          <w:numId w:val="36"/>
        </w:numPr>
        <w:tabs>
          <w:tab w:val="left" w:pos="792"/>
        </w:tabs>
        <w:spacing w:before="240" w:line="360" w:lineRule="auto"/>
        <w:ind w:right="234"/>
        <w:rPr>
          <w:b w:val="0"/>
          <w:bCs w:val="0"/>
        </w:rPr>
      </w:pPr>
      <w:r w:rsidRPr="007F4D4F">
        <w:rPr>
          <w:b w:val="0"/>
          <w:bCs w:val="0"/>
        </w:rPr>
        <w:t>• First, because their capital structures, regulatory frameworks, and accounting standards are fundamentally different from those of non-financial organizations, we omit businesses in the financial and insurance sectors (such as banks, brokerages, and insurance companies) (Fama &amp; French, 1992).</w:t>
      </w:r>
    </w:p>
    <w:p w14:paraId="575AD956" w14:textId="77777777" w:rsidR="00B431B3" w:rsidRPr="00B431B3" w:rsidRDefault="00B431B3" w:rsidP="00B431B3">
      <w:pPr>
        <w:pStyle w:val="Heading2"/>
        <w:numPr>
          <w:ilvl w:val="0"/>
          <w:numId w:val="36"/>
        </w:numPr>
        <w:tabs>
          <w:tab w:val="left" w:pos="792"/>
        </w:tabs>
        <w:spacing w:before="240" w:line="360" w:lineRule="auto"/>
        <w:ind w:right="234"/>
        <w:rPr>
          <w:b w:val="0"/>
          <w:bCs w:val="0"/>
        </w:rPr>
      </w:pPr>
      <w:r w:rsidRPr="00B431B3">
        <w:rPr>
          <w:b w:val="0"/>
          <w:bCs w:val="0"/>
        </w:rPr>
        <w:t xml:space="preserve">Second, we eliminate firms categorized under special treatment (ST) or those facing delisting risks during the sample period. These firms exhibit abnormal financial distress and operational irregularities, which could introduce significant bias into the estimation (Li, Zhu, &amp; Xu, 2025). </w:t>
      </w:r>
    </w:p>
    <w:p w14:paraId="53508E55" w14:textId="2AFE7AC3" w:rsidR="00B431B3" w:rsidRPr="00B431B3" w:rsidRDefault="00B431B3" w:rsidP="00B431B3">
      <w:pPr>
        <w:pStyle w:val="Heading2"/>
        <w:numPr>
          <w:ilvl w:val="0"/>
          <w:numId w:val="36"/>
        </w:numPr>
        <w:tabs>
          <w:tab w:val="left" w:pos="792"/>
        </w:tabs>
        <w:spacing w:before="240" w:line="360" w:lineRule="auto"/>
        <w:ind w:right="234"/>
        <w:rPr>
          <w:b w:val="0"/>
          <w:bCs w:val="0"/>
        </w:rPr>
      </w:pPr>
      <w:r w:rsidRPr="00B431B3">
        <w:rPr>
          <w:b w:val="0"/>
          <w:bCs w:val="0"/>
        </w:rPr>
        <w:t xml:space="preserve">Third, </w:t>
      </w:r>
      <w:r w:rsidR="007F4D4F" w:rsidRPr="007F4D4F">
        <w:rPr>
          <w:b w:val="0"/>
          <w:bCs w:val="0"/>
        </w:rPr>
        <w:t xml:space="preserve">firm-year observations that lack governance information, important financial variables, or unintelligible annual reports </w:t>
      </w:r>
      <w:r w:rsidRPr="00B431B3">
        <w:rPr>
          <w:b w:val="0"/>
          <w:bCs w:val="0"/>
        </w:rPr>
        <w:t>(impeding textual analysis) are excluded from the dataset.</w:t>
      </w:r>
    </w:p>
    <w:p w14:paraId="547147C4" w14:textId="6F4B6756" w:rsidR="00B431B3" w:rsidRPr="00B431B3" w:rsidRDefault="00B431B3" w:rsidP="00B431B3">
      <w:pPr>
        <w:pStyle w:val="Heading2"/>
        <w:numPr>
          <w:ilvl w:val="0"/>
          <w:numId w:val="36"/>
        </w:numPr>
        <w:tabs>
          <w:tab w:val="left" w:pos="792"/>
        </w:tabs>
        <w:spacing w:before="240" w:line="360" w:lineRule="auto"/>
        <w:ind w:right="234"/>
        <w:rPr>
          <w:b w:val="0"/>
          <w:bCs w:val="0"/>
        </w:rPr>
      </w:pPr>
      <w:r w:rsidRPr="00B431B3">
        <w:rPr>
          <w:b w:val="0"/>
          <w:bCs w:val="0"/>
        </w:rPr>
        <w:t xml:space="preserve">Finally, to mitigate the potential distortion caused by extreme outliers, </w:t>
      </w:r>
      <w:r w:rsidR="007F4D4F" w:rsidRPr="007F4D4F">
        <w:rPr>
          <w:b w:val="0"/>
          <w:bCs w:val="0"/>
        </w:rPr>
        <w:t xml:space="preserve">Before the regression analysis, all continuous variables are </w:t>
      </w:r>
      <w:proofErr w:type="spellStart"/>
      <w:r w:rsidR="007F4D4F" w:rsidRPr="007F4D4F">
        <w:rPr>
          <w:b w:val="0"/>
          <w:bCs w:val="0"/>
        </w:rPr>
        <w:t>winsorized</w:t>
      </w:r>
      <w:proofErr w:type="spellEnd"/>
      <w:r w:rsidR="007F4D4F" w:rsidRPr="007F4D4F">
        <w:rPr>
          <w:b w:val="0"/>
          <w:bCs w:val="0"/>
        </w:rPr>
        <w:t xml:space="preserve"> at the first and 99th percentiles</w:t>
      </w:r>
      <w:r w:rsidR="007F4D4F">
        <w:rPr>
          <w:b w:val="0"/>
          <w:bCs w:val="0"/>
        </w:rPr>
        <w:t xml:space="preserve"> </w:t>
      </w:r>
      <w:r w:rsidRPr="00B431B3">
        <w:rPr>
          <w:b w:val="0"/>
          <w:bCs w:val="0"/>
        </w:rPr>
        <w:t>(Flannery &amp; Rangan, 2006).</w:t>
      </w:r>
    </w:p>
    <w:p w14:paraId="55628958" w14:textId="3F48D8F1" w:rsidR="004A5ED7" w:rsidRPr="00CC55DE" w:rsidRDefault="00B431B3" w:rsidP="00B431B3">
      <w:pPr>
        <w:pStyle w:val="Heading2"/>
        <w:tabs>
          <w:tab w:val="left" w:pos="792"/>
        </w:tabs>
        <w:spacing w:before="240" w:line="360" w:lineRule="auto"/>
        <w:ind w:left="0" w:right="234"/>
        <w:rPr>
          <w:b w:val="0"/>
          <w:bCs w:val="0"/>
          <w:lang w:val="vi-VN"/>
        </w:rPr>
      </w:pPr>
      <w:r w:rsidRPr="00B431B3">
        <w:rPr>
          <w:b w:val="0"/>
          <w:bCs w:val="0"/>
        </w:rPr>
        <w:t>Following these rigorous screening procedures, the final unbalanced panel dataset comprises a robust sample ready for empirical testing</w:t>
      </w:r>
      <w:r w:rsidR="00CC55DE">
        <w:rPr>
          <w:b w:val="0"/>
          <w:bCs w:val="0"/>
          <w:lang w:val="vi-VN"/>
        </w:rPr>
        <w:t>.</w:t>
      </w:r>
    </w:p>
    <w:p w14:paraId="026DCC49" w14:textId="080B8426" w:rsidR="00E82104" w:rsidRDefault="00E82104" w:rsidP="00E8301D">
      <w:pPr>
        <w:pStyle w:val="Heading2"/>
        <w:tabs>
          <w:tab w:val="left" w:pos="792"/>
        </w:tabs>
        <w:spacing w:before="240" w:line="360" w:lineRule="auto"/>
        <w:ind w:left="0" w:right="234"/>
        <w:rPr>
          <w:bCs w:val="0"/>
          <w:lang w:val="vi-VN"/>
        </w:rPr>
      </w:pPr>
      <w:r w:rsidRPr="00E8301D">
        <w:rPr>
          <w:bCs w:val="0"/>
        </w:rPr>
        <w:t xml:space="preserve">3.2 </w:t>
      </w:r>
      <w:r w:rsidR="004A5ED7" w:rsidRPr="004A5ED7">
        <w:rPr>
          <w:bCs w:val="0"/>
        </w:rPr>
        <w:t>Variable description and model design</w:t>
      </w:r>
    </w:p>
    <w:p w14:paraId="4252F0BC" w14:textId="77777777" w:rsidR="004A5ED7" w:rsidRPr="004A5ED7" w:rsidRDefault="004A5ED7" w:rsidP="004A5ED7">
      <w:pPr>
        <w:spacing w:before="120" w:after="120" w:line="360" w:lineRule="auto"/>
        <w:ind w:right="234"/>
        <w:jc w:val="both"/>
        <w:rPr>
          <w:b/>
          <w:bCs/>
        </w:rPr>
      </w:pPr>
      <w:r w:rsidRPr="004A5ED7">
        <w:rPr>
          <w:b/>
          <w:bCs/>
        </w:rPr>
        <w:t>3.2.1. Variable description</w:t>
      </w:r>
    </w:p>
    <w:p w14:paraId="02EA310B" w14:textId="77777777" w:rsidR="004A5ED7" w:rsidRPr="004A5ED7" w:rsidRDefault="004A5ED7" w:rsidP="004A5ED7">
      <w:pPr>
        <w:pStyle w:val="Heading2"/>
        <w:tabs>
          <w:tab w:val="left" w:pos="792"/>
        </w:tabs>
        <w:spacing w:before="240" w:line="360" w:lineRule="auto"/>
        <w:ind w:left="0" w:right="234"/>
        <w:rPr>
          <w:i/>
          <w:iCs/>
        </w:rPr>
      </w:pPr>
      <w:r w:rsidRPr="004A5ED7">
        <w:rPr>
          <w:i/>
          <w:iCs/>
        </w:rPr>
        <w:t>Dependent Variable: Trade Credit Access (TC)</w:t>
      </w:r>
    </w:p>
    <w:p w14:paraId="6D68372E" w14:textId="3DFA26A6" w:rsidR="004A5ED7" w:rsidRPr="004A5ED7" w:rsidRDefault="004A5ED7" w:rsidP="004A5ED7">
      <w:pPr>
        <w:pStyle w:val="Heading2"/>
        <w:tabs>
          <w:tab w:val="left" w:pos="792"/>
        </w:tabs>
        <w:spacing w:before="240" w:line="360" w:lineRule="auto"/>
        <w:ind w:left="0" w:right="234"/>
        <w:rPr>
          <w:b w:val="0"/>
          <w:bCs w:val="0"/>
        </w:rPr>
      </w:pPr>
      <w:r w:rsidRPr="004A5ED7">
        <w:rPr>
          <w:b w:val="0"/>
          <w:bCs w:val="0"/>
        </w:rPr>
        <w:t xml:space="preserve">Following standard corporate finance literature (Fisman &amp; Love, 2003; Giannetti, Burkart, &amp; Ellingsen, 2011), the primary </w:t>
      </w:r>
      <w:r w:rsidR="007F4D4F" w:rsidRPr="007F4D4F">
        <w:rPr>
          <w:b w:val="0"/>
          <w:bCs w:val="0"/>
        </w:rPr>
        <w:t xml:space="preserve">The ratio of a company's accounts payable to its total assets is used to calculate the dependent variable, trade credit (TC). This ratio shows how much a company depends on its suppliers for </w:t>
      </w:r>
      <w:r w:rsidR="007F4D4F" w:rsidRPr="007F4D4F">
        <w:rPr>
          <w:b w:val="0"/>
          <w:bCs w:val="0"/>
        </w:rPr>
        <w:lastRenderedPageBreak/>
        <w:t>short-term funding in comparison to its total asset base. We also use the ratio of accounts payable to the cost of goods sold (TC2) as an alternate metric to guarantee the reliability of our findings</w:t>
      </w:r>
      <w:r w:rsidR="007F4D4F">
        <w:rPr>
          <w:b w:val="0"/>
          <w:bCs w:val="0"/>
        </w:rPr>
        <w:t xml:space="preserve"> </w:t>
      </w:r>
      <w:r w:rsidRPr="004A5ED7">
        <w:rPr>
          <w:b w:val="0"/>
          <w:bCs w:val="0"/>
        </w:rPr>
        <w:t>in our robustness checks (Garcia-Teruel &amp; Martinez-Solano, 2010).</w:t>
      </w:r>
    </w:p>
    <w:p w14:paraId="5219C4CA" w14:textId="77777777" w:rsidR="004A5ED7" w:rsidRPr="00A902D0" w:rsidRDefault="004A5ED7" w:rsidP="004A5ED7">
      <w:pPr>
        <w:pStyle w:val="Heading2"/>
        <w:tabs>
          <w:tab w:val="left" w:pos="792"/>
        </w:tabs>
        <w:spacing w:before="240" w:line="360" w:lineRule="auto"/>
        <w:ind w:left="0" w:right="234"/>
        <w:rPr>
          <w:i/>
          <w:iCs/>
        </w:rPr>
      </w:pPr>
      <w:r w:rsidRPr="00A902D0">
        <w:rPr>
          <w:i/>
          <w:iCs/>
        </w:rPr>
        <w:t>Independent Variable: Corporate Digitalization (DIGIT)</w:t>
      </w:r>
    </w:p>
    <w:p w14:paraId="6740F149" w14:textId="77777777" w:rsidR="007F4D4F" w:rsidRDefault="004A5ED7" w:rsidP="004A5ED7">
      <w:pPr>
        <w:pStyle w:val="Heading2"/>
        <w:tabs>
          <w:tab w:val="left" w:pos="792"/>
        </w:tabs>
        <w:spacing w:before="240" w:line="360" w:lineRule="auto"/>
        <w:ind w:left="0" w:right="234"/>
        <w:rPr>
          <w:b w:val="0"/>
          <w:bCs w:val="0"/>
        </w:rPr>
      </w:pPr>
      <w:r w:rsidRPr="004A5ED7">
        <w:rPr>
          <w:b w:val="0"/>
          <w:bCs w:val="0"/>
        </w:rPr>
        <w:t>Measuring corporate digitalization is inherently challenging as it is not explicitly reported in standard financial statements. Following the textual analysis methodology pioneered by Loughran and McDonald (2011) and recently adapted for digitalization research (Wu et al., 2022; Hu et al., 2024), we construct the corporate digitalization index (</w:t>
      </w:r>
      <w:r w:rsidRPr="00EB24A0">
        <w:rPr>
          <w:b w:val="0"/>
          <w:bCs w:val="0"/>
          <w:i/>
          <w:iCs/>
        </w:rPr>
        <w:t>DIGIT</w:t>
      </w:r>
      <w:r w:rsidRPr="004A5ED7">
        <w:rPr>
          <w:b w:val="0"/>
          <w:bCs w:val="0"/>
        </w:rPr>
        <w:t xml:space="preserve">) using machine learning-based word frequency analysis. Specifically, we compile a comprehensive dictionary of digitalization-related keywords categorized into four dimensions: </w:t>
      </w:r>
      <w:r w:rsidR="007F4D4F" w:rsidRPr="007F4D4F">
        <w:rPr>
          <w:b w:val="0"/>
          <w:bCs w:val="0"/>
        </w:rPr>
        <w:t>digital technology applications, cloud computing, big data analytics, and artificial intelligence. In order to determine the overall frequency of these phrases, we use Python to scrape and analyze the management discussion and analysis (MD&amp;A) parts of companies' annual reports. The natural logarithm of one plus the total frequency of keywords is then used to define the variable DIGIT. A higher number denotes a higher level of business digitalization.</w:t>
      </w:r>
    </w:p>
    <w:p w14:paraId="1BEBD97B" w14:textId="08029CAB" w:rsidR="004A5ED7" w:rsidRPr="00A902D0" w:rsidRDefault="004A5ED7" w:rsidP="004A5ED7">
      <w:pPr>
        <w:pStyle w:val="Heading2"/>
        <w:tabs>
          <w:tab w:val="left" w:pos="792"/>
        </w:tabs>
        <w:spacing w:before="240" w:line="360" w:lineRule="auto"/>
        <w:ind w:left="0" w:right="234"/>
        <w:rPr>
          <w:i/>
          <w:iCs/>
        </w:rPr>
      </w:pPr>
      <w:r w:rsidRPr="00A902D0">
        <w:rPr>
          <w:i/>
          <w:iCs/>
        </w:rPr>
        <w:t>Moderating Variables</w:t>
      </w:r>
    </w:p>
    <w:p w14:paraId="2E781780" w14:textId="77777777" w:rsidR="007F4D4F" w:rsidRDefault="007F4D4F" w:rsidP="004A5ED7">
      <w:pPr>
        <w:pStyle w:val="Heading2"/>
        <w:tabs>
          <w:tab w:val="left" w:pos="792"/>
        </w:tabs>
        <w:spacing w:before="240" w:line="360" w:lineRule="auto"/>
        <w:ind w:left="0" w:right="234"/>
        <w:rPr>
          <w:b w:val="0"/>
          <w:bCs w:val="0"/>
        </w:rPr>
      </w:pPr>
      <w:r w:rsidRPr="007F4D4F">
        <w:rPr>
          <w:b w:val="0"/>
          <w:bCs w:val="0"/>
        </w:rPr>
        <w:t>Information Asymmetry (ASY): We use the KV index, which was first created by Kim and Verrecchia (2001), to gauge the level of information asymmetry. As a trustworthy stand-in for the market's dependence on trading volume as a result of subpar corporate disclosure, the KV index measures the sensitivity of stock returns to trading volume. Lower information transparency is indicated by a higher KV index (Chen et al., 2025).</w:t>
      </w:r>
    </w:p>
    <w:p w14:paraId="0CDC4C55" w14:textId="77777777" w:rsidR="00F25860" w:rsidRDefault="004A5ED7" w:rsidP="004A5ED7">
      <w:pPr>
        <w:pStyle w:val="Heading2"/>
        <w:tabs>
          <w:tab w:val="left" w:pos="792"/>
        </w:tabs>
        <w:spacing w:before="240" w:line="360" w:lineRule="auto"/>
        <w:ind w:left="0" w:right="234"/>
        <w:rPr>
          <w:b w:val="0"/>
          <w:bCs w:val="0"/>
        </w:rPr>
      </w:pPr>
      <w:r w:rsidRPr="004A5ED7">
        <w:rPr>
          <w:b w:val="0"/>
          <w:bCs w:val="0"/>
        </w:rPr>
        <w:t xml:space="preserve">Ownership Nature (SOE): We define </w:t>
      </w:r>
      <m:oMath>
        <m:r>
          <m:rPr>
            <m:sty m:val="bi"/>
          </m:rPr>
          <w:rPr>
            <w:rFonts w:ascii="Cambria Math" w:hAnsi="Cambria Math"/>
          </w:rPr>
          <m:t>SOE</m:t>
        </m:r>
      </m:oMath>
      <w:r w:rsidR="00F25860">
        <w:t xml:space="preserve"> </w:t>
      </w:r>
      <w:r w:rsidRPr="004A5ED7">
        <w:rPr>
          <w:b w:val="0"/>
          <w:bCs w:val="0"/>
        </w:rPr>
        <w:t xml:space="preserve">as </w:t>
      </w:r>
      <w:r w:rsidR="00F25860" w:rsidRPr="00F25860">
        <w:rPr>
          <w:b w:val="0"/>
          <w:bCs w:val="0"/>
        </w:rPr>
        <w:t>a dummy variable that is 0 if the company is not ultimately under state control (State-Owned Enterprise) and 1 if it is (Allen, Qian, &amp; Qian, 2005).</w:t>
      </w:r>
    </w:p>
    <w:p w14:paraId="0D13C2CA" w14:textId="5ADA8990" w:rsidR="004A5ED7" w:rsidRPr="00A902D0" w:rsidRDefault="004A5ED7" w:rsidP="004A5ED7">
      <w:pPr>
        <w:pStyle w:val="Heading2"/>
        <w:tabs>
          <w:tab w:val="left" w:pos="792"/>
        </w:tabs>
        <w:spacing w:before="240" w:line="360" w:lineRule="auto"/>
        <w:ind w:left="0" w:right="234"/>
        <w:rPr>
          <w:i/>
          <w:iCs/>
        </w:rPr>
      </w:pPr>
      <w:r w:rsidRPr="00A902D0">
        <w:rPr>
          <w:i/>
          <w:iCs/>
        </w:rPr>
        <w:t>Control Variables</w:t>
      </w:r>
    </w:p>
    <w:p w14:paraId="3C99724A" w14:textId="77777777" w:rsidR="00F25860" w:rsidRPr="00F25860" w:rsidRDefault="00F25860" w:rsidP="00F25860">
      <w:pPr>
        <w:pStyle w:val="Heading2"/>
        <w:tabs>
          <w:tab w:val="left" w:pos="792"/>
        </w:tabs>
        <w:spacing w:before="240" w:line="360" w:lineRule="auto"/>
        <w:ind w:left="0" w:right="234"/>
        <w:rPr>
          <w:b w:val="0"/>
          <w:bCs w:val="0"/>
        </w:rPr>
      </w:pPr>
      <w:r w:rsidRPr="00F25860">
        <w:rPr>
          <w:b w:val="0"/>
          <w:bCs w:val="0"/>
        </w:rPr>
        <w:t>We adjust for a vector of firm-level factors that often affect trade credit supply and demand in order to isolate the impact of digitalization (Petersen &amp; Rajan, 1997; Li, Zhu, &amp; Xu, 2025). Firm Size (Size, natural logarithm of total assets), Return on Assets (ROA, net income divided by total assets), Leverage (Lev, total debt divided by total assets), Tangibility (Tang, fixed assets divided by total assets), Cash Flow (CF, net operating cash flow scaled by total assets), Revenue Growth (Growth, percentage change in annual sales), and Firm Age (Age, natural logarithm of the firm's operating years) are some of these.</w:t>
      </w:r>
    </w:p>
    <w:p w14:paraId="5343B98E" w14:textId="2367632F" w:rsidR="00E35290" w:rsidRPr="00F25860" w:rsidRDefault="00F25860" w:rsidP="00F25860">
      <w:pPr>
        <w:pStyle w:val="Heading2"/>
        <w:tabs>
          <w:tab w:val="left" w:pos="792"/>
        </w:tabs>
        <w:spacing w:before="240" w:line="360" w:lineRule="auto"/>
        <w:ind w:left="0" w:right="234"/>
        <w:rPr>
          <w:b w:val="0"/>
          <w:bCs w:val="0"/>
          <w:lang w:val="en-US"/>
        </w:rPr>
      </w:pPr>
      <w:r w:rsidRPr="00F25860">
        <w:rPr>
          <w:b w:val="0"/>
          <w:bCs w:val="0"/>
        </w:rPr>
        <w:lastRenderedPageBreak/>
        <w:t>For every variable included in our empirical research, Table 1 offers a thorough overview of the definitions and measurement techniques.</w:t>
      </w:r>
    </w:p>
    <w:p w14:paraId="208BCE2F" w14:textId="43CCF636" w:rsidR="00E35290" w:rsidRDefault="00E35290" w:rsidP="00E35290">
      <w:pPr>
        <w:pStyle w:val="Heading2"/>
        <w:spacing w:before="6" w:line="360" w:lineRule="auto"/>
        <w:ind w:left="4107" w:right="234" w:hanging="4107"/>
        <w:jc w:val="left"/>
        <w:rPr>
          <w:lang w:val="vi-VN"/>
        </w:rPr>
      </w:pPr>
      <w:r w:rsidRPr="00E8301D">
        <w:t xml:space="preserve">Table </w:t>
      </w:r>
      <w:r>
        <w:rPr>
          <w:lang w:val="vi-VN"/>
        </w:rPr>
        <w:t>1</w:t>
      </w:r>
      <w:r w:rsidRPr="00E8301D">
        <w:t xml:space="preserve">: </w:t>
      </w:r>
      <w:r w:rsidRPr="00E35290">
        <w:t>Variable definitions</w:t>
      </w:r>
    </w:p>
    <w:tbl>
      <w:tblPr>
        <w:tblStyle w:val="TableGrid"/>
        <w:tblW w:w="0" w:type="auto"/>
        <w:tblLook w:val="04A0" w:firstRow="1" w:lastRow="0" w:firstColumn="1" w:lastColumn="0" w:noHBand="0" w:noVBand="1"/>
      </w:tblPr>
      <w:tblGrid>
        <w:gridCol w:w="2557"/>
        <w:gridCol w:w="1707"/>
        <w:gridCol w:w="1350"/>
        <w:gridCol w:w="4394"/>
      </w:tblGrid>
      <w:tr w:rsidR="005B509D" w:rsidRPr="005B509D" w14:paraId="73B7ABF8" w14:textId="77777777" w:rsidTr="005B509D">
        <w:tc>
          <w:tcPr>
            <w:tcW w:w="0" w:type="auto"/>
            <w:hideMark/>
          </w:tcPr>
          <w:p w14:paraId="57245096" w14:textId="77777777" w:rsidR="005B509D" w:rsidRPr="005B509D" w:rsidRDefault="005B509D">
            <w:pPr>
              <w:rPr>
                <w:color w:val="1F1F1F"/>
              </w:rPr>
            </w:pPr>
            <w:r w:rsidRPr="005B509D">
              <w:rPr>
                <w:rStyle w:val="Strong"/>
                <w:color w:val="1F1F1F"/>
                <w:bdr w:val="none" w:sz="0" w:space="0" w:color="auto" w:frame="1"/>
              </w:rPr>
              <w:t>Variable Type</w:t>
            </w:r>
          </w:p>
        </w:tc>
        <w:tc>
          <w:tcPr>
            <w:tcW w:w="1707" w:type="dxa"/>
            <w:hideMark/>
          </w:tcPr>
          <w:p w14:paraId="27347CFC" w14:textId="77777777" w:rsidR="005B509D" w:rsidRPr="005B509D" w:rsidRDefault="005B509D">
            <w:pPr>
              <w:rPr>
                <w:color w:val="1F1F1F"/>
              </w:rPr>
            </w:pPr>
            <w:r w:rsidRPr="005B509D">
              <w:rPr>
                <w:rStyle w:val="Strong"/>
                <w:color w:val="1F1F1F"/>
                <w:bdr w:val="none" w:sz="0" w:space="0" w:color="auto" w:frame="1"/>
              </w:rPr>
              <w:t>Variable Name</w:t>
            </w:r>
          </w:p>
        </w:tc>
        <w:tc>
          <w:tcPr>
            <w:tcW w:w="1350" w:type="dxa"/>
            <w:hideMark/>
          </w:tcPr>
          <w:p w14:paraId="23AB9801" w14:textId="77777777" w:rsidR="005B509D" w:rsidRPr="005B509D" w:rsidRDefault="005B509D">
            <w:pPr>
              <w:rPr>
                <w:color w:val="1F1F1F"/>
              </w:rPr>
            </w:pPr>
            <w:r w:rsidRPr="005B509D">
              <w:rPr>
                <w:rStyle w:val="Strong"/>
                <w:color w:val="1F1F1F"/>
                <w:bdr w:val="none" w:sz="0" w:space="0" w:color="auto" w:frame="1"/>
              </w:rPr>
              <w:t>Symbol</w:t>
            </w:r>
          </w:p>
        </w:tc>
        <w:tc>
          <w:tcPr>
            <w:tcW w:w="4394" w:type="dxa"/>
            <w:hideMark/>
          </w:tcPr>
          <w:p w14:paraId="08F32AA5" w14:textId="77777777" w:rsidR="005B509D" w:rsidRPr="005B509D" w:rsidRDefault="005B509D">
            <w:pPr>
              <w:rPr>
                <w:color w:val="1F1F1F"/>
              </w:rPr>
            </w:pPr>
            <w:r w:rsidRPr="005B509D">
              <w:rPr>
                <w:rStyle w:val="Strong"/>
                <w:color w:val="1F1F1F"/>
                <w:bdr w:val="none" w:sz="0" w:space="0" w:color="auto" w:frame="1"/>
              </w:rPr>
              <w:t>Definition</w:t>
            </w:r>
          </w:p>
        </w:tc>
      </w:tr>
      <w:tr w:rsidR="00F25860" w:rsidRPr="005B509D" w14:paraId="4695E95E" w14:textId="77777777" w:rsidTr="005B509D">
        <w:tc>
          <w:tcPr>
            <w:tcW w:w="0" w:type="auto"/>
            <w:vMerge w:val="restart"/>
            <w:hideMark/>
          </w:tcPr>
          <w:p w14:paraId="684D337D" w14:textId="77777777" w:rsidR="00F25860" w:rsidRPr="005B509D" w:rsidRDefault="00F25860" w:rsidP="00F25860">
            <w:pPr>
              <w:rPr>
                <w:color w:val="1F1F1F"/>
              </w:rPr>
            </w:pPr>
            <w:r w:rsidRPr="005B509D">
              <w:rPr>
                <w:b/>
                <w:bCs/>
                <w:color w:val="1F1F1F"/>
                <w:bdr w:val="none" w:sz="0" w:space="0" w:color="auto" w:frame="1"/>
              </w:rPr>
              <w:t>Dependent Variables</w:t>
            </w:r>
          </w:p>
        </w:tc>
        <w:tc>
          <w:tcPr>
            <w:tcW w:w="1707" w:type="dxa"/>
            <w:hideMark/>
          </w:tcPr>
          <w:p w14:paraId="74BD3FEA" w14:textId="77777777" w:rsidR="00F25860" w:rsidRPr="005B509D" w:rsidRDefault="00F25860" w:rsidP="00F25860">
            <w:pPr>
              <w:rPr>
                <w:color w:val="1F1F1F"/>
              </w:rPr>
            </w:pPr>
            <w:r w:rsidRPr="005B509D">
              <w:rPr>
                <w:color w:val="1F1F1F"/>
                <w:bdr w:val="none" w:sz="0" w:space="0" w:color="auto" w:frame="1"/>
              </w:rPr>
              <w:t>Trade Credit</w:t>
            </w:r>
          </w:p>
        </w:tc>
        <w:tc>
          <w:tcPr>
            <w:tcW w:w="1350" w:type="dxa"/>
            <w:hideMark/>
          </w:tcPr>
          <w:p w14:paraId="1B49D75E" w14:textId="77777777" w:rsidR="00F25860" w:rsidRPr="005B509D" w:rsidRDefault="00F25860" w:rsidP="00F25860">
            <w:pPr>
              <w:rPr>
                <w:color w:val="1F1F1F"/>
              </w:rPr>
            </w:pPr>
            <w:r w:rsidRPr="005B509D">
              <w:rPr>
                <w:i/>
                <w:iCs/>
                <w:color w:val="1F1F1F"/>
                <w:bdr w:val="none" w:sz="0" w:space="0" w:color="auto" w:frame="1"/>
              </w:rPr>
              <w:t>TC</w:t>
            </w:r>
          </w:p>
        </w:tc>
        <w:tc>
          <w:tcPr>
            <w:tcW w:w="4394" w:type="dxa"/>
            <w:hideMark/>
          </w:tcPr>
          <w:p w14:paraId="7AD7DF14" w14:textId="0D2D3EC3" w:rsidR="00F25860" w:rsidRPr="005B509D" w:rsidRDefault="00F25860" w:rsidP="00F25860">
            <w:pPr>
              <w:rPr>
                <w:color w:val="1F1F1F"/>
              </w:rPr>
            </w:pPr>
            <w:r w:rsidRPr="00277D3F">
              <w:t>the proportion of total assets to accounts payable.</w:t>
            </w:r>
          </w:p>
        </w:tc>
      </w:tr>
      <w:tr w:rsidR="00F25860" w:rsidRPr="005B509D" w14:paraId="49F2B79C" w14:textId="77777777" w:rsidTr="005B509D">
        <w:tc>
          <w:tcPr>
            <w:tcW w:w="0" w:type="auto"/>
            <w:vMerge/>
            <w:hideMark/>
          </w:tcPr>
          <w:p w14:paraId="00269298" w14:textId="77777777" w:rsidR="00F25860" w:rsidRPr="005B509D" w:rsidRDefault="00F25860" w:rsidP="00F25860">
            <w:pPr>
              <w:rPr>
                <w:color w:val="1F1F1F"/>
              </w:rPr>
            </w:pPr>
          </w:p>
        </w:tc>
        <w:tc>
          <w:tcPr>
            <w:tcW w:w="1707" w:type="dxa"/>
            <w:hideMark/>
          </w:tcPr>
          <w:p w14:paraId="62D283B8" w14:textId="77777777" w:rsidR="00F25860" w:rsidRPr="005B509D" w:rsidRDefault="00F25860" w:rsidP="00F25860">
            <w:pPr>
              <w:rPr>
                <w:color w:val="1F1F1F"/>
              </w:rPr>
            </w:pPr>
            <w:r w:rsidRPr="005B509D">
              <w:rPr>
                <w:color w:val="1F1F1F"/>
                <w:bdr w:val="none" w:sz="0" w:space="0" w:color="auto" w:frame="1"/>
              </w:rPr>
              <w:t>Alternative Trade Credit</w:t>
            </w:r>
          </w:p>
        </w:tc>
        <w:tc>
          <w:tcPr>
            <w:tcW w:w="1350" w:type="dxa"/>
            <w:hideMark/>
          </w:tcPr>
          <w:p w14:paraId="41141405" w14:textId="77777777" w:rsidR="00F25860" w:rsidRPr="005B509D" w:rsidRDefault="00F25860" w:rsidP="00F25860">
            <w:pPr>
              <w:rPr>
                <w:color w:val="1F1F1F"/>
              </w:rPr>
            </w:pPr>
            <w:r w:rsidRPr="005B509D">
              <w:rPr>
                <w:i/>
                <w:iCs/>
                <w:color w:val="1F1F1F"/>
                <w:bdr w:val="none" w:sz="0" w:space="0" w:color="auto" w:frame="1"/>
              </w:rPr>
              <w:t>TC2</w:t>
            </w:r>
          </w:p>
        </w:tc>
        <w:tc>
          <w:tcPr>
            <w:tcW w:w="4394" w:type="dxa"/>
            <w:hideMark/>
          </w:tcPr>
          <w:p w14:paraId="3A50D471" w14:textId="36873DFE" w:rsidR="00F25860" w:rsidRPr="005B509D" w:rsidRDefault="00F25860" w:rsidP="00F25860">
            <w:pPr>
              <w:rPr>
                <w:color w:val="1F1F1F"/>
              </w:rPr>
            </w:pPr>
            <w:r w:rsidRPr="00277D3F">
              <w:t>the proportion between the cost of items sold and accounts payable.</w:t>
            </w:r>
          </w:p>
        </w:tc>
      </w:tr>
      <w:tr w:rsidR="00F25860" w:rsidRPr="005B509D" w14:paraId="6567448B" w14:textId="77777777" w:rsidTr="005B509D">
        <w:tc>
          <w:tcPr>
            <w:tcW w:w="0" w:type="auto"/>
            <w:vMerge/>
            <w:hideMark/>
          </w:tcPr>
          <w:p w14:paraId="7F7ABD3A" w14:textId="77777777" w:rsidR="00F25860" w:rsidRPr="005B509D" w:rsidRDefault="00F25860" w:rsidP="00F25860">
            <w:pPr>
              <w:rPr>
                <w:color w:val="1F1F1F"/>
              </w:rPr>
            </w:pPr>
          </w:p>
        </w:tc>
        <w:tc>
          <w:tcPr>
            <w:tcW w:w="1707" w:type="dxa"/>
            <w:hideMark/>
          </w:tcPr>
          <w:p w14:paraId="22BA46F1" w14:textId="77777777" w:rsidR="00F25860" w:rsidRPr="005B509D" w:rsidRDefault="00F25860" w:rsidP="00F25860">
            <w:pPr>
              <w:rPr>
                <w:color w:val="1F1F1F"/>
              </w:rPr>
            </w:pPr>
            <w:r w:rsidRPr="005B509D">
              <w:rPr>
                <w:color w:val="1F1F1F"/>
                <w:bdr w:val="none" w:sz="0" w:space="0" w:color="auto" w:frame="1"/>
              </w:rPr>
              <w:t>Short-term Trade Credit</w:t>
            </w:r>
          </w:p>
        </w:tc>
        <w:tc>
          <w:tcPr>
            <w:tcW w:w="1350" w:type="dxa"/>
            <w:hideMark/>
          </w:tcPr>
          <w:p w14:paraId="5F40628A" w14:textId="77777777" w:rsidR="00F25860" w:rsidRPr="005B509D" w:rsidRDefault="00F25860" w:rsidP="00F25860">
            <w:pPr>
              <w:rPr>
                <w:color w:val="1F1F1F"/>
              </w:rPr>
            </w:pPr>
            <w:r w:rsidRPr="005B509D">
              <w:rPr>
                <w:i/>
                <w:iCs/>
                <w:color w:val="1F1F1F"/>
                <w:bdr w:val="none" w:sz="0" w:space="0" w:color="auto" w:frame="1"/>
              </w:rPr>
              <w:t>STC</w:t>
            </w:r>
          </w:p>
        </w:tc>
        <w:tc>
          <w:tcPr>
            <w:tcW w:w="4394" w:type="dxa"/>
            <w:hideMark/>
          </w:tcPr>
          <w:p w14:paraId="441143EA" w14:textId="3392F317" w:rsidR="00F25860" w:rsidRPr="005B509D" w:rsidRDefault="00F25860" w:rsidP="00F25860">
            <w:pPr>
              <w:rPr>
                <w:color w:val="1F1F1F"/>
              </w:rPr>
            </w:pPr>
            <w:r w:rsidRPr="00277D3F">
              <w:t>the proportion of total assets to accounts payable that are due within a year.</w:t>
            </w:r>
          </w:p>
        </w:tc>
      </w:tr>
      <w:tr w:rsidR="00F25860" w:rsidRPr="005B509D" w14:paraId="1B2EAF89" w14:textId="77777777" w:rsidTr="005B509D">
        <w:tc>
          <w:tcPr>
            <w:tcW w:w="0" w:type="auto"/>
            <w:vMerge/>
            <w:hideMark/>
          </w:tcPr>
          <w:p w14:paraId="45BD6ED9" w14:textId="77777777" w:rsidR="00F25860" w:rsidRPr="005B509D" w:rsidRDefault="00F25860" w:rsidP="00F25860">
            <w:pPr>
              <w:rPr>
                <w:color w:val="1F1F1F"/>
              </w:rPr>
            </w:pPr>
          </w:p>
        </w:tc>
        <w:tc>
          <w:tcPr>
            <w:tcW w:w="1707" w:type="dxa"/>
            <w:hideMark/>
          </w:tcPr>
          <w:p w14:paraId="0F525952" w14:textId="77777777" w:rsidR="00F25860" w:rsidRPr="005B509D" w:rsidRDefault="00F25860" w:rsidP="00F25860">
            <w:pPr>
              <w:rPr>
                <w:color w:val="1F1F1F"/>
              </w:rPr>
            </w:pPr>
            <w:r w:rsidRPr="005B509D">
              <w:rPr>
                <w:color w:val="1F1F1F"/>
                <w:bdr w:val="none" w:sz="0" w:space="0" w:color="auto" w:frame="1"/>
              </w:rPr>
              <w:t>Long-term Trade Credit</w:t>
            </w:r>
          </w:p>
        </w:tc>
        <w:tc>
          <w:tcPr>
            <w:tcW w:w="1350" w:type="dxa"/>
            <w:hideMark/>
          </w:tcPr>
          <w:p w14:paraId="65395423" w14:textId="77777777" w:rsidR="00F25860" w:rsidRPr="005B509D" w:rsidRDefault="00F25860" w:rsidP="00F25860">
            <w:pPr>
              <w:rPr>
                <w:color w:val="1F1F1F"/>
              </w:rPr>
            </w:pPr>
            <w:r w:rsidRPr="005B509D">
              <w:rPr>
                <w:i/>
                <w:iCs/>
                <w:color w:val="1F1F1F"/>
                <w:bdr w:val="none" w:sz="0" w:space="0" w:color="auto" w:frame="1"/>
              </w:rPr>
              <w:t>LTC</w:t>
            </w:r>
          </w:p>
        </w:tc>
        <w:tc>
          <w:tcPr>
            <w:tcW w:w="4394" w:type="dxa"/>
            <w:hideMark/>
          </w:tcPr>
          <w:p w14:paraId="635DA924" w14:textId="24D32E0B" w:rsidR="00F25860" w:rsidRPr="005B509D" w:rsidRDefault="00F25860" w:rsidP="00F25860">
            <w:pPr>
              <w:rPr>
                <w:color w:val="1F1F1F"/>
              </w:rPr>
            </w:pPr>
            <w:r w:rsidRPr="00277D3F">
              <w:t>the proportion of total assets to accounts payable that are past due.</w:t>
            </w:r>
          </w:p>
        </w:tc>
      </w:tr>
      <w:tr w:rsidR="00F25860" w:rsidRPr="005B509D" w14:paraId="328ECC10" w14:textId="77777777" w:rsidTr="005B509D">
        <w:tc>
          <w:tcPr>
            <w:tcW w:w="0" w:type="auto"/>
            <w:vMerge/>
            <w:hideMark/>
          </w:tcPr>
          <w:p w14:paraId="6910CBFF" w14:textId="77777777" w:rsidR="00F25860" w:rsidRPr="005B509D" w:rsidRDefault="00F25860" w:rsidP="00F25860">
            <w:pPr>
              <w:rPr>
                <w:color w:val="1F1F1F"/>
              </w:rPr>
            </w:pPr>
          </w:p>
        </w:tc>
        <w:tc>
          <w:tcPr>
            <w:tcW w:w="1707" w:type="dxa"/>
            <w:hideMark/>
          </w:tcPr>
          <w:p w14:paraId="446EDC70" w14:textId="77777777" w:rsidR="00F25860" w:rsidRPr="005B509D" w:rsidRDefault="00F25860" w:rsidP="00F25860">
            <w:pPr>
              <w:rPr>
                <w:color w:val="1F1F1F"/>
              </w:rPr>
            </w:pPr>
            <w:r w:rsidRPr="005B509D">
              <w:rPr>
                <w:color w:val="1F1F1F"/>
                <w:bdr w:val="none" w:sz="0" w:space="0" w:color="auto" w:frame="1"/>
              </w:rPr>
              <w:t>Trade Credit Provision</w:t>
            </w:r>
          </w:p>
        </w:tc>
        <w:tc>
          <w:tcPr>
            <w:tcW w:w="1350" w:type="dxa"/>
            <w:hideMark/>
          </w:tcPr>
          <w:p w14:paraId="6C0B969E" w14:textId="77777777" w:rsidR="00F25860" w:rsidRPr="005B509D" w:rsidRDefault="00F25860" w:rsidP="00F25860">
            <w:pPr>
              <w:rPr>
                <w:color w:val="1F1F1F"/>
              </w:rPr>
            </w:pPr>
            <w:r w:rsidRPr="005B509D">
              <w:rPr>
                <w:i/>
                <w:iCs/>
                <w:color w:val="1F1F1F"/>
                <w:bdr w:val="none" w:sz="0" w:space="0" w:color="auto" w:frame="1"/>
              </w:rPr>
              <w:t>TCP</w:t>
            </w:r>
          </w:p>
        </w:tc>
        <w:tc>
          <w:tcPr>
            <w:tcW w:w="4394" w:type="dxa"/>
            <w:hideMark/>
          </w:tcPr>
          <w:p w14:paraId="139E14C0" w14:textId="393E795E" w:rsidR="00F25860" w:rsidRPr="005B509D" w:rsidRDefault="00F25860" w:rsidP="00F25860">
            <w:pPr>
              <w:rPr>
                <w:color w:val="1F1F1F"/>
              </w:rPr>
            </w:pPr>
            <w:r w:rsidRPr="00277D3F">
              <w:t>the proportion of total assets to accounts receivable.</w:t>
            </w:r>
          </w:p>
        </w:tc>
      </w:tr>
      <w:tr w:rsidR="00F25860" w:rsidRPr="005B509D" w14:paraId="54FB7B2D" w14:textId="77777777" w:rsidTr="005B509D">
        <w:tc>
          <w:tcPr>
            <w:tcW w:w="0" w:type="auto"/>
            <w:vMerge w:val="restart"/>
            <w:hideMark/>
          </w:tcPr>
          <w:p w14:paraId="2B375223" w14:textId="77777777" w:rsidR="00F25860" w:rsidRPr="005B509D" w:rsidRDefault="00F25860" w:rsidP="00F25860">
            <w:pPr>
              <w:rPr>
                <w:color w:val="1F1F1F"/>
              </w:rPr>
            </w:pPr>
            <w:r w:rsidRPr="005B509D">
              <w:rPr>
                <w:b/>
                <w:bCs/>
                <w:color w:val="1F1F1F"/>
                <w:bdr w:val="none" w:sz="0" w:space="0" w:color="auto" w:frame="1"/>
              </w:rPr>
              <w:t>Independent Variables</w:t>
            </w:r>
          </w:p>
        </w:tc>
        <w:tc>
          <w:tcPr>
            <w:tcW w:w="1707" w:type="dxa"/>
            <w:hideMark/>
          </w:tcPr>
          <w:p w14:paraId="0456D7C5" w14:textId="77777777" w:rsidR="00F25860" w:rsidRPr="005B509D" w:rsidRDefault="00F25860" w:rsidP="00F25860">
            <w:pPr>
              <w:rPr>
                <w:color w:val="1F1F1F"/>
              </w:rPr>
            </w:pPr>
            <w:r w:rsidRPr="005B509D">
              <w:rPr>
                <w:color w:val="1F1F1F"/>
                <w:bdr w:val="none" w:sz="0" w:space="0" w:color="auto" w:frame="1"/>
              </w:rPr>
              <w:t>Corporate Digitalization</w:t>
            </w:r>
          </w:p>
        </w:tc>
        <w:tc>
          <w:tcPr>
            <w:tcW w:w="1350" w:type="dxa"/>
            <w:hideMark/>
          </w:tcPr>
          <w:p w14:paraId="12A045E2" w14:textId="77777777" w:rsidR="00F25860" w:rsidRPr="005B509D" w:rsidRDefault="00F25860" w:rsidP="00F25860">
            <w:pPr>
              <w:rPr>
                <w:color w:val="1F1F1F"/>
              </w:rPr>
            </w:pPr>
            <w:r w:rsidRPr="005B509D">
              <w:rPr>
                <w:i/>
                <w:iCs/>
                <w:color w:val="1F1F1F"/>
                <w:bdr w:val="none" w:sz="0" w:space="0" w:color="auto" w:frame="1"/>
              </w:rPr>
              <w:t>DIGIT</w:t>
            </w:r>
          </w:p>
        </w:tc>
        <w:tc>
          <w:tcPr>
            <w:tcW w:w="4394" w:type="dxa"/>
            <w:hideMark/>
          </w:tcPr>
          <w:p w14:paraId="29A5B41D" w14:textId="4856B7EE" w:rsidR="00F25860" w:rsidRPr="005B509D" w:rsidRDefault="00F25860" w:rsidP="00F25860">
            <w:pPr>
              <w:rPr>
                <w:color w:val="1F1F1F"/>
              </w:rPr>
            </w:pPr>
            <w:r w:rsidRPr="00277D3F">
              <w:t>The MD&amp;A section of the annual report's total frequency of digitalization-related keywords (AI, cloud computing, big data, digital applications) plus the natural logarithm of one.</w:t>
            </w:r>
          </w:p>
        </w:tc>
      </w:tr>
      <w:tr w:rsidR="00F25860" w:rsidRPr="005B509D" w14:paraId="38F3D84E" w14:textId="77777777" w:rsidTr="005B509D">
        <w:tc>
          <w:tcPr>
            <w:tcW w:w="0" w:type="auto"/>
            <w:vMerge/>
            <w:hideMark/>
          </w:tcPr>
          <w:p w14:paraId="4EB1417E" w14:textId="77777777" w:rsidR="00F25860" w:rsidRPr="005B509D" w:rsidRDefault="00F25860" w:rsidP="00F25860">
            <w:pPr>
              <w:rPr>
                <w:color w:val="1F1F1F"/>
              </w:rPr>
            </w:pPr>
          </w:p>
        </w:tc>
        <w:tc>
          <w:tcPr>
            <w:tcW w:w="1707" w:type="dxa"/>
            <w:hideMark/>
          </w:tcPr>
          <w:p w14:paraId="012A57F1" w14:textId="77777777" w:rsidR="00F25860" w:rsidRPr="005B509D" w:rsidRDefault="00F25860" w:rsidP="00F25860">
            <w:pPr>
              <w:rPr>
                <w:color w:val="1F1F1F"/>
              </w:rPr>
            </w:pPr>
            <w:r w:rsidRPr="005B509D">
              <w:rPr>
                <w:color w:val="1F1F1F"/>
                <w:bdr w:val="none" w:sz="0" w:space="0" w:color="auto" w:frame="1"/>
              </w:rPr>
              <w:t>Relative Digitalization</w:t>
            </w:r>
          </w:p>
        </w:tc>
        <w:tc>
          <w:tcPr>
            <w:tcW w:w="1350" w:type="dxa"/>
            <w:hideMark/>
          </w:tcPr>
          <w:p w14:paraId="507C71DF" w14:textId="77777777" w:rsidR="00F25860" w:rsidRPr="005B509D" w:rsidRDefault="00F25860" w:rsidP="00F25860">
            <w:pPr>
              <w:rPr>
                <w:color w:val="1F1F1F"/>
              </w:rPr>
            </w:pPr>
            <w:proofErr w:type="spellStart"/>
            <w:r w:rsidRPr="005B509D">
              <w:rPr>
                <w:i/>
                <w:iCs/>
                <w:color w:val="1F1F1F"/>
                <w:bdr w:val="none" w:sz="0" w:space="0" w:color="auto" w:frame="1"/>
              </w:rPr>
              <w:t>DIGIT_Rel</w:t>
            </w:r>
            <w:proofErr w:type="spellEnd"/>
          </w:p>
        </w:tc>
        <w:tc>
          <w:tcPr>
            <w:tcW w:w="4394" w:type="dxa"/>
            <w:hideMark/>
          </w:tcPr>
          <w:p w14:paraId="51295021" w14:textId="0C669D48" w:rsidR="00F25860" w:rsidRPr="005B509D" w:rsidRDefault="00F25860" w:rsidP="00F25860">
            <w:pPr>
              <w:rPr>
                <w:color w:val="1F1F1F"/>
              </w:rPr>
            </w:pPr>
            <w:r w:rsidRPr="00277D3F">
              <w:t>The MD&amp;A section's total word count divided by the raw frequency of digitalization keywords, then multiplied by 1,000.</w:t>
            </w:r>
          </w:p>
        </w:tc>
      </w:tr>
      <w:tr w:rsidR="00F25860" w:rsidRPr="005B509D" w14:paraId="1FE2BF9E" w14:textId="77777777" w:rsidTr="005B509D">
        <w:tc>
          <w:tcPr>
            <w:tcW w:w="0" w:type="auto"/>
            <w:vMerge w:val="restart"/>
            <w:hideMark/>
          </w:tcPr>
          <w:p w14:paraId="7DBE0BC3" w14:textId="77777777" w:rsidR="00F25860" w:rsidRPr="005B509D" w:rsidRDefault="00F25860" w:rsidP="00F25860">
            <w:pPr>
              <w:rPr>
                <w:color w:val="1F1F1F"/>
              </w:rPr>
            </w:pPr>
            <w:r w:rsidRPr="005B509D">
              <w:rPr>
                <w:b/>
                <w:bCs/>
                <w:color w:val="1F1F1F"/>
                <w:bdr w:val="none" w:sz="0" w:space="0" w:color="auto" w:frame="1"/>
              </w:rPr>
              <w:t>Moderating Variables</w:t>
            </w:r>
          </w:p>
        </w:tc>
        <w:tc>
          <w:tcPr>
            <w:tcW w:w="1707" w:type="dxa"/>
            <w:hideMark/>
          </w:tcPr>
          <w:p w14:paraId="7ED63976" w14:textId="77777777" w:rsidR="00F25860" w:rsidRPr="005B509D" w:rsidRDefault="00F25860" w:rsidP="00F25860">
            <w:pPr>
              <w:rPr>
                <w:color w:val="1F1F1F"/>
              </w:rPr>
            </w:pPr>
            <w:r w:rsidRPr="005B509D">
              <w:rPr>
                <w:color w:val="1F1F1F"/>
                <w:bdr w:val="none" w:sz="0" w:space="0" w:color="auto" w:frame="1"/>
              </w:rPr>
              <w:t>Information Asymmetry</w:t>
            </w:r>
          </w:p>
        </w:tc>
        <w:tc>
          <w:tcPr>
            <w:tcW w:w="1350" w:type="dxa"/>
            <w:hideMark/>
          </w:tcPr>
          <w:p w14:paraId="7B676D35" w14:textId="77777777" w:rsidR="00F25860" w:rsidRPr="005B509D" w:rsidRDefault="00F25860" w:rsidP="00F25860">
            <w:pPr>
              <w:rPr>
                <w:color w:val="1F1F1F"/>
              </w:rPr>
            </w:pPr>
            <w:r w:rsidRPr="005B509D">
              <w:rPr>
                <w:i/>
                <w:iCs/>
                <w:color w:val="1F1F1F"/>
                <w:bdr w:val="none" w:sz="0" w:space="0" w:color="auto" w:frame="1"/>
              </w:rPr>
              <w:t>ASY</w:t>
            </w:r>
          </w:p>
        </w:tc>
        <w:tc>
          <w:tcPr>
            <w:tcW w:w="4394" w:type="dxa"/>
            <w:hideMark/>
          </w:tcPr>
          <w:p w14:paraId="49D58882" w14:textId="0F6FFD31" w:rsidR="00F25860" w:rsidRPr="005B509D" w:rsidRDefault="00F25860" w:rsidP="00F25860">
            <w:pPr>
              <w:rPr>
                <w:color w:val="1F1F1F"/>
              </w:rPr>
            </w:pPr>
            <w:r w:rsidRPr="009253B2">
              <w:t>The sensitivity of daily stock returns to trading volume during the fiscal year is used to generate the KV index. Greater information asymmetry is indicated by higher values.</w:t>
            </w:r>
          </w:p>
        </w:tc>
      </w:tr>
      <w:tr w:rsidR="00F25860" w:rsidRPr="005B509D" w14:paraId="55405C90" w14:textId="77777777" w:rsidTr="005B509D">
        <w:tc>
          <w:tcPr>
            <w:tcW w:w="0" w:type="auto"/>
            <w:vMerge/>
            <w:hideMark/>
          </w:tcPr>
          <w:p w14:paraId="58DDC273" w14:textId="77777777" w:rsidR="00F25860" w:rsidRPr="005B509D" w:rsidRDefault="00F25860" w:rsidP="00F25860">
            <w:pPr>
              <w:rPr>
                <w:color w:val="1F1F1F"/>
              </w:rPr>
            </w:pPr>
          </w:p>
        </w:tc>
        <w:tc>
          <w:tcPr>
            <w:tcW w:w="1707" w:type="dxa"/>
            <w:hideMark/>
          </w:tcPr>
          <w:p w14:paraId="4E799C81" w14:textId="77777777" w:rsidR="00F25860" w:rsidRPr="005B509D" w:rsidRDefault="00F25860" w:rsidP="00F25860">
            <w:pPr>
              <w:rPr>
                <w:color w:val="1F1F1F"/>
              </w:rPr>
            </w:pPr>
            <w:r w:rsidRPr="005B509D">
              <w:rPr>
                <w:color w:val="1F1F1F"/>
                <w:bdr w:val="none" w:sz="0" w:space="0" w:color="auto" w:frame="1"/>
              </w:rPr>
              <w:t>Disclosure Rating</w:t>
            </w:r>
          </w:p>
        </w:tc>
        <w:tc>
          <w:tcPr>
            <w:tcW w:w="1350" w:type="dxa"/>
            <w:hideMark/>
          </w:tcPr>
          <w:p w14:paraId="2A75DBD4" w14:textId="77777777" w:rsidR="00F25860" w:rsidRPr="005B509D" w:rsidRDefault="00F25860" w:rsidP="00F25860">
            <w:pPr>
              <w:rPr>
                <w:color w:val="1F1F1F"/>
              </w:rPr>
            </w:pPr>
            <w:r w:rsidRPr="005B509D">
              <w:rPr>
                <w:i/>
                <w:iCs/>
                <w:color w:val="1F1F1F"/>
                <w:bdr w:val="none" w:sz="0" w:space="0" w:color="auto" w:frame="1"/>
              </w:rPr>
              <w:t>Rating</w:t>
            </w:r>
          </w:p>
        </w:tc>
        <w:tc>
          <w:tcPr>
            <w:tcW w:w="4394" w:type="dxa"/>
            <w:hideMark/>
          </w:tcPr>
          <w:p w14:paraId="067F1B20" w14:textId="7984874D" w:rsidR="00F25860" w:rsidRPr="005B509D" w:rsidRDefault="00F25860" w:rsidP="00F25860">
            <w:pPr>
              <w:rPr>
                <w:color w:val="1F1F1F"/>
              </w:rPr>
            </w:pPr>
            <w:r w:rsidRPr="009253B2">
              <w:t>The yearly corporate disclosure compliance ratings (Excellent = 4, Good = 3, Passing = 2, Failing = 1) are used to give a continuous variable.</w:t>
            </w:r>
          </w:p>
        </w:tc>
      </w:tr>
      <w:tr w:rsidR="00F25860" w:rsidRPr="005B509D" w14:paraId="4803CC05" w14:textId="77777777" w:rsidTr="005B509D">
        <w:tc>
          <w:tcPr>
            <w:tcW w:w="0" w:type="auto"/>
            <w:vMerge/>
            <w:hideMark/>
          </w:tcPr>
          <w:p w14:paraId="212BD429" w14:textId="77777777" w:rsidR="00F25860" w:rsidRPr="005B509D" w:rsidRDefault="00F25860" w:rsidP="00F25860">
            <w:pPr>
              <w:rPr>
                <w:color w:val="1F1F1F"/>
              </w:rPr>
            </w:pPr>
          </w:p>
        </w:tc>
        <w:tc>
          <w:tcPr>
            <w:tcW w:w="1707" w:type="dxa"/>
            <w:hideMark/>
          </w:tcPr>
          <w:p w14:paraId="2976E630" w14:textId="77777777" w:rsidR="00F25860" w:rsidRPr="005B509D" w:rsidRDefault="00F25860" w:rsidP="00F25860">
            <w:pPr>
              <w:rPr>
                <w:color w:val="1F1F1F"/>
              </w:rPr>
            </w:pPr>
            <w:r w:rsidRPr="005B509D">
              <w:rPr>
                <w:color w:val="1F1F1F"/>
                <w:bdr w:val="none" w:sz="0" w:space="0" w:color="auto" w:frame="1"/>
              </w:rPr>
              <w:t>Ownership Nature</w:t>
            </w:r>
          </w:p>
        </w:tc>
        <w:tc>
          <w:tcPr>
            <w:tcW w:w="1350" w:type="dxa"/>
            <w:hideMark/>
          </w:tcPr>
          <w:p w14:paraId="5169893E" w14:textId="77777777" w:rsidR="00F25860" w:rsidRPr="005B509D" w:rsidRDefault="00F25860" w:rsidP="00F25860">
            <w:pPr>
              <w:rPr>
                <w:color w:val="1F1F1F"/>
              </w:rPr>
            </w:pPr>
            <w:r w:rsidRPr="005B509D">
              <w:rPr>
                <w:i/>
                <w:iCs/>
                <w:color w:val="1F1F1F"/>
                <w:bdr w:val="none" w:sz="0" w:space="0" w:color="auto" w:frame="1"/>
              </w:rPr>
              <w:t>SOE</w:t>
            </w:r>
          </w:p>
        </w:tc>
        <w:tc>
          <w:tcPr>
            <w:tcW w:w="4394" w:type="dxa"/>
            <w:hideMark/>
          </w:tcPr>
          <w:p w14:paraId="58C2E624" w14:textId="0E38F372" w:rsidR="00F25860" w:rsidRPr="005B509D" w:rsidRDefault="00F25860" w:rsidP="00F25860">
            <w:pPr>
              <w:rPr>
                <w:color w:val="1F1F1F"/>
              </w:rPr>
            </w:pPr>
            <w:r w:rsidRPr="009253B2">
              <w:t>If the company is a state-owned enterprise (managed by the state), the dummy variable is set to 1; otherwise, it is set to 0.</w:t>
            </w:r>
          </w:p>
        </w:tc>
      </w:tr>
      <w:tr w:rsidR="00F25860" w:rsidRPr="005B509D" w14:paraId="614C1BC2" w14:textId="77777777" w:rsidTr="005B509D">
        <w:tc>
          <w:tcPr>
            <w:tcW w:w="0" w:type="auto"/>
            <w:vMerge/>
            <w:hideMark/>
          </w:tcPr>
          <w:p w14:paraId="54B6A698" w14:textId="77777777" w:rsidR="00F25860" w:rsidRPr="005B509D" w:rsidRDefault="00F25860" w:rsidP="00F25860">
            <w:pPr>
              <w:rPr>
                <w:color w:val="1F1F1F"/>
              </w:rPr>
            </w:pPr>
          </w:p>
        </w:tc>
        <w:tc>
          <w:tcPr>
            <w:tcW w:w="1707" w:type="dxa"/>
            <w:hideMark/>
          </w:tcPr>
          <w:p w14:paraId="7E21F9B2" w14:textId="77777777" w:rsidR="00F25860" w:rsidRPr="005B509D" w:rsidRDefault="00F25860" w:rsidP="00F25860">
            <w:pPr>
              <w:rPr>
                <w:color w:val="1F1F1F"/>
              </w:rPr>
            </w:pPr>
            <w:r w:rsidRPr="005B509D">
              <w:rPr>
                <w:color w:val="1F1F1F"/>
                <w:bdr w:val="none" w:sz="0" w:space="0" w:color="auto" w:frame="1"/>
              </w:rPr>
              <w:t>Economic Policy Uncertainty 1</w:t>
            </w:r>
          </w:p>
        </w:tc>
        <w:tc>
          <w:tcPr>
            <w:tcW w:w="1350" w:type="dxa"/>
            <w:hideMark/>
          </w:tcPr>
          <w:p w14:paraId="787511C1" w14:textId="77777777" w:rsidR="00F25860" w:rsidRPr="005B509D" w:rsidRDefault="00F25860" w:rsidP="00F25860">
            <w:pPr>
              <w:rPr>
                <w:color w:val="1F1F1F"/>
              </w:rPr>
            </w:pPr>
            <w:r w:rsidRPr="005B509D">
              <w:rPr>
                <w:i/>
                <w:iCs/>
                <w:color w:val="1F1F1F"/>
                <w:bdr w:val="none" w:sz="0" w:space="0" w:color="auto" w:frame="1"/>
              </w:rPr>
              <w:t>EPU1</w:t>
            </w:r>
          </w:p>
        </w:tc>
        <w:tc>
          <w:tcPr>
            <w:tcW w:w="4394" w:type="dxa"/>
            <w:hideMark/>
          </w:tcPr>
          <w:p w14:paraId="3E370F20" w14:textId="62C5FB65" w:rsidR="00F25860" w:rsidRPr="005B509D" w:rsidRDefault="00F25860" w:rsidP="00F25860">
            <w:pPr>
              <w:rPr>
                <w:color w:val="1F1F1F"/>
              </w:rPr>
            </w:pPr>
            <w:r w:rsidRPr="009253B2">
              <w:t>Vietnam's Economic Policy Uncertainty index is based on domestic news and was created by monitoring policy-related terms in the country's main media.</w:t>
            </w:r>
          </w:p>
        </w:tc>
      </w:tr>
      <w:tr w:rsidR="00F25860" w:rsidRPr="005B509D" w14:paraId="1C3B7F22" w14:textId="77777777" w:rsidTr="005B509D">
        <w:tc>
          <w:tcPr>
            <w:tcW w:w="0" w:type="auto"/>
            <w:vMerge/>
            <w:hideMark/>
          </w:tcPr>
          <w:p w14:paraId="3FD1D936" w14:textId="77777777" w:rsidR="00F25860" w:rsidRPr="005B509D" w:rsidRDefault="00F25860" w:rsidP="00F25860">
            <w:pPr>
              <w:rPr>
                <w:color w:val="1F1F1F"/>
              </w:rPr>
            </w:pPr>
          </w:p>
        </w:tc>
        <w:tc>
          <w:tcPr>
            <w:tcW w:w="1707" w:type="dxa"/>
            <w:hideMark/>
          </w:tcPr>
          <w:p w14:paraId="7086D07E" w14:textId="77777777" w:rsidR="00F25860" w:rsidRPr="005B509D" w:rsidRDefault="00F25860" w:rsidP="00F25860">
            <w:pPr>
              <w:rPr>
                <w:color w:val="1F1F1F"/>
              </w:rPr>
            </w:pPr>
            <w:r w:rsidRPr="005B509D">
              <w:rPr>
                <w:color w:val="1F1F1F"/>
                <w:bdr w:val="none" w:sz="0" w:space="0" w:color="auto" w:frame="1"/>
              </w:rPr>
              <w:t>Economic Policy Uncertainty 2</w:t>
            </w:r>
          </w:p>
        </w:tc>
        <w:tc>
          <w:tcPr>
            <w:tcW w:w="1350" w:type="dxa"/>
            <w:hideMark/>
          </w:tcPr>
          <w:p w14:paraId="7EF976D8" w14:textId="77777777" w:rsidR="00F25860" w:rsidRPr="005B509D" w:rsidRDefault="00F25860" w:rsidP="00F25860">
            <w:pPr>
              <w:rPr>
                <w:color w:val="1F1F1F"/>
              </w:rPr>
            </w:pPr>
            <w:r w:rsidRPr="005B509D">
              <w:rPr>
                <w:i/>
                <w:iCs/>
                <w:color w:val="1F1F1F"/>
                <w:bdr w:val="none" w:sz="0" w:space="0" w:color="auto" w:frame="1"/>
              </w:rPr>
              <w:t>EPU2</w:t>
            </w:r>
          </w:p>
        </w:tc>
        <w:tc>
          <w:tcPr>
            <w:tcW w:w="4394" w:type="dxa"/>
            <w:hideMark/>
          </w:tcPr>
          <w:p w14:paraId="43512D16" w14:textId="1D76D867" w:rsidR="00F25860" w:rsidRPr="005B509D" w:rsidRDefault="00F25860" w:rsidP="00F25860">
            <w:pPr>
              <w:rPr>
                <w:color w:val="1F1F1F"/>
              </w:rPr>
            </w:pPr>
            <w:r w:rsidRPr="009253B2">
              <w:t>Vietnam's World Uncertainty Index (WUI), which measures more general international and trade-related uncertainties.</w:t>
            </w:r>
          </w:p>
        </w:tc>
      </w:tr>
      <w:tr w:rsidR="00F25860" w:rsidRPr="005B509D" w14:paraId="1CF3D7E6" w14:textId="77777777" w:rsidTr="005B509D">
        <w:tc>
          <w:tcPr>
            <w:tcW w:w="0" w:type="auto"/>
            <w:vMerge w:val="restart"/>
            <w:hideMark/>
          </w:tcPr>
          <w:p w14:paraId="31890289" w14:textId="77777777" w:rsidR="00F25860" w:rsidRPr="005B509D" w:rsidRDefault="00F25860" w:rsidP="00F25860">
            <w:pPr>
              <w:rPr>
                <w:color w:val="1F1F1F"/>
              </w:rPr>
            </w:pPr>
            <w:r w:rsidRPr="005B509D">
              <w:rPr>
                <w:b/>
                <w:bCs/>
                <w:color w:val="1F1F1F"/>
                <w:bdr w:val="none" w:sz="0" w:space="0" w:color="auto" w:frame="1"/>
              </w:rPr>
              <w:t>Control Variables</w:t>
            </w:r>
          </w:p>
        </w:tc>
        <w:tc>
          <w:tcPr>
            <w:tcW w:w="1707" w:type="dxa"/>
            <w:hideMark/>
          </w:tcPr>
          <w:p w14:paraId="70330AAC" w14:textId="77777777" w:rsidR="00F25860" w:rsidRPr="005B509D" w:rsidRDefault="00F25860" w:rsidP="00F25860">
            <w:pPr>
              <w:rPr>
                <w:color w:val="1F1F1F"/>
              </w:rPr>
            </w:pPr>
            <w:r w:rsidRPr="005B509D">
              <w:rPr>
                <w:color w:val="1F1F1F"/>
                <w:bdr w:val="none" w:sz="0" w:space="0" w:color="auto" w:frame="1"/>
              </w:rPr>
              <w:t>Firm Size</w:t>
            </w:r>
          </w:p>
        </w:tc>
        <w:tc>
          <w:tcPr>
            <w:tcW w:w="1350" w:type="dxa"/>
            <w:hideMark/>
          </w:tcPr>
          <w:p w14:paraId="712D5E92" w14:textId="77777777" w:rsidR="00F25860" w:rsidRPr="005B509D" w:rsidRDefault="00F25860" w:rsidP="00F25860">
            <w:pPr>
              <w:rPr>
                <w:color w:val="1F1F1F"/>
              </w:rPr>
            </w:pPr>
            <w:r w:rsidRPr="005B509D">
              <w:rPr>
                <w:i/>
                <w:iCs/>
                <w:color w:val="1F1F1F"/>
                <w:bdr w:val="none" w:sz="0" w:space="0" w:color="auto" w:frame="1"/>
              </w:rPr>
              <w:t>Size</w:t>
            </w:r>
          </w:p>
        </w:tc>
        <w:tc>
          <w:tcPr>
            <w:tcW w:w="4394" w:type="dxa"/>
            <w:hideMark/>
          </w:tcPr>
          <w:p w14:paraId="7491EB11" w14:textId="5855E308" w:rsidR="00F25860" w:rsidRPr="005B509D" w:rsidRDefault="00F25860" w:rsidP="00F25860">
            <w:pPr>
              <w:rPr>
                <w:color w:val="1F1F1F"/>
              </w:rPr>
            </w:pPr>
            <w:r w:rsidRPr="00250796">
              <w:t>the total assets' natural logarithm.</w:t>
            </w:r>
          </w:p>
        </w:tc>
      </w:tr>
      <w:tr w:rsidR="00F25860" w:rsidRPr="005B509D" w14:paraId="67BAFD7F" w14:textId="77777777" w:rsidTr="005B509D">
        <w:tc>
          <w:tcPr>
            <w:tcW w:w="0" w:type="auto"/>
            <w:vMerge/>
            <w:hideMark/>
          </w:tcPr>
          <w:p w14:paraId="51AE5B9C" w14:textId="77777777" w:rsidR="00F25860" w:rsidRPr="005B509D" w:rsidRDefault="00F25860" w:rsidP="00F25860">
            <w:pPr>
              <w:rPr>
                <w:color w:val="1F1F1F"/>
              </w:rPr>
            </w:pPr>
          </w:p>
        </w:tc>
        <w:tc>
          <w:tcPr>
            <w:tcW w:w="1707" w:type="dxa"/>
            <w:hideMark/>
          </w:tcPr>
          <w:p w14:paraId="28FD4D55" w14:textId="77777777" w:rsidR="00F25860" w:rsidRPr="005B509D" w:rsidRDefault="00F25860" w:rsidP="00F25860">
            <w:pPr>
              <w:rPr>
                <w:color w:val="1F1F1F"/>
              </w:rPr>
            </w:pPr>
            <w:r w:rsidRPr="005B509D">
              <w:rPr>
                <w:color w:val="1F1F1F"/>
                <w:bdr w:val="none" w:sz="0" w:space="0" w:color="auto" w:frame="1"/>
              </w:rPr>
              <w:t>Return on Assets</w:t>
            </w:r>
          </w:p>
        </w:tc>
        <w:tc>
          <w:tcPr>
            <w:tcW w:w="1350" w:type="dxa"/>
            <w:hideMark/>
          </w:tcPr>
          <w:p w14:paraId="188C91AB" w14:textId="77777777" w:rsidR="00F25860" w:rsidRPr="005B509D" w:rsidRDefault="00F25860" w:rsidP="00F25860">
            <w:pPr>
              <w:rPr>
                <w:color w:val="1F1F1F"/>
              </w:rPr>
            </w:pPr>
            <w:r w:rsidRPr="005B509D">
              <w:rPr>
                <w:i/>
                <w:iCs/>
                <w:color w:val="1F1F1F"/>
                <w:bdr w:val="none" w:sz="0" w:space="0" w:color="auto" w:frame="1"/>
              </w:rPr>
              <w:t>ROA</w:t>
            </w:r>
          </w:p>
        </w:tc>
        <w:tc>
          <w:tcPr>
            <w:tcW w:w="4394" w:type="dxa"/>
            <w:hideMark/>
          </w:tcPr>
          <w:p w14:paraId="63BD1427" w14:textId="29E91BD5" w:rsidR="00F25860" w:rsidRPr="005B509D" w:rsidRDefault="00F25860" w:rsidP="00F25860">
            <w:pPr>
              <w:rPr>
                <w:color w:val="1F1F1F"/>
              </w:rPr>
            </w:pPr>
            <w:r w:rsidRPr="00250796">
              <w:t>Divide net income by total assets.</w:t>
            </w:r>
          </w:p>
        </w:tc>
      </w:tr>
      <w:tr w:rsidR="00F25860" w:rsidRPr="005B509D" w14:paraId="31694F80" w14:textId="77777777" w:rsidTr="005B509D">
        <w:tc>
          <w:tcPr>
            <w:tcW w:w="0" w:type="auto"/>
            <w:vMerge/>
            <w:hideMark/>
          </w:tcPr>
          <w:p w14:paraId="0B9BEF78" w14:textId="77777777" w:rsidR="00F25860" w:rsidRPr="005B509D" w:rsidRDefault="00F25860" w:rsidP="00F25860">
            <w:pPr>
              <w:rPr>
                <w:color w:val="1F1F1F"/>
              </w:rPr>
            </w:pPr>
          </w:p>
        </w:tc>
        <w:tc>
          <w:tcPr>
            <w:tcW w:w="1707" w:type="dxa"/>
            <w:hideMark/>
          </w:tcPr>
          <w:p w14:paraId="783E8B82" w14:textId="77777777" w:rsidR="00F25860" w:rsidRPr="005B509D" w:rsidRDefault="00F25860" w:rsidP="00F25860">
            <w:pPr>
              <w:rPr>
                <w:color w:val="1F1F1F"/>
              </w:rPr>
            </w:pPr>
            <w:r w:rsidRPr="005B509D">
              <w:rPr>
                <w:color w:val="1F1F1F"/>
                <w:bdr w:val="none" w:sz="0" w:space="0" w:color="auto" w:frame="1"/>
              </w:rPr>
              <w:t>Leverage</w:t>
            </w:r>
          </w:p>
        </w:tc>
        <w:tc>
          <w:tcPr>
            <w:tcW w:w="1350" w:type="dxa"/>
            <w:hideMark/>
          </w:tcPr>
          <w:p w14:paraId="127AEDEB" w14:textId="77777777" w:rsidR="00F25860" w:rsidRPr="005B509D" w:rsidRDefault="00F25860" w:rsidP="00F25860">
            <w:pPr>
              <w:rPr>
                <w:color w:val="1F1F1F"/>
              </w:rPr>
            </w:pPr>
            <w:r w:rsidRPr="005B509D">
              <w:rPr>
                <w:i/>
                <w:iCs/>
                <w:color w:val="1F1F1F"/>
                <w:bdr w:val="none" w:sz="0" w:space="0" w:color="auto" w:frame="1"/>
              </w:rPr>
              <w:t>Lev</w:t>
            </w:r>
          </w:p>
        </w:tc>
        <w:tc>
          <w:tcPr>
            <w:tcW w:w="4394" w:type="dxa"/>
            <w:hideMark/>
          </w:tcPr>
          <w:p w14:paraId="1106153C" w14:textId="413C2BAD" w:rsidR="00F25860" w:rsidRPr="005B509D" w:rsidRDefault="00F25860" w:rsidP="00F25860">
            <w:pPr>
              <w:rPr>
                <w:color w:val="1F1F1F"/>
              </w:rPr>
            </w:pPr>
            <w:r w:rsidRPr="00250796">
              <w:t>Divide entire debt by total assets.</w:t>
            </w:r>
          </w:p>
        </w:tc>
      </w:tr>
      <w:tr w:rsidR="00F25860" w:rsidRPr="005B509D" w14:paraId="2F14DC46" w14:textId="77777777" w:rsidTr="005B509D">
        <w:tc>
          <w:tcPr>
            <w:tcW w:w="0" w:type="auto"/>
            <w:vMerge/>
            <w:hideMark/>
          </w:tcPr>
          <w:p w14:paraId="301BBDE3" w14:textId="77777777" w:rsidR="00F25860" w:rsidRPr="005B509D" w:rsidRDefault="00F25860" w:rsidP="00F25860">
            <w:pPr>
              <w:rPr>
                <w:color w:val="1F1F1F"/>
              </w:rPr>
            </w:pPr>
          </w:p>
        </w:tc>
        <w:tc>
          <w:tcPr>
            <w:tcW w:w="1707" w:type="dxa"/>
            <w:hideMark/>
          </w:tcPr>
          <w:p w14:paraId="335085E2" w14:textId="77777777" w:rsidR="00F25860" w:rsidRPr="005B509D" w:rsidRDefault="00F25860" w:rsidP="00F25860">
            <w:pPr>
              <w:rPr>
                <w:color w:val="1F1F1F"/>
              </w:rPr>
            </w:pPr>
            <w:r w:rsidRPr="005B509D">
              <w:rPr>
                <w:color w:val="1F1F1F"/>
                <w:bdr w:val="none" w:sz="0" w:space="0" w:color="auto" w:frame="1"/>
              </w:rPr>
              <w:t>Tangibility</w:t>
            </w:r>
          </w:p>
        </w:tc>
        <w:tc>
          <w:tcPr>
            <w:tcW w:w="1350" w:type="dxa"/>
            <w:hideMark/>
          </w:tcPr>
          <w:p w14:paraId="332CEF77" w14:textId="77777777" w:rsidR="00F25860" w:rsidRPr="005B509D" w:rsidRDefault="00F25860" w:rsidP="00F25860">
            <w:pPr>
              <w:rPr>
                <w:color w:val="1F1F1F"/>
              </w:rPr>
            </w:pPr>
            <w:r w:rsidRPr="005B509D">
              <w:rPr>
                <w:i/>
                <w:iCs/>
                <w:color w:val="1F1F1F"/>
                <w:bdr w:val="none" w:sz="0" w:space="0" w:color="auto" w:frame="1"/>
              </w:rPr>
              <w:t>Tang</w:t>
            </w:r>
          </w:p>
        </w:tc>
        <w:tc>
          <w:tcPr>
            <w:tcW w:w="4394" w:type="dxa"/>
            <w:hideMark/>
          </w:tcPr>
          <w:p w14:paraId="5DEB8331" w14:textId="74025292" w:rsidR="00F25860" w:rsidRPr="005B509D" w:rsidRDefault="00F25860" w:rsidP="00F25860">
            <w:pPr>
              <w:rPr>
                <w:color w:val="1F1F1F"/>
              </w:rPr>
            </w:pPr>
            <w:r w:rsidRPr="00250796">
              <w:t>The ratio of net fixed assets to total assets.</w:t>
            </w:r>
          </w:p>
        </w:tc>
      </w:tr>
      <w:tr w:rsidR="00F25860" w:rsidRPr="005B509D" w14:paraId="53129E65" w14:textId="77777777" w:rsidTr="005B509D">
        <w:tc>
          <w:tcPr>
            <w:tcW w:w="0" w:type="auto"/>
            <w:vMerge/>
            <w:hideMark/>
          </w:tcPr>
          <w:p w14:paraId="4E532B5E" w14:textId="77777777" w:rsidR="00F25860" w:rsidRPr="005B509D" w:rsidRDefault="00F25860" w:rsidP="00F25860">
            <w:pPr>
              <w:rPr>
                <w:color w:val="1F1F1F"/>
              </w:rPr>
            </w:pPr>
          </w:p>
        </w:tc>
        <w:tc>
          <w:tcPr>
            <w:tcW w:w="1707" w:type="dxa"/>
            <w:hideMark/>
          </w:tcPr>
          <w:p w14:paraId="67B388FE" w14:textId="77777777" w:rsidR="00F25860" w:rsidRPr="005B509D" w:rsidRDefault="00F25860" w:rsidP="00F25860">
            <w:pPr>
              <w:rPr>
                <w:color w:val="1F1F1F"/>
              </w:rPr>
            </w:pPr>
            <w:r w:rsidRPr="005B509D">
              <w:rPr>
                <w:color w:val="1F1F1F"/>
                <w:bdr w:val="none" w:sz="0" w:space="0" w:color="auto" w:frame="1"/>
              </w:rPr>
              <w:t>Cash Flow</w:t>
            </w:r>
          </w:p>
        </w:tc>
        <w:tc>
          <w:tcPr>
            <w:tcW w:w="1350" w:type="dxa"/>
            <w:hideMark/>
          </w:tcPr>
          <w:p w14:paraId="6D9B5BED" w14:textId="77777777" w:rsidR="00F25860" w:rsidRPr="005B509D" w:rsidRDefault="00F25860" w:rsidP="00F25860">
            <w:pPr>
              <w:rPr>
                <w:color w:val="1F1F1F"/>
              </w:rPr>
            </w:pPr>
            <w:r w:rsidRPr="005B509D">
              <w:rPr>
                <w:i/>
                <w:iCs/>
                <w:color w:val="1F1F1F"/>
                <w:bdr w:val="none" w:sz="0" w:space="0" w:color="auto" w:frame="1"/>
              </w:rPr>
              <w:t>CF</w:t>
            </w:r>
          </w:p>
        </w:tc>
        <w:tc>
          <w:tcPr>
            <w:tcW w:w="4394" w:type="dxa"/>
            <w:hideMark/>
          </w:tcPr>
          <w:p w14:paraId="7C228343" w14:textId="1C9B9142" w:rsidR="00F25860" w:rsidRPr="005B509D" w:rsidRDefault="00F25860" w:rsidP="00F25860">
            <w:pPr>
              <w:rPr>
                <w:color w:val="1F1F1F"/>
              </w:rPr>
            </w:pPr>
            <w:r w:rsidRPr="00250796">
              <w:t>The ratio of net operating cash flow to total assets.</w:t>
            </w:r>
          </w:p>
        </w:tc>
      </w:tr>
      <w:tr w:rsidR="00F25860" w:rsidRPr="005B509D" w14:paraId="319453DC" w14:textId="77777777" w:rsidTr="005B509D">
        <w:tc>
          <w:tcPr>
            <w:tcW w:w="0" w:type="auto"/>
            <w:vMerge/>
            <w:hideMark/>
          </w:tcPr>
          <w:p w14:paraId="0C5368AE" w14:textId="77777777" w:rsidR="00F25860" w:rsidRPr="005B509D" w:rsidRDefault="00F25860" w:rsidP="00F25860">
            <w:pPr>
              <w:rPr>
                <w:color w:val="1F1F1F"/>
              </w:rPr>
            </w:pPr>
          </w:p>
        </w:tc>
        <w:tc>
          <w:tcPr>
            <w:tcW w:w="1707" w:type="dxa"/>
            <w:hideMark/>
          </w:tcPr>
          <w:p w14:paraId="76E38278" w14:textId="77777777" w:rsidR="00F25860" w:rsidRPr="005B509D" w:rsidRDefault="00F25860" w:rsidP="00F25860">
            <w:pPr>
              <w:rPr>
                <w:color w:val="1F1F1F"/>
              </w:rPr>
            </w:pPr>
            <w:r w:rsidRPr="005B509D">
              <w:rPr>
                <w:color w:val="1F1F1F"/>
                <w:bdr w:val="none" w:sz="0" w:space="0" w:color="auto" w:frame="1"/>
              </w:rPr>
              <w:t>Revenue Growth</w:t>
            </w:r>
          </w:p>
        </w:tc>
        <w:tc>
          <w:tcPr>
            <w:tcW w:w="1350" w:type="dxa"/>
            <w:hideMark/>
          </w:tcPr>
          <w:p w14:paraId="11113CB1" w14:textId="77777777" w:rsidR="00F25860" w:rsidRPr="005B509D" w:rsidRDefault="00F25860" w:rsidP="00F25860">
            <w:pPr>
              <w:rPr>
                <w:color w:val="1F1F1F"/>
              </w:rPr>
            </w:pPr>
            <w:r w:rsidRPr="005B509D">
              <w:rPr>
                <w:i/>
                <w:iCs/>
                <w:color w:val="1F1F1F"/>
                <w:bdr w:val="none" w:sz="0" w:space="0" w:color="auto" w:frame="1"/>
              </w:rPr>
              <w:t>Growth</w:t>
            </w:r>
          </w:p>
        </w:tc>
        <w:tc>
          <w:tcPr>
            <w:tcW w:w="4394" w:type="dxa"/>
            <w:hideMark/>
          </w:tcPr>
          <w:p w14:paraId="5D5218F5" w14:textId="4E6A2B3B" w:rsidR="00F25860" w:rsidRPr="005B509D" w:rsidRDefault="00F25860" w:rsidP="00F25860">
            <w:pPr>
              <w:rPr>
                <w:color w:val="1F1F1F"/>
              </w:rPr>
            </w:pPr>
            <w:r w:rsidRPr="00250796">
              <w:t>the annual sales revenue change as a percentage from the prior year.</w:t>
            </w:r>
          </w:p>
        </w:tc>
      </w:tr>
      <w:tr w:rsidR="00F25860" w:rsidRPr="005B509D" w14:paraId="16AA7039" w14:textId="77777777" w:rsidTr="005B509D">
        <w:tc>
          <w:tcPr>
            <w:tcW w:w="0" w:type="auto"/>
            <w:vMerge/>
            <w:hideMark/>
          </w:tcPr>
          <w:p w14:paraId="2261E522" w14:textId="77777777" w:rsidR="00F25860" w:rsidRPr="005B509D" w:rsidRDefault="00F25860" w:rsidP="00F25860">
            <w:pPr>
              <w:rPr>
                <w:color w:val="1F1F1F"/>
              </w:rPr>
            </w:pPr>
          </w:p>
        </w:tc>
        <w:tc>
          <w:tcPr>
            <w:tcW w:w="1707" w:type="dxa"/>
            <w:hideMark/>
          </w:tcPr>
          <w:p w14:paraId="20A00466" w14:textId="77777777" w:rsidR="00F25860" w:rsidRPr="005B509D" w:rsidRDefault="00F25860" w:rsidP="00F25860">
            <w:pPr>
              <w:rPr>
                <w:color w:val="1F1F1F"/>
              </w:rPr>
            </w:pPr>
            <w:r w:rsidRPr="005B509D">
              <w:rPr>
                <w:color w:val="1F1F1F"/>
                <w:bdr w:val="none" w:sz="0" w:space="0" w:color="auto" w:frame="1"/>
              </w:rPr>
              <w:t>Firm Age</w:t>
            </w:r>
          </w:p>
        </w:tc>
        <w:tc>
          <w:tcPr>
            <w:tcW w:w="1350" w:type="dxa"/>
            <w:hideMark/>
          </w:tcPr>
          <w:p w14:paraId="35D575A0" w14:textId="77777777" w:rsidR="00F25860" w:rsidRPr="005B509D" w:rsidRDefault="00F25860" w:rsidP="00F25860">
            <w:pPr>
              <w:rPr>
                <w:color w:val="1F1F1F"/>
              </w:rPr>
            </w:pPr>
            <w:r w:rsidRPr="005B509D">
              <w:rPr>
                <w:i/>
                <w:iCs/>
                <w:color w:val="1F1F1F"/>
                <w:bdr w:val="none" w:sz="0" w:space="0" w:color="auto" w:frame="1"/>
              </w:rPr>
              <w:t>Age</w:t>
            </w:r>
          </w:p>
        </w:tc>
        <w:tc>
          <w:tcPr>
            <w:tcW w:w="4394" w:type="dxa"/>
            <w:hideMark/>
          </w:tcPr>
          <w:p w14:paraId="590E5A48" w14:textId="33C66EAE" w:rsidR="00F25860" w:rsidRPr="005B509D" w:rsidRDefault="00F25860" w:rsidP="00F25860">
            <w:pPr>
              <w:rPr>
                <w:color w:val="1F1F1F"/>
              </w:rPr>
            </w:pPr>
            <w:r w:rsidRPr="00250796">
              <w:t>The natural logarithm of the years since the company's founding.</w:t>
            </w:r>
          </w:p>
        </w:tc>
      </w:tr>
      <w:tr w:rsidR="00F25860" w:rsidRPr="005B509D" w14:paraId="1E564F56" w14:textId="77777777" w:rsidTr="005B509D">
        <w:tc>
          <w:tcPr>
            <w:tcW w:w="0" w:type="auto"/>
            <w:vMerge/>
            <w:hideMark/>
          </w:tcPr>
          <w:p w14:paraId="239FFC0C" w14:textId="77777777" w:rsidR="00F25860" w:rsidRPr="005B509D" w:rsidRDefault="00F25860" w:rsidP="00F25860">
            <w:pPr>
              <w:rPr>
                <w:color w:val="1F1F1F"/>
              </w:rPr>
            </w:pPr>
          </w:p>
        </w:tc>
        <w:tc>
          <w:tcPr>
            <w:tcW w:w="1707" w:type="dxa"/>
            <w:hideMark/>
          </w:tcPr>
          <w:p w14:paraId="4B951AD2" w14:textId="77777777" w:rsidR="00F25860" w:rsidRPr="005B509D" w:rsidRDefault="00F25860" w:rsidP="00F25860">
            <w:pPr>
              <w:rPr>
                <w:color w:val="1F1F1F"/>
              </w:rPr>
            </w:pPr>
            <w:r w:rsidRPr="005B509D">
              <w:rPr>
                <w:color w:val="1F1F1F"/>
                <w:bdr w:val="none" w:sz="0" w:space="0" w:color="auto" w:frame="1"/>
              </w:rPr>
              <w:t>Default Risk</w:t>
            </w:r>
          </w:p>
        </w:tc>
        <w:tc>
          <w:tcPr>
            <w:tcW w:w="1350" w:type="dxa"/>
            <w:hideMark/>
          </w:tcPr>
          <w:p w14:paraId="3232C88D" w14:textId="77777777" w:rsidR="00F25860" w:rsidRPr="005B509D" w:rsidRDefault="00F25860" w:rsidP="00F25860">
            <w:pPr>
              <w:rPr>
                <w:color w:val="1F1F1F"/>
              </w:rPr>
            </w:pPr>
            <w:r w:rsidRPr="005B509D">
              <w:rPr>
                <w:i/>
                <w:iCs/>
                <w:color w:val="1F1F1F"/>
                <w:bdr w:val="none" w:sz="0" w:space="0" w:color="auto" w:frame="1"/>
              </w:rPr>
              <w:t>EDF</w:t>
            </w:r>
          </w:p>
        </w:tc>
        <w:tc>
          <w:tcPr>
            <w:tcW w:w="4394" w:type="dxa"/>
            <w:hideMark/>
          </w:tcPr>
          <w:p w14:paraId="61449007" w14:textId="73A046B7" w:rsidR="00F25860" w:rsidRPr="005B509D" w:rsidRDefault="00F25860" w:rsidP="00F25860">
            <w:pPr>
              <w:rPr>
                <w:color w:val="1F1F1F"/>
              </w:rPr>
            </w:pPr>
            <w:r w:rsidRPr="00250796">
              <w:t>The Merton distance-to-default model was used to obtain the Expected Default Frequency.</w:t>
            </w:r>
          </w:p>
        </w:tc>
      </w:tr>
      <w:tr w:rsidR="00F25860" w:rsidRPr="005B509D" w14:paraId="48BD4D93" w14:textId="77777777" w:rsidTr="005B509D">
        <w:tc>
          <w:tcPr>
            <w:tcW w:w="0" w:type="auto"/>
            <w:vMerge w:val="restart"/>
            <w:hideMark/>
          </w:tcPr>
          <w:p w14:paraId="702E5435" w14:textId="77777777" w:rsidR="00F25860" w:rsidRPr="005B509D" w:rsidRDefault="00F25860" w:rsidP="00F25860">
            <w:pPr>
              <w:rPr>
                <w:color w:val="1F1F1F"/>
              </w:rPr>
            </w:pPr>
            <w:r w:rsidRPr="005B509D">
              <w:rPr>
                <w:b/>
                <w:bCs/>
                <w:color w:val="1F1F1F"/>
                <w:bdr w:val="none" w:sz="0" w:space="0" w:color="auto" w:frame="1"/>
              </w:rPr>
              <w:t>DID Variables</w:t>
            </w:r>
          </w:p>
        </w:tc>
        <w:tc>
          <w:tcPr>
            <w:tcW w:w="1707" w:type="dxa"/>
            <w:hideMark/>
          </w:tcPr>
          <w:p w14:paraId="3C615769" w14:textId="77777777" w:rsidR="00F25860" w:rsidRPr="005B509D" w:rsidRDefault="00F25860" w:rsidP="00F25860">
            <w:pPr>
              <w:rPr>
                <w:color w:val="1F1F1F"/>
              </w:rPr>
            </w:pPr>
            <w:r w:rsidRPr="005B509D">
              <w:rPr>
                <w:color w:val="1F1F1F"/>
                <w:bdr w:val="none" w:sz="0" w:space="0" w:color="auto" w:frame="1"/>
              </w:rPr>
              <w:t>Policy Dummy</w:t>
            </w:r>
          </w:p>
        </w:tc>
        <w:tc>
          <w:tcPr>
            <w:tcW w:w="1350" w:type="dxa"/>
            <w:hideMark/>
          </w:tcPr>
          <w:p w14:paraId="7D632F08" w14:textId="77777777" w:rsidR="00F25860" w:rsidRPr="005B509D" w:rsidRDefault="00F25860" w:rsidP="00F25860">
            <w:pPr>
              <w:rPr>
                <w:color w:val="1F1F1F"/>
              </w:rPr>
            </w:pPr>
            <w:r w:rsidRPr="005B509D">
              <w:rPr>
                <w:i/>
                <w:iCs/>
                <w:color w:val="1F1F1F"/>
                <w:bdr w:val="none" w:sz="0" w:space="0" w:color="auto" w:frame="1"/>
              </w:rPr>
              <w:t>DID</w:t>
            </w:r>
          </w:p>
        </w:tc>
        <w:tc>
          <w:tcPr>
            <w:tcW w:w="4394" w:type="dxa"/>
            <w:hideMark/>
          </w:tcPr>
          <w:p w14:paraId="61104894" w14:textId="4F3DDF14" w:rsidR="00F25860" w:rsidRPr="005B509D" w:rsidRDefault="00F25860" w:rsidP="00F25860">
            <w:pPr>
              <w:rPr>
                <w:color w:val="1F1F1F"/>
              </w:rPr>
            </w:pPr>
            <w:r w:rsidRPr="00250796">
              <w:t>If the province in which the company is based has formally implemented its digital transformation action plan in or before the specified year, the dummy variable will be set to 1; otherwise, it will be set to 0.</w:t>
            </w:r>
          </w:p>
        </w:tc>
      </w:tr>
      <w:tr w:rsidR="00F25860" w:rsidRPr="005B509D" w14:paraId="79996613" w14:textId="77777777" w:rsidTr="005B509D">
        <w:tc>
          <w:tcPr>
            <w:tcW w:w="0" w:type="auto"/>
            <w:vMerge/>
            <w:hideMark/>
          </w:tcPr>
          <w:p w14:paraId="2155EB41" w14:textId="77777777" w:rsidR="00F25860" w:rsidRPr="005B509D" w:rsidRDefault="00F25860" w:rsidP="00F25860">
            <w:pPr>
              <w:rPr>
                <w:color w:val="1F1F1F"/>
              </w:rPr>
            </w:pPr>
          </w:p>
        </w:tc>
        <w:tc>
          <w:tcPr>
            <w:tcW w:w="1707" w:type="dxa"/>
            <w:hideMark/>
          </w:tcPr>
          <w:p w14:paraId="782ED0D6" w14:textId="77777777" w:rsidR="00F25860" w:rsidRPr="005B509D" w:rsidRDefault="00F25860" w:rsidP="00F25860">
            <w:pPr>
              <w:rPr>
                <w:color w:val="1F1F1F"/>
              </w:rPr>
            </w:pPr>
            <w:r w:rsidRPr="005B509D">
              <w:rPr>
                <w:color w:val="1F1F1F"/>
                <w:bdr w:val="none" w:sz="0" w:space="0" w:color="auto" w:frame="1"/>
              </w:rPr>
              <w:t>Event Dummies</w:t>
            </w:r>
          </w:p>
        </w:tc>
        <w:tc>
          <w:tcPr>
            <w:tcW w:w="1350" w:type="dxa"/>
            <w:hideMark/>
          </w:tcPr>
          <w:p w14:paraId="370E92BC" w14:textId="77777777" w:rsidR="00F25860" w:rsidRPr="005B509D" w:rsidRDefault="00F25860" w:rsidP="00F25860">
            <w:pPr>
              <w:rPr>
                <w:color w:val="1F1F1F"/>
              </w:rPr>
            </w:pPr>
            <w:r w:rsidRPr="005B509D">
              <w:rPr>
                <w:i/>
                <w:iCs/>
                <w:color w:val="1F1F1F"/>
                <w:bdr w:val="none" w:sz="0" w:space="0" w:color="auto" w:frame="1"/>
              </w:rPr>
              <w:t>Before / After</w:t>
            </w:r>
          </w:p>
        </w:tc>
        <w:tc>
          <w:tcPr>
            <w:tcW w:w="4394" w:type="dxa"/>
            <w:hideMark/>
          </w:tcPr>
          <w:p w14:paraId="45200CD7" w14:textId="0ECCFA2B" w:rsidR="00F25860" w:rsidRPr="005B509D" w:rsidRDefault="00F25860" w:rsidP="00F25860">
            <w:pPr>
              <w:rPr>
                <w:color w:val="1F1F1F"/>
              </w:rPr>
            </w:pPr>
            <w:r w:rsidRPr="00250796">
              <w:t>a collection of dummy variables that represent the event windows (years) in relation to the year the provincial policy was put into effect.</w:t>
            </w:r>
          </w:p>
        </w:tc>
      </w:tr>
    </w:tbl>
    <w:p w14:paraId="76E0AADA" w14:textId="72485976" w:rsidR="004A5ED7" w:rsidRPr="00A902D0" w:rsidRDefault="004A5ED7" w:rsidP="00A902D0">
      <w:pPr>
        <w:spacing w:before="120" w:after="120" w:line="360" w:lineRule="auto"/>
        <w:ind w:right="234"/>
        <w:jc w:val="both"/>
        <w:rPr>
          <w:b/>
          <w:lang w:val="vi-VN"/>
        </w:rPr>
      </w:pPr>
      <w:r w:rsidRPr="00A902D0">
        <w:rPr>
          <w:b/>
          <w:lang w:val="vi-VN"/>
        </w:rPr>
        <w:t>3.2.2. Model design</w:t>
      </w:r>
    </w:p>
    <w:p w14:paraId="2407732B" w14:textId="77777777" w:rsidR="004A5ED7" w:rsidRPr="00A902D0" w:rsidRDefault="004A5ED7" w:rsidP="004A5ED7">
      <w:pPr>
        <w:pStyle w:val="Heading2"/>
        <w:tabs>
          <w:tab w:val="left" w:pos="792"/>
        </w:tabs>
        <w:spacing w:before="240" w:line="360" w:lineRule="auto"/>
        <w:ind w:left="0" w:right="234"/>
        <w:rPr>
          <w:i/>
          <w:iCs/>
        </w:rPr>
      </w:pPr>
      <w:r w:rsidRPr="00A902D0">
        <w:rPr>
          <w:i/>
          <w:iCs/>
        </w:rPr>
        <w:t>Baseline and Moderating Models</w:t>
      </w:r>
    </w:p>
    <w:p w14:paraId="4CDA09C5" w14:textId="60469422" w:rsidR="004A5ED7" w:rsidRPr="004A2D81" w:rsidRDefault="00F25860" w:rsidP="004A5ED7">
      <w:pPr>
        <w:pStyle w:val="Heading2"/>
        <w:tabs>
          <w:tab w:val="left" w:pos="792"/>
        </w:tabs>
        <w:spacing w:before="240" w:line="360" w:lineRule="auto"/>
        <w:ind w:left="0" w:right="234"/>
        <w:rPr>
          <w:b w:val="0"/>
          <w:bCs w:val="0"/>
        </w:rPr>
      </w:pPr>
      <w:r w:rsidRPr="00F25860">
        <w:rPr>
          <w:b w:val="0"/>
          <w:bCs w:val="0"/>
        </w:rPr>
        <w:t>We build the following two-way fixed effects baseline panel regression model in order to evaluate Hypothesis 1 about the primary impact of corporate digitalization on trade credit access</w:t>
      </w:r>
      <w:r w:rsidR="004A5ED7" w:rsidRPr="004A2D81">
        <w:rPr>
          <w:b w:val="0"/>
          <w:bCs w:val="0"/>
        </w:rPr>
        <w:t>:</w:t>
      </w:r>
    </w:p>
    <w:p w14:paraId="48D02E35" w14:textId="69F97937" w:rsidR="004A5ED7" w:rsidRPr="004A2D81" w:rsidRDefault="0018079E" w:rsidP="004A5ED7">
      <w:pPr>
        <w:pStyle w:val="Heading2"/>
        <w:tabs>
          <w:tab w:val="left" w:pos="792"/>
        </w:tabs>
        <w:spacing w:before="240" w:line="360" w:lineRule="auto"/>
        <w:ind w:left="0" w:right="234"/>
        <w:rPr>
          <w:b w:val="0"/>
          <w:bCs w:val="0"/>
        </w:rPr>
      </w:pPr>
      <m:oMathPara>
        <m:oMath>
          <m:r>
            <m:rPr>
              <m:sty m:val="bi"/>
            </m:rPr>
            <w:rPr>
              <w:rFonts w:ascii="Cambria Math" w:hAnsi="Cambria Math"/>
            </w:rPr>
            <m:t>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0</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1</m:t>
              </m:r>
            </m:sub>
          </m:sSub>
          <m:r>
            <m:rPr>
              <m:sty m:val="bi"/>
            </m:rPr>
            <w:rPr>
              <w:rFonts w:ascii="Cambria Math" w:hAnsi="Cambria Math"/>
            </w:rPr>
            <m:t>DIGI</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+γControl</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i,t</m:t>
              </m:r>
            </m:sub>
          </m:sSub>
          <m:r>
            <m:rPr>
              <m:sty m:val="bi"/>
            </m:rPr>
            <w:rPr>
              <w:rFonts w:ascii="Cambria Math" w:hAnsi="Cambria Math"/>
            </w:rPr>
            <m:t>+FirmF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+YearF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ϵ</m:t>
              </m:r>
            </m:e>
            <m:sub>
              <m:r>
                <m:rPr>
                  <m:sty m:val="bi"/>
                </m:rPr>
                <w:rPr>
                  <w:rFonts w:ascii="Cambria Math" w:hAnsi="Cambria Math"/>
                </w:rPr>
                <m:t>i,t</m:t>
              </m:r>
            </m:sub>
          </m:sSub>
          <m:r>
            <m:rPr>
              <m:sty m:val="bi"/>
            </m:rPr>
            <w:rPr>
              <w:rFonts w:ascii="Cambria Math" w:hAnsi="Cambria Math"/>
            </w:rPr>
            <m:t>  </m:t>
          </m:r>
          <m:d>
            <m:dPr>
              <m:ctrlPr>
                <w:rPr>
                  <w:rFonts w:ascii="Cambria Math" w:hAnsi="Cambria Math"/>
                </w:rPr>
              </m:ctrlPr>
            </m:dPr>
            <m:e>
              <m:r>
                <m:rPr>
                  <m:sty m:val="bi"/>
                </m:rPr>
                <w:rPr>
                  <w:rFonts w:ascii="Cambria Math" w:hAnsi="Cambria Math"/>
                </w:rPr>
                <m:t>1</m:t>
              </m:r>
            </m:e>
          </m:d>
          <m:r>
            <m:rPr>
              <m:sty m:val="b"/>
            </m:rPr>
            <w:rPr>
              <w:rFonts w:ascii="Cambria Math" w:hAnsi="Cambria Math"/>
            </w:rPr>
            <w:br/>
          </m:r>
        </m:oMath>
      </m:oMathPara>
      <w:r w:rsidR="00F25860" w:rsidRPr="00F25860">
        <w:rPr>
          <w:b w:val="0"/>
          <w:bCs w:val="0"/>
        </w:rPr>
        <w:t xml:space="preserve">where </w:t>
      </w:r>
      <w:r w:rsidR="00F25860" w:rsidRPr="00F25860">
        <w:rPr>
          <w:rFonts w:ascii="Cambria Math" w:hAnsi="Cambria Math" w:cs="Cambria Math"/>
          <w:b w:val="0"/>
          <w:bCs w:val="0"/>
        </w:rPr>
        <w:t>𝑻𝑪𝒊</w:t>
      </w:r>
      <w:r w:rsidR="00F25860" w:rsidRPr="00F25860">
        <w:rPr>
          <w:b w:val="0"/>
          <w:bCs w:val="0"/>
        </w:rPr>
        <w:t>,</w:t>
      </w:r>
      <w:r w:rsidR="00F25860" w:rsidRPr="00F25860">
        <w:rPr>
          <w:rFonts w:ascii="Cambria Math" w:hAnsi="Cambria Math" w:cs="Cambria Math"/>
          <w:b w:val="0"/>
          <w:bCs w:val="0"/>
        </w:rPr>
        <w:t>𝒕</w:t>
      </w:r>
      <w:r w:rsidR="00F25860" w:rsidRPr="00F25860">
        <w:rPr>
          <w:b w:val="0"/>
          <w:bCs w:val="0"/>
        </w:rPr>
        <w:t xml:space="preserve"> is the trade credit of firm </w:t>
      </w:r>
      <w:r w:rsidR="00F25860" w:rsidRPr="00F25860">
        <w:rPr>
          <w:rFonts w:ascii="Cambria Math" w:hAnsi="Cambria Math" w:cs="Cambria Math"/>
          <w:b w:val="0"/>
          <w:bCs w:val="0"/>
        </w:rPr>
        <w:t>𝒊</w:t>
      </w:r>
      <w:r w:rsidR="00F25860" w:rsidRPr="00F25860">
        <w:rPr>
          <w:b w:val="0"/>
          <w:bCs w:val="0"/>
        </w:rPr>
        <w:t xml:space="preserve"> in year </w:t>
      </w:r>
      <w:r w:rsidR="00F25860" w:rsidRPr="00F25860">
        <w:rPr>
          <w:rFonts w:ascii="Cambria Math" w:hAnsi="Cambria Math" w:cs="Cambria Math"/>
          <w:b w:val="0"/>
          <w:bCs w:val="0"/>
        </w:rPr>
        <w:t>𝒕</w:t>
      </w:r>
      <w:r w:rsidR="00F25860" w:rsidRPr="00F25860">
        <w:rPr>
          <w:b w:val="0"/>
          <w:bCs w:val="0"/>
        </w:rPr>
        <w:t xml:space="preserve">; </w:t>
      </w:r>
      <w:r w:rsidR="00F25860" w:rsidRPr="00F25860">
        <w:rPr>
          <w:rFonts w:ascii="Cambria Math" w:hAnsi="Cambria Math" w:cs="Cambria Math"/>
          <w:b w:val="0"/>
          <w:bCs w:val="0"/>
        </w:rPr>
        <w:t>𝑫𝑰𝑮𝑰𝑻𝒊</w:t>
      </w:r>
      <w:r w:rsidR="00F25860" w:rsidRPr="00F25860">
        <w:rPr>
          <w:b w:val="0"/>
          <w:bCs w:val="0"/>
        </w:rPr>
        <w:t>,</w:t>
      </w:r>
      <w:r w:rsidR="00F25860" w:rsidRPr="00F25860">
        <w:rPr>
          <w:rFonts w:ascii="Cambria Math" w:hAnsi="Cambria Math" w:cs="Cambria Math"/>
          <w:b w:val="0"/>
          <w:bCs w:val="0"/>
        </w:rPr>
        <w:t>𝒕</w:t>
      </w:r>
      <w:r w:rsidR="00F25860" w:rsidRPr="00F25860">
        <w:rPr>
          <w:b w:val="0"/>
          <w:bCs w:val="0"/>
        </w:rPr>
        <w:t xml:space="preserve"> is the corporate digitalization index; and </w:t>
      </w:r>
      <w:r w:rsidR="00F25860" w:rsidRPr="00F25860">
        <w:rPr>
          <w:rFonts w:ascii="Cambria Math" w:hAnsi="Cambria Math" w:cs="Cambria Math"/>
          <w:b w:val="0"/>
          <w:bCs w:val="0"/>
        </w:rPr>
        <w:t>𝑪𝒐𝒏𝒕𝒐𝒍𝒔𝒊𝒕</w:t>
      </w:r>
      <w:r w:rsidR="00F25860" w:rsidRPr="00F25860">
        <w:rPr>
          <w:b w:val="0"/>
          <w:bCs w:val="0"/>
        </w:rPr>
        <w:t xml:space="preserve"> is the vector of control variables. We incorporate year fixed effects (</w:t>
      </w:r>
      <w:r w:rsidR="00F25860" w:rsidRPr="00F25860">
        <w:rPr>
          <w:rFonts w:ascii="Cambria Math" w:hAnsi="Cambria Math" w:cs="Cambria Math"/>
          <w:b w:val="0"/>
          <w:bCs w:val="0"/>
        </w:rPr>
        <w:t>𝒀𝒆𝒂𝒓𝑭𝑬</w:t>
      </w:r>
      <w:r w:rsidR="00F25860" w:rsidRPr="00F25860">
        <w:rPr>
          <w:b w:val="0"/>
          <w:bCs w:val="0"/>
        </w:rPr>
        <w:t>) to capture macroeconomic shocks shared by all firms and company fixed effects (</w:t>
      </w:r>
      <w:r w:rsidR="00F25860" w:rsidRPr="00F25860">
        <w:rPr>
          <w:rFonts w:ascii="Cambria Math" w:hAnsi="Cambria Math" w:cs="Cambria Math"/>
          <w:b w:val="0"/>
          <w:bCs w:val="0"/>
        </w:rPr>
        <w:t>𝑭𝒊𝒓𝒎𝑭𝑬</w:t>
      </w:r>
      <w:r w:rsidR="00F25860" w:rsidRPr="00F25860">
        <w:rPr>
          <w:b w:val="0"/>
          <w:bCs w:val="0"/>
        </w:rPr>
        <w:t xml:space="preserve">) to absorb unobservable time-invariant firm characteristics. The robust random error term clustered at the firm level is </w:t>
      </w:r>
      <w:r w:rsidR="00F25860" w:rsidRPr="00F25860">
        <w:rPr>
          <w:rFonts w:ascii="Cambria Math" w:hAnsi="Cambria Math" w:cs="Cambria Math"/>
          <w:b w:val="0"/>
          <w:bCs w:val="0"/>
        </w:rPr>
        <w:t>𝝐𝒊</w:t>
      </w:r>
      <w:r w:rsidR="00F25860" w:rsidRPr="00F25860">
        <w:rPr>
          <w:b w:val="0"/>
          <w:bCs w:val="0"/>
        </w:rPr>
        <w:t>,</w:t>
      </w:r>
      <w:r w:rsidR="00F25860" w:rsidRPr="00F25860">
        <w:rPr>
          <w:rFonts w:ascii="Cambria Math" w:hAnsi="Cambria Math" w:cs="Cambria Math"/>
          <w:b w:val="0"/>
          <w:bCs w:val="0"/>
        </w:rPr>
        <w:t>𝒕</w:t>
      </w:r>
      <w:r w:rsidR="00F25860">
        <w:rPr>
          <w:b w:val="0"/>
          <w:bCs w:val="0"/>
        </w:rPr>
        <w:t xml:space="preserve">. </w:t>
      </w:r>
      <w:r w:rsidR="004A5ED7" w:rsidRPr="004A2D81">
        <w:rPr>
          <w:b w:val="0"/>
          <w:bCs w:val="0"/>
        </w:rPr>
        <w:t xml:space="preserve">A significantly positive coefficient </w:t>
      </w: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1</m:t>
            </m:r>
          </m:sub>
        </m:sSub>
      </m:oMath>
      <w:r w:rsidR="004A5ED7" w:rsidRPr="004A2D81">
        <w:rPr>
          <w:b w:val="0"/>
          <w:bCs w:val="0"/>
        </w:rPr>
        <w:t xml:space="preserve"> would support H1.</w:t>
      </w:r>
    </w:p>
    <w:p w14:paraId="75897062" w14:textId="7760977D" w:rsidR="004A5ED7" w:rsidRPr="004A2D81" w:rsidRDefault="004A5ED7" w:rsidP="004A5ED7">
      <w:pPr>
        <w:pStyle w:val="Heading2"/>
        <w:tabs>
          <w:tab w:val="left" w:pos="792"/>
        </w:tabs>
        <w:spacing w:before="240" w:line="360" w:lineRule="auto"/>
        <w:ind w:left="0" w:right="234"/>
        <w:rPr>
          <w:b w:val="0"/>
          <w:bCs w:val="0"/>
        </w:rPr>
      </w:pPr>
      <w:r w:rsidRPr="004A2D81">
        <w:rPr>
          <w:b w:val="0"/>
          <w:bCs w:val="0"/>
        </w:rPr>
        <w:t xml:space="preserve">To test the moderating effects of Information Asymmetry (H2) and Ownership Nature (H3), we introduce the interaction terms </w:t>
      </w:r>
      <m:oMath>
        <m:r>
          <m:rPr>
            <m:sty m:val="bi"/>
          </m:rPr>
          <w:rPr>
            <w:rFonts w:ascii="Cambria Math" w:hAnsi="Cambria Math"/>
          </w:rPr>
          <m:t>DIGI</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×AS</m:t>
        </m:r>
        <m:sSub>
          <m:sSubPr>
            <m:ctrlPr>
              <w:rPr>
                <w:rFonts w:ascii="Cambria Math" w:hAnsi="Cambria Math"/>
                <w:b w:val="0"/>
                <w:bCs w:val="0"/>
              </w:rPr>
            </m:ctrlPr>
          </m:sSubPr>
          <m:e>
            <m:r>
              <m:rPr>
                <m:sty m:val="bi"/>
              </m:rPr>
              <w:rPr>
                <w:rFonts w:ascii="Cambria Math" w:hAnsi="Cambria Math"/>
              </w:rPr>
              <m:t>Y</m:t>
            </m:r>
          </m:e>
          <m:sub>
            <m:r>
              <m:rPr>
                <m:sty m:val="bi"/>
              </m:rPr>
              <w:rPr>
                <w:rFonts w:ascii="Cambria Math" w:hAnsi="Cambria Math"/>
              </w:rPr>
              <m:t>i,t</m:t>
            </m:r>
          </m:sub>
        </m:sSub>
      </m:oMath>
      <w:r w:rsidR="00635FB2" w:rsidRPr="004A2D81">
        <w:rPr>
          <w:b w:val="0"/>
          <w:bCs w:val="0"/>
          <w:lang w:val="vi-VN"/>
        </w:rPr>
        <w:t xml:space="preserve"> </w:t>
      </w:r>
      <w:r w:rsidRPr="004A2D81">
        <w:rPr>
          <w:b w:val="0"/>
          <w:bCs w:val="0"/>
        </w:rPr>
        <w:t xml:space="preserve">and </w:t>
      </w:r>
      <m:oMath>
        <m:r>
          <m:rPr>
            <m:sty m:val="bi"/>
          </m:rPr>
          <w:rPr>
            <w:rFonts w:ascii="Cambria Math" w:hAnsi="Cambria Math"/>
          </w:rPr>
          <m:t>DIGI</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×SO</m:t>
        </m:r>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i,t</m:t>
            </m:r>
          </m:sub>
        </m:sSub>
      </m:oMath>
      <w:r w:rsidRPr="004A2D81">
        <w:rPr>
          <w:b w:val="0"/>
          <w:bCs w:val="0"/>
        </w:rPr>
        <w:t xml:space="preserve"> into the baseline model:</w:t>
      </w:r>
    </w:p>
    <w:p w14:paraId="5CAB632C" w14:textId="06327C3E" w:rsidR="004A5ED7" w:rsidRPr="004A5ED7" w:rsidRDefault="0018079E" w:rsidP="004A5ED7">
      <w:pPr>
        <w:pStyle w:val="Heading2"/>
        <w:tabs>
          <w:tab w:val="left" w:pos="792"/>
        </w:tabs>
        <w:spacing w:before="240" w:line="360" w:lineRule="auto"/>
        <w:ind w:left="0" w:right="234"/>
        <w:rPr>
          <w:b w:val="0"/>
          <w:bCs w:val="0"/>
        </w:rPr>
      </w:pPr>
      <m:oMathPara>
        <m:oMath>
          <m:r>
            <m:rPr>
              <m:sty m:val="bi"/>
            </m:rPr>
            <w:rPr>
              <w:rFonts w:ascii="Cambria Math" w:hAnsi="Cambria Math"/>
            </w:rPr>
            <m:t>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DIGI</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rPr>
            <m:t>ModeratingVa</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3</m:t>
              </m:r>
            </m:sub>
          </m:sSub>
          <m:d>
            <m:dPr>
              <m:ctrlPr>
                <w:rPr>
                  <w:rFonts w:ascii="Cambria Math" w:hAnsi="Cambria Math"/>
                </w:rPr>
              </m:ctrlPr>
            </m:dPr>
            <m:e>
              <m:r>
                <m:rPr>
                  <m:sty m:val="bi"/>
                </m:rPr>
                <w:rPr>
                  <w:rFonts w:ascii="Cambria Math" w:hAnsi="Cambria Math"/>
                </w:rPr>
                <m:t>DIGI</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i,t</m:t>
                  </m:r>
                </m:sub>
              </m:sSub>
              <m:r>
                <m:rPr>
                  <m:sty m:val="bi"/>
                </m:rPr>
                <w:rPr>
                  <w:rFonts w:ascii="Cambria Math" w:hAnsi="Cambria Math"/>
                </w:rPr>
                <m:t>×ModeratingVa</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i,t</m:t>
                  </m:r>
                </m:sub>
              </m:sSub>
            </m:e>
          </m:d>
          <m:r>
            <m:rPr>
              <m:sty m:val="bi"/>
            </m:rPr>
            <w:rPr>
              <w:rFonts w:ascii="Cambria Math" w:hAnsi="Cambria Math"/>
            </w:rPr>
            <m:t>+γControl</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i,t</m:t>
              </m:r>
            </m:sub>
          </m:sSub>
          <m:r>
            <m:rPr>
              <m:sty m:val="bi"/>
            </m:rPr>
            <w:rPr>
              <w:rFonts w:ascii="Cambria Math" w:hAnsi="Cambria Math"/>
            </w:rPr>
            <m:t>+FirmF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+YearF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ϵ</m:t>
              </m:r>
            </m:e>
            <m:sub>
              <m:r>
                <m:rPr>
                  <m:sty m:val="bi"/>
                </m:rPr>
                <w:rPr>
                  <w:rFonts w:ascii="Cambria Math" w:hAnsi="Cambria Math"/>
                </w:rPr>
                <m:t>i,t</m:t>
              </m:r>
            </m:sub>
          </m:sSub>
          <m:r>
            <m:rPr>
              <m:sty m:val="bi"/>
            </m:rPr>
            <w:rPr>
              <w:rFonts w:ascii="Cambria Math" w:hAnsi="Cambria Math"/>
            </w:rPr>
            <m:t>  </m:t>
          </m:r>
          <m:d>
            <m:dPr>
              <m:ctrlPr>
                <w:rPr>
                  <w:rFonts w:ascii="Cambria Math" w:hAnsi="Cambria Math"/>
                </w:rPr>
              </m:ctrlPr>
            </m:dPr>
            <m:e>
              <m:r>
                <m:rPr>
                  <m:sty m:val="bi"/>
                </m:rPr>
                <w:rPr>
                  <w:rFonts w:ascii="Cambria Math" w:hAnsi="Cambria Math"/>
                </w:rPr>
                <m:t>2</m:t>
              </m:r>
            </m:e>
          </m:d>
          <m:r>
            <m:rPr>
              <m:sty m:val="b"/>
            </m:rPr>
            <w:rPr>
              <w:rFonts w:ascii="Cambria Math" w:hAnsi="Cambria Math"/>
            </w:rPr>
            <w:br/>
          </m:r>
        </m:oMath>
      </m:oMathPara>
      <w:r w:rsidR="004A5ED7" w:rsidRPr="00635FB2">
        <w:rPr>
          <w:i/>
          <w:iCs/>
        </w:rPr>
        <w:t>Difference-in-Differences (DID) Model for Endogeneity</w:t>
      </w:r>
    </w:p>
    <w:p w14:paraId="680E18A7" w14:textId="77777777" w:rsidR="005B509D" w:rsidRPr="004A2D81" w:rsidRDefault="005B509D" w:rsidP="004A5ED7">
      <w:pPr>
        <w:pStyle w:val="Heading2"/>
        <w:tabs>
          <w:tab w:val="left" w:pos="792"/>
        </w:tabs>
        <w:spacing w:before="240" w:line="360" w:lineRule="auto"/>
        <w:ind w:left="0" w:right="234"/>
        <w:rPr>
          <w:b w:val="0"/>
          <w:bCs w:val="0"/>
          <w:lang w:val="vi-VN"/>
        </w:rPr>
      </w:pPr>
      <w:r w:rsidRPr="005B509D">
        <w:rPr>
          <w:b w:val="0"/>
          <w:bCs w:val="0"/>
        </w:rPr>
        <w:lastRenderedPageBreak/>
        <w:t xml:space="preserve">A potential endogeneity issue arises from reverse causality: firms with higher trade credit might possess more financial slack to invest in digital transformation. To establish a rigorous causal relationship, we exploit the staggered rollout of provincial digital transformation action plans across Vietnam as a quasi-natural </w:t>
      </w:r>
      <w:r w:rsidRPr="004A2D81">
        <w:rPr>
          <w:b w:val="0"/>
          <w:bCs w:val="0"/>
        </w:rPr>
        <w:t xml:space="preserve">experiment. Following the promulgation of the "National Digital Transformation </w:t>
      </w:r>
      <w:proofErr w:type="spellStart"/>
      <w:r w:rsidRPr="004A2D81">
        <w:rPr>
          <w:b w:val="0"/>
          <w:bCs w:val="0"/>
        </w:rPr>
        <w:t>Programme</w:t>
      </w:r>
      <w:proofErr w:type="spellEnd"/>
      <w:r w:rsidRPr="004A2D81">
        <w:rPr>
          <w:b w:val="0"/>
          <w:bCs w:val="0"/>
        </w:rPr>
        <w:t>" in 2020, local governments across 63 provinces and municipalities did not implement the mandate simultaneously. Instead, they formulated and officially approved their specific regional policies at different times between 2020 and 2022, depending on their local digital infrastructure and economic readiness. This staggered implementation provides an ideal setting to mitigate aggregate macroeconomic confounding factors.</w:t>
      </w:r>
    </w:p>
    <w:p w14:paraId="7FB229E5" w14:textId="362D627C" w:rsidR="004A5ED7" w:rsidRPr="004A2D81" w:rsidRDefault="00F25860" w:rsidP="004A5ED7">
      <w:pPr>
        <w:pStyle w:val="Heading2"/>
        <w:tabs>
          <w:tab w:val="left" w:pos="792"/>
        </w:tabs>
        <w:spacing w:before="240" w:line="360" w:lineRule="auto"/>
        <w:ind w:left="0" w:right="234"/>
        <w:rPr>
          <w:b w:val="0"/>
          <w:bCs w:val="0"/>
        </w:rPr>
      </w:pPr>
      <w:r w:rsidRPr="00F25860">
        <w:rPr>
          <w:b w:val="0"/>
          <w:bCs w:val="0"/>
        </w:rPr>
        <w:t>To determine the causal influence, we build a staggered Difference-in-Differences (DID) model (Goodman-Bacon, 2021). We define DID_(</w:t>
      </w:r>
      <w:proofErr w:type="spellStart"/>
      <w:r w:rsidRPr="00F25860">
        <w:rPr>
          <w:b w:val="0"/>
          <w:bCs w:val="0"/>
        </w:rPr>
        <w:t>i,t</w:t>
      </w:r>
      <w:proofErr w:type="spellEnd"/>
      <w:r w:rsidRPr="00F25860">
        <w:rPr>
          <w:b w:val="0"/>
          <w:bCs w:val="0"/>
        </w:rPr>
        <w:t xml:space="preserve">) as a policy dummy variable that is equal to 0 otherwise and 1 if the province in which firm </w:t>
      </w:r>
      <w:proofErr w:type="spellStart"/>
      <w:r w:rsidRPr="00F25860">
        <w:rPr>
          <w:b w:val="0"/>
          <w:bCs w:val="0"/>
        </w:rPr>
        <w:t>i</w:t>
      </w:r>
      <w:proofErr w:type="spellEnd"/>
      <w:r w:rsidRPr="00F25860">
        <w:rPr>
          <w:b w:val="0"/>
          <w:bCs w:val="0"/>
        </w:rPr>
        <w:t xml:space="preserve"> is headquartered has formally implemented its digital transformation action plan in or before year t. The following describes the staggered DID model</w:t>
      </w:r>
      <w:r w:rsidR="004A5ED7" w:rsidRPr="004A2D81">
        <w:rPr>
          <w:b w:val="0"/>
          <w:bCs w:val="0"/>
        </w:rPr>
        <w:t>:</w:t>
      </w:r>
    </w:p>
    <w:p w14:paraId="3732C30B" w14:textId="5A6FE2A3" w:rsidR="00701482" w:rsidRPr="004A2D81" w:rsidRDefault="004A2D81" w:rsidP="004A5ED7">
      <w:pPr>
        <w:pStyle w:val="Heading2"/>
        <w:tabs>
          <w:tab w:val="left" w:pos="792"/>
        </w:tabs>
        <w:spacing w:before="240" w:line="360" w:lineRule="auto"/>
        <w:ind w:left="0" w:right="234"/>
        <w:rPr>
          <w:b w:val="0"/>
          <w:bCs w:val="0"/>
          <w:lang w:val="vi-VN"/>
        </w:rPr>
      </w:pPr>
      <m:oMathPara>
        <m:oMath>
          <m:r>
            <m:rPr>
              <m:sty m:val="bi"/>
            </m:rPr>
            <w:rPr>
              <w:rFonts w:ascii="Cambria Math" w:hAnsi="Cambria Math"/>
            </w:rPr>
            <m:t>T</m:t>
          </m:r>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i,t</m:t>
              </m:r>
            </m:sub>
          </m:sSub>
          <m:r>
            <m:rPr>
              <m:sty m:val="bi"/>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1</m:t>
              </m:r>
            </m:sub>
          </m:sSub>
          <m:r>
            <m:rPr>
              <m:sty m:val="bi"/>
            </m:rPr>
            <w:rPr>
              <w:rFonts w:ascii="Cambria Math" w:hAnsi="Cambria Math"/>
            </w:rPr>
            <m:t>DI</m:t>
          </m:r>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i,t</m:t>
              </m:r>
            </m:sub>
          </m:sSub>
          <m:r>
            <m:rPr>
              <m:sty m:val="bi"/>
            </m:rPr>
            <w:rPr>
              <w:rFonts w:ascii="Cambria Math" w:hAnsi="Cambria Math"/>
            </w:rPr>
            <m:t>+</m:t>
          </m:r>
          <m:nary>
            <m:naryPr>
              <m:chr m:val="∑"/>
              <m:limLoc m:val="undOvr"/>
              <m:subHide m:val="1"/>
              <m:supHide m:val="1"/>
              <m:ctrlPr>
                <w:rPr>
                  <w:rFonts w:ascii="Cambria Math" w:hAnsi="Cambria Math"/>
                  <w:b w:val="0"/>
                  <w:bCs w:val="0"/>
                </w:rPr>
              </m:ctrlPr>
            </m:naryPr>
            <m:sub/>
            <m:sup/>
            <m:e>
              <m:r>
                <m:rPr>
                  <m:sty m:val="bi"/>
                </m:rPr>
                <w:rPr>
                  <w:rFonts w:ascii="Cambria Math" w:hAnsi="Cambria Math"/>
                </w:rPr>
                <m:t>γ</m:t>
              </m:r>
            </m:e>
          </m:nary>
          <m:r>
            <m:rPr>
              <m:sty m:val="bi"/>
            </m:rPr>
            <w:rPr>
              <w:rFonts w:ascii="Cambria Math" w:hAnsi="Cambria Math"/>
            </w:rPr>
            <m:t>Control</m:t>
          </m:r>
          <m:sSub>
            <m:sSubPr>
              <m:ctrlPr>
                <w:rPr>
                  <w:rFonts w:ascii="Cambria Math" w:hAnsi="Cambria Math"/>
                  <w:b w:val="0"/>
                  <w:bCs w:val="0"/>
                </w:rPr>
              </m:ctrlPr>
            </m:sSubPr>
            <m:e>
              <m:r>
                <m:rPr>
                  <m:sty m:val="bi"/>
                </m:rPr>
                <w:rPr>
                  <w:rFonts w:ascii="Cambria Math" w:hAnsi="Cambria Math"/>
                </w:rPr>
                <m:t>s</m:t>
              </m:r>
            </m:e>
            <m:sub>
              <m:r>
                <m:rPr>
                  <m:sty m:val="bi"/>
                </m:rPr>
                <w:rPr>
                  <w:rFonts w:ascii="Cambria Math" w:hAnsi="Cambria Math"/>
                </w:rPr>
                <m:t>i,t</m:t>
              </m:r>
            </m:sub>
          </m:sSub>
          <m:r>
            <m:rPr>
              <m:sty m:val="bi"/>
            </m:rPr>
            <w:rPr>
              <w:rFonts w:ascii="Cambria Math" w:hAnsi="Cambria Math"/>
            </w:rPr>
            <m:t>+FirmFE+YearFE+</m:t>
          </m:r>
          <m:sSub>
            <m:sSubPr>
              <m:ctrlPr>
                <w:rPr>
                  <w:rFonts w:ascii="Cambria Math" w:hAnsi="Cambria Math"/>
                  <w:b w:val="0"/>
                  <w:bCs w:val="0"/>
                </w:rPr>
              </m:ctrlPr>
            </m:sSubPr>
            <m:e>
              <m:r>
                <m:rPr>
                  <m:sty m:val="bi"/>
                </m:rPr>
                <w:rPr>
                  <w:rFonts w:ascii="Cambria Math" w:hAnsi="Cambria Math"/>
                </w:rPr>
                <m:t>ϵ</m:t>
              </m:r>
            </m:e>
            <m:sub>
              <m:r>
                <m:rPr>
                  <m:sty m:val="bi"/>
                </m:rPr>
                <w:rPr>
                  <w:rFonts w:ascii="Cambria Math" w:hAnsi="Cambria Math"/>
                </w:rPr>
                <m:t>i,t</m:t>
              </m:r>
            </m:sub>
          </m:sSub>
          <m:r>
            <m:rPr>
              <m:sty m:val="b"/>
            </m:rPr>
            <w:rPr>
              <w:rFonts w:ascii="Cambria Math" w:hAnsi="Cambria Math"/>
            </w:rPr>
            <w:br/>
          </m:r>
        </m:oMath>
      </m:oMathPara>
      <w:r w:rsidR="00F25860" w:rsidRPr="00F25860">
        <w:rPr>
          <w:b w:val="0"/>
          <w:bCs w:val="0"/>
        </w:rPr>
        <w:t xml:space="preserve">This specification includes </w:t>
      </w:r>
      <w:r w:rsidR="00F25860" w:rsidRPr="00F25860">
        <w:rPr>
          <w:rFonts w:ascii="Cambria Math" w:hAnsi="Cambria Math" w:cs="Cambria Math"/>
          <w:b w:val="0"/>
          <w:bCs w:val="0"/>
        </w:rPr>
        <w:t>𝑭𝒊𝒓𝒎𝑭𝑬</w:t>
      </w:r>
      <w:r w:rsidR="00F25860" w:rsidRPr="00F25860">
        <w:rPr>
          <w:b w:val="0"/>
          <w:bCs w:val="0"/>
        </w:rPr>
        <w:t xml:space="preserve"> and </w:t>
      </w:r>
      <w:r w:rsidR="00F25860" w:rsidRPr="00F25860">
        <w:rPr>
          <w:rFonts w:ascii="Cambria Math" w:hAnsi="Cambria Math" w:cs="Cambria Math"/>
          <w:b w:val="0"/>
          <w:bCs w:val="0"/>
        </w:rPr>
        <w:t>𝒀𝒆𝒂𝒓𝑭𝑬</w:t>
      </w:r>
      <w:r w:rsidR="00F25860" w:rsidRPr="00F25860">
        <w:rPr>
          <w:b w:val="0"/>
          <w:bCs w:val="0"/>
        </w:rPr>
        <w:t xml:space="preserve"> to absorb aggregate temporal trends and time-invariant firm </w:t>
      </w:r>
      <w:proofErr w:type="spellStart"/>
      <w:r w:rsidR="00F25860" w:rsidRPr="00F25860">
        <w:rPr>
          <w:b w:val="0"/>
          <w:bCs w:val="0"/>
        </w:rPr>
        <w:t>unobservables</w:t>
      </w:r>
      <w:proofErr w:type="spellEnd"/>
      <w:r w:rsidR="00F25860" w:rsidRPr="00F25860">
        <w:rPr>
          <w:b w:val="0"/>
          <w:bCs w:val="0"/>
        </w:rPr>
        <w:t xml:space="preserve">, respectively. We anticipate the coefficient of the policy variable, </w:t>
      </w:r>
      <w:r w:rsidR="00F25860" w:rsidRPr="00F25860">
        <w:rPr>
          <w:rFonts w:ascii="Cambria Math" w:hAnsi="Cambria Math" w:cs="Cambria Math"/>
          <w:b w:val="0"/>
          <w:bCs w:val="0"/>
        </w:rPr>
        <w:t>𝜽</w:t>
      </w:r>
      <w:r w:rsidR="00F25860" w:rsidRPr="00F25860">
        <w:rPr>
          <w:b w:val="0"/>
          <w:bCs w:val="0"/>
        </w:rPr>
        <w:t>, if the exogenous, policy-induced acceleration of digital infrastructure greatly improves a firm's capacity to signal reliability and obtain trade credit.</w:t>
      </w:r>
      <w:r w:rsidR="00F25860" w:rsidRPr="00F25860">
        <w:rPr>
          <w:rFonts w:ascii="Cambria Math" w:hAnsi="Cambria Math" w:cs="Cambria Math"/>
          <w:b w:val="0"/>
          <w:bCs w:val="0"/>
        </w:rPr>
        <w:t>𝟏</w:t>
      </w:r>
      <w:r w:rsidR="00F25860" w:rsidRPr="00F25860">
        <w:rPr>
          <w:b w:val="0"/>
          <w:bCs w:val="0"/>
        </w:rPr>
        <w:t>, to be considerably positive</w:t>
      </w:r>
      <w:r w:rsidR="00D34D93" w:rsidRPr="004A2D81">
        <w:rPr>
          <w:b w:val="0"/>
          <w:bCs w:val="0"/>
          <w:lang w:val="vi-VN"/>
        </w:rPr>
        <w:t>.</w:t>
      </w:r>
    </w:p>
    <w:p w14:paraId="2800560A" w14:textId="77777777" w:rsidR="00D34D93" w:rsidRPr="00D34D93" w:rsidRDefault="00D34D93" w:rsidP="00D34D93">
      <w:pPr>
        <w:pStyle w:val="Heading2"/>
        <w:tabs>
          <w:tab w:val="left" w:pos="792"/>
        </w:tabs>
        <w:spacing w:before="240" w:line="360" w:lineRule="auto"/>
        <w:ind w:left="0" w:right="234"/>
        <w:rPr>
          <w:bCs w:val="0"/>
          <w:lang w:val="vi-VN"/>
        </w:rPr>
      </w:pPr>
      <w:r w:rsidRPr="00D34D93">
        <w:rPr>
          <w:bCs w:val="0"/>
          <w:lang w:val="vi-VN"/>
        </w:rPr>
        <w:t>4. Empirical Findings</w:t>
      </w:r>
    </w:p>
    <w:p w14:paraId="2FF17442" w14:textId="77777777" w:rsidR="00D34D93" w:rsidRPr="00D34D93" w:rsidRDefault="00D34D93" w:rsidP="00D34D93">
      <w:pPr>
        <w:spacing w:before="120" w:after="120" w:line="360" w:lineRule="auto"/>
        <w:ind w:right="234"/>
        <w:jc w:val="both"/>
        <w:rPr>
          <w:b/>
          <w:bCs/>
        </w:rPr>
      </w:pPr>
      <w:r w:rsidRPr="00D34D93">
        <w:rPr>
          <w:b/>
          <w:bCs/>
        </w:rPr>
        <w:t>4.1. Descriptive statistics</w:t>
      </w:r>
    </w:p>
    <w:p w14:paraId="24CBD213" w14:textId="77777777" w:rsidR="00F25860" w:rsidRDefault="00F25860" w:rsidP="00635FB2">
      <w:pPr>
        <w:pStyle w:val="Heading2"/>
        <w:tabs>
          <w:tab w:val="left" w:pos="792"/>
        </w:tabs>
        <w:spacing w:before="240" w:line="360" w:lineRule="auto"/>
        <w:ind w:left="0" w:right="234"/>
        <w:rPr>
          <w:b w:val="0"/>
          <w:bCs w:val="0"/>
          <w:lang w:val="en-US"/>
        </w:rPr>
      </w:pPr>
      <w:r w:rsidRPr="00F25860">
        <w:rPr>
          <w:b w:val="0"/>
          <w:bCs w:val="0"/>
          <w:lang w:val="vi-VN"/>
        </w:rPr>
        <w:t>The descriptive statistics for the main variables included in our empirical models are shown in Table 2. An imbalanced panel of 5,420 firm-year observations from Vietnamese listed businesses between 2015 and 2024 makes up the final dataset.</w:t>
      </w:r>
    </w:p>
    <w:p w14:paraId="6ABB5186" w14:textId="72B1A9CB" w:rsidR="00560BC7" w:rsidRPr="004A2D81" w:rsidRDefault="00560BC7" w:rsidP="00635FB2">
      <w:pPr>
        <w:pStyle w:val="Heading2"/>
        <w:tabs>
          <w:tab w:val="left" w:pos="792"/>
        </w:tabs>
        <w:spacing w:before="240" w:line="360" w:lineRule="auto"/>
        <w:ind w:left="0" w:right="234"/>
        <w:rPr>
          <w:b w:val="0"/>
          <w:bCs w:val="0"/>
          <w:lang w:val="vi-VN"/>
        </w:rPr>
      </w:pPr>
      <w:r w:rsidRPr="00635FB2">
        <w:rPr>
          <w:b w:val="0"/>
          <w:bCs w:val="0"/>
          <w:lang w:val="vi-VN"/>
        </w:rPr>
        <w:t>The dependent variable, Trade Credit (</w:t>
      </w:r>
      <w:r w:rsidRPr="00EB24A0">
        <w:rPr>
          <w:b w:val="0"/>
          <w:bCs w:val="0"/>
          <w:i/>
          <w:iCs/>
          <w:lang w:val="vi-VN"/>
        </w:rPr>
        <w:t>TC</w:t>
      </w:r>
      <w:r w:rsidRPr="00635FB2">
        <w:rPr>
          <w:b w:val="0"/>
          <w:bCs w:val="0"/>
          <w:lang w:val="vi-VN"/>
        </w:rPr>
        <w:t xml:space="preserve">), exhibits a mean of 0.125 and a standard deviation of 0.082. This indicates that, on average, accounts payable constitute 12.5% of total assets for the sampled firms. This </w:t>
      </w:r>
      <w:r w:rsidRPr="004A2D81">
        <w:rPr>
          <w:b w:val="0"/>
          <w:bCs w:val="0"/>
          <w:lang w:val="vi-VN"/>
        </w:rPr>
        <w:t xml:space="preserve">substantial proportion underscores the critical role of trade credit as a primary source of short-term corporate financing in emerging markets, a finding that is highly consistent with prior empirical observations. Furthermore, </w:t>
      </w:r>
      <m:oMath>
        <m:r>
          <m:rPr>
            <m:sty m:val="bi"/>
          </m:rPr>
          <w:rPr>
            <w:rFonts w:ascii="Cambria Math" w:hAnsi="Cambria Math"/>
          </w:rPr>
          <m:t>TC</m:t>
        </m:r>
      </m:oMath>
      <w:r w:rsidRPr="004A2D81">
        <w:rPr>
          <w:b w:val="0"/>
          <w:bCs w:val="0"/>
          <w:lang w:val="vi-VN"/>
        </w:rPr>
        <w:t xml:space="preserve"> ranges from a minimum of 0.005 to a maximum of 0.412, reflecting </w:t>
      </w:r>
      <w:r w:rsidRPr="004A2D81">
        <w:rPr>
          <w:b w:val="0"/>
          <w:bCs w:val="0"/>
          <w:lang w:val="vi-VN"/>
        </w:rPr>
        <w:lastRenderedPageBreak/>
        <w:t xml:space="preserve">significant cross-sectional variation in trade credit access across different firms. This variation provides a robust foundation for our regression analysis. </w:t>
      </w:r>
    </w:p>
    <w:p w14:paraId="2F3368DB" w14:textId="2F2D638C" w:rsidR="00560BC7" w:rsidRPr="004A2D81" w:rsidRDefault="00560BC7" w:rsidP="00635FB2">
      <w:pPr>
        <w:pStyle w:val="Heading2"/>
        <w:tabs>
          <w:tab w:val="left" w:pos="792"/>
        </w:tabs>
        <w:spacing w:before="240" w:line="360" w:lineRule="auto"/>
        <w:ind w:left="0" w:right="234"/>
        <w:rPr>
          <w:b w:val="0"/>
          <w:bCs w:val="0"/>
          <w:lang w:val="vi-VN"/>
        </w:rPr>
      </w:pPr>
      <w:r w:rsidRPr="004A2D81">
        <w:rPr>
          <w:b w:val="0"/>
          <w:bCs w:val="0"/>
          <w:lang w:val="vi-VN"/>
        </w:rPr>
        <w:t>The primary independent variable, Corporate Digitalization (</w:t>
      </w:r>
      <m:oMath>
        <m:r>
          <m:rPr>
            <m:sty m:val="bi"/>
          </m:rPr>
          <w:rPr>
            <w:rFonts w:ascii="Cambria Math" w:hAnsi="Cambria Math"/>
          </w:rPr>
          <m:t>DIGIT</m:t>
        </m:r>
      </m:oMath>
      <w:r w:rsidRPr="004A2D81">
        <w:rPr>
          <w:b w:val="0"/>
          <w:bCs w:val="0"/>
          <w:lang w:val="vi-VN"/>
        </w:rPr>
        <w:t>), reports a mean value of 1.845 with a standard deviation of 1.102. The substantial spread between the minimum (0.000) and maximum (4.512) values highlights a pronounced disparity in the pace and scale of digital adoption among Vietnamese enterprises. This heterogeneity validates our empirical setting, offering an ideal context to investigate the financial implications of technological transformation.</w:t>
      </w:r>
    </w:p>
    <w:p w14:paraId="624A77F7" w14:textId="5FAD0EDC" w:rsidR="00560BC7" w:rsidRPr="00635FB2" w:rsidRDefault="00560BC7" w:rsidP="00635FB2">
      <w:pPr>
        <w:pStyle w:val="Heading2"/>
        <w:tabs>
          <w:tab w:val="left" w:pos="792"/>
        </w:tabs>
        <w:spacing w:before="240" w:line="360" w:lineRule="auto"/>
        <w:ind w:left="0" w:right="234"/>
        <w:rPr>
          <w:b w:val="0"/>
          <w:bCs w:val="0"/>
          <w:lang w:val="vi-VN"/>
        </w:rPr>
      </w:pPr>
      <w:r w:rsidRPr="004A2D81">
        <w:rPr>
          <w:b w:val="0"/>
          <w:bCs w:val="0"/>
          <w:lang w:val="vi-VN"/>
        </w:rPr>
        <w:t xml:space="preserve">Regarding the moderating variables, the information asymmetry proxy </w:t>
      </w:r>
      <w:r w:rsidRPr="004A2D81">
        <w:rPr>
          <w:b w:val="0"/>
          <w:bCs w:val="0"/>
          <w:i/>
          <w:iCs/>
          <w:lang w:val="vi-VN"/>
        </w:rPr>
        <w:t>(ASY</w:t>
      </w:r>
      <w:r w:rsidRPr="00635FB2">
        <w:rPr>
          <w:b w:val="0"/>
          <w:bCs w:val="0"/>
          <w:lang w:val="vi-VN"/>
        </w:rPr>
        <w:t>) yields a mean of 0.041 with a standard deviation of 0.025. Additionally, the ownership nature dummy (</w:t>
      </w:r>
      <w:r w:rsidRPr="00EB24A0">
        <w:rPr>
          <w:b w:val="0"/>
          <w:bCs w:val="0"/>
          <w:i/>
          <w:iCs/>
          <w:lang w:val="vi-VN"/>
        </w:rPr>
        <w:t>SOE</w:t>
      </w:r>
      <w:r w:rsidRPr="00635FB2">
        <w:rPr>
          <w:b w:val="0"/>
          <w:bCs w:val="0"/>
          <w:lang w:val="vi-VN"/>
        </w:rPr>
        <w:t>) indicates that state-owned enterprises represent 32% of the total firm-year observations (mean = 0.320), meaning that non-SOEs constitute the majority (68%) of the sample.</w:t>
      </w:r>
    </w:p>
    <w:p w14:paraId="42596744" w14:textId="5A80964C" w:rsidR="00D34D93" w:rsidRPr="00635FB2" w:rsidRDefault="00560BC7" w:rsidP="00635FB2">
      <w:pPr>
        <w:pStyle w:val="Heading2"/>
        <w:tabs>
          <w:tab w:val="left" w:pos="792"/>
        </w:tabs>
        <w:spacing w:before="240" w:line="360" w:lineRule="auto"/>
        <w:ind w:left="0" w:right="234"/>
        <w:rPr>
          <w:b w:val="0"/>
          <w:bCs w:val="0"/>
          <w:lang w:val="vi-VN"/>
        </w:rPr>
      </w:pPr>
      <w:r w:rsidRPr="00635FB2">
        <w:rPr>
          <w:b w:val="0"/>
          <w:bCs w:val="0"/>
          <w:lang w:val="vi-VN"/>
        </w:rPr>
        <w:t>Finally, the descriptive statistics for the control variables are generally within reasonable bounds and align with standard corporate finance literature. For instance, Firm Size (</w:t>
      </w:r>
      <m:oMath>
        <m:r>
          <m:rPr>
            <m:sty m:val="bi"/>
          </m:rPr>
          <w:rPr>
            <w:rFonts w:ascii="Cambria Math" w:hAnsi="Cambria Math"/>
          </w:rPr>
          <m:t>Size</m:t>
        </m:r>
      </m:oMath>
      <w:r w:rsidRPr="00635FB2">
        <w:rPr>
          <w:b w:val="0"/>
          <w:bCs w:val="0"/>
          <w:lang w:val="vi-VN"/>
        </w:rPr>
        <w:t>) has a mean of 28.150, and Return on Assets (</w:t>
      </w:r>
      <m:oMath>
        <m:r>
          <m:rPr>
            <m:sty m:val="bi"/>
          </m:rPr>
          <w:rPr>
            <w:rFonts w:ascii="Cambria Math" w:hAnsi="Cambria Math"/>
          </w:rPr>
          <m:t>ROA</m:t>
        </m:r>
      </m:oMath>
      <w:r w:rsidRPr="00635FB2">
        <w:rPr>
          <w:b w:val="0"/>
          <w:bCs w:val="0"/>
          <w:lang w:val="vi-VN"/>
        </w:rPr>
        <w:t>) averages 4.5%. The absence of extreme outliers confirms the effectiveness of our winsorization procedure at the 1st and 99th percentiles</w:t>
      </w:r>
      <w:r w:rsidR="00D34D93">
        <w:rPr>
          <w:b w:val="0"/>
          <w:bCs w:val="0"/>
          <w:lang w:val="vi-VN"/>
        </w:rPr>
        <w:t>.</w:t>
      </w:r>
    </w:p>
    <w:p w14:paraId="27FB194B" w14:textId="0E981210" w:rsidR="00D34D93" w:rsidRPr="000D5A18" w:rsidRDefault="00D34D93" w:rsidP="000D5A18">
      <w:pPr>
        <w:pStyle w:val="Heading2"/>
        <w:spacing w:before="6" w:line="360" w:lineRule="auto"/>
        <w:ind w:left="4107" w:right="234" w:hanging="4107"/>
        <w:jc w:val="left"/>
      </w:pPr>
      <w:r w:rsidRPr="000D5A18">
        <w:t>Table 2.</w:t>
      </w:r>
      <w:r>
        <w:t xml:space="preserve"> Descriptive statistic</w:t>
      </w:r>
      <w:r w:rsidRPr="000D5A18">
        <w:t>s</w:t>
      </w:r>
    </w:p>
    <w:tbl>
      <w:tblPr>
        <w:tblStyle w:val="TableGrid"/>
        <w:tblW w:w="4823" w:type="pct"/>
        <w:tblLook w:val="04A0" w:firstRow="1" w:lastRow="0" w:firstColumn="1" w:lastColumn="0" w:noHBand="0" w:noVBand="1"/>
      </w:tblPr>
      <w:tblGrid>
        <w:gridCol w:w="1979"/>
        <w:gridCol w:w="1407"/>
        <w:gridCol w:w="1636"/>
        <w:gridCol w:w="2139"/>
        <w:gridCol w:w="1636"/>
        <w:gridCol w:w="1264"/>
      </w:tblGrid>
      <w:tr w:rsidR="00560BC7" w:rsidRPr="00560BC7" w14:paraId="4589F274" w14:textId="77777777" w:rsidTr="00560BC7">
        <w:tc>
          <w:tcPr>
            <w:tcW w:w="984" w:type="pct"/>
            <w:hideMark/>
          </w:tcPr>
          <w:p w14:paraId="64E8C5E8" w14:textId="77777777" w:rsidR="00560BC7" w:rsidRPr="00560BC7" w:rsidRDefault="00560BC7">
            <w:pPr>
              <w:rPr>
                <w:color w:val="1F1F1F"/>
              </w:rPr>
            </w:pPr>
            <w:r w:rsidRPr="00560BC7">
              <w:rPr>
                <w:rStyle w:val="Strong"/>
                <w:color w:val="1F1F1F"/>
                <w:bdr w:val="none" w:sz="0" w:space="0" w:color="auto" w:frame="1"/>
              </w:rPr>
              <w:t>Variable</w:t>
            </w:r>
          </w:p>
        </w:tc>
        <w:tc>
          <w:tcPr>
            <w:tcW w:w="699" w:type="pct"/>
            <w:hideMark/>
          </w:tcPr>
          <w:p w14:paraId="50FD3B55" w14:textId="77777777" w:rsidR="00560BC7" w:rsidRPr="00560BC7" w:rsidRDefault="00560BC7">
            <w:pPr>
              <w:rPr>
                <w:color w:val="1F1F1F"/>
              </w:rPr>
            </w:pPr>
            <w:proofErr w:type="spellStart"/>
            <w:r w:rsidRPr="00560BC7">
              <w:rPr>
                <w:rStyle w:val="Strong"/>
                <w:color w:val="1F1F1F"/>
                <w:bdr w:val="none" w:sz="0" w:space="0" w:color="auto" w:frame="1"/>
              </w:rPr>
              <w:t>Obs</w:t>
            </w:r>
            <w:proofErr w:type="spellEnd"/>
          </w:p>
        </w:tc>
        <w:tc>
          <w:tcPr>
            <w:tcW w:w="813" w:type="pct"/>
            <w:hideMark/>
          </w:tcPr>
          <w:p w14:paraId="1DDA14DB" w14:textId="77777777" w:rsidR="00560BC7" w:rsidRPr="00560BC7" w:rsidRDefault="00560BC7">
            <w:pPr>
              <w:rPr>
                <w:color w:val="1F1F1F"/>
              </w:rPr>
            </w:pPr>
            <w:r w:rsidRPr="00560BC7">
              <w:rPr>
                <w:rStyle w:val="Strong"/>
                <w:color w:val="1F1F1F"/>
                <w:bdr w:val="none" w:sz="0" w:space="0" w:color="auto" w:frame="1"/>
              </w:rPr>
              <w:t>Mean</w:t>
            </w:r>
          </w:p>
        </w:tc>
        <w:tc>
          <w:tcPr>
            <w:tcW w:w="1063" w:type="pct"/>
            <w:hideMark/>
          </w:tcPr>
          <w:p w14:paraId="525EDB64" w14:textId="77777777" w:rsidR="00560BC7" w:rsidRPr="00560BC7" w:rsidRDefault="00560BC7">
            <w:pPr>
              <w:rPr>
                <w:color w:val="1F1F1F"/>
              </w:rPr>
            </w:pPr>
            <w:r w:rsidRPr="00560BC7">
              <w:rPr>
                <w:rStyle w:val="Strong"/>
                <w:color w:val="1F1F1F"/>
                <w:bdr w:val="none" w:sz="0" w:space="0" w:color="auto" w:frame="1"/>
              </w:rPr>
              <w:t>Std. Dev.</w:t>
            </w:r>
          </w:p>
        </w:tc>
        <w:tc>
          <w:tcPr>
            <w:tcW w:w="813" w:type="pct"/>
            <w:hideMark/>
          </w:tcPr>
          <w:p w14:paraId="1C137042" w14:textId="77777777" w:rsidR="00560BC7" w:rsidRPr="00560BC7" w:rsidRDefault="00560BC7">
            <w:pPr>
              <w:rPr>
                <w:color w:val="1F1F1F"/>
              </w:rPr>
            </w:pPr>
            <w:r w:rsidRPr="00560BC7">
              <w:rPr>
                <w:rStyle w:val="Strong"/>
                <w:color w:val="1F1F1F"/>
                <w:bdr w:val="none" w:sz="0" w:space="0" w:color="auto" w:frame="1"/>
              </w:rPr>
              <w:t>Min</w:t>
            </w:r>
          </w:p>
        </w:tc>
        <w:tc>
          <w:tcPr>
            <w:tcW w:w="629" w:type="pct"/>
            <w:hideMark/>
          </w:tcPr>
          <w:p w14:paraId="30C66127" w14:textId="77777777" w:rsidR="00560BC7" w:rsidRPr="00560BC7" w:rsidRDefault="00560BC7">
            <w:pPr>
              <w:rPr>
                <w:color w:val="1F1F1F"/>
              </w:rPr>
            </w:pPr>
            <w:r w:rsidRPr="00560BC7">
              <w:rPr>
                <w:rStyle w:val="Strong"/>
                <w:color w:val="1F1F1F"/>
                <w:bdr w:val="none" w:sz="0" w:space="0" w:color="auto" w:frame="1"/>
              </w:rPr>
              <w:t>Max</w:t>
            </w:r>
          </w:p>
        </w:tc>
      </w:tr>
      <w:tr w:rsidR="00560BC7" w:rsidRPr="00560BC7" w14:paraId="6ED37908" w14:textId="77777777" w:rsidTr="00560BC7">
        <w:tc>
          <w:tcPr>
            <w:tcW w:w="984" w:type="pct"/>
            <w:hideMark/>
          </w:tcPr>
          <w:p w14:paraId="58272B73" w14:textId="23AD4CE0" w:rsidR="00560BC7" w:rsidRPr="00CC55DE" w:rsidRDefault="00560BC7">
            <w:pPr>
              <w:rPr>
                <w:i/>
                <w:iCs/>
                <w:color w:val="1F1F1F"/>
                <w:lang w:val="vi-VN"/>
              </w:rPr>
            </w:pPr>
            <w:r w:rsidRPr="00CC55DE">
              <w:rPr>
                <w:rStyle w:val="math-inline"/>
                <w:i/>
                <w:iCs/>
                <w:color w:val="1F1F1F"/>
                <w:bdr w:val="none" w:sz="0" w:space="0" w:color="auto" w:frame="1"/>
              </w:rPr>
              <w:t>TC</w:t>
            </w:r>
          </w:p>
        </w:tc>
        <w:tc>
          <w:tcPr>
            <w:tcW w:w="699" w:type="pct"/>
            <w:hideMark/>
          </w:tcPr>
          <w:p w14:paraId="71BAB669"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22F4DFF8" w14:textId="77777777" w:rsidR="00560BC7" w:rsidRPr="00560BC7" w:rsidRDefault="00560BC7">
            <w:pPr>
              <w:rPr>
                <w:color w:val="1F1F1F"/>
              </w:rPr>
            </w:pPr>
            <w:r w:rsidRPr="00560BC7">
              <w:rPr>
                <w:color w:val="1F1F1F"/>
                <w:bdr w:val="none" w:sz="0" w:space="0" w:color="auto" w:frame="1"/>
              </w:rPr>
              <w:t>0.125</w:t>
            </w:r>
          </w:p>
        </w:tc>
        <w:tc>
          <w:tcPr>
            <w:tcW w:w="1063" w:type="pct"/>
            <w:hideMark/>
          </w:tcPr>
          <w:p w14:paraId="2740F04E" w14:textId="77777777" w:rsidR="00560BC7" w:rsidRPr="00560BC7" w:rsidRDefault="00560BC7">
            <w:pPr>
              <w:rPr>
                <w:color w:val="1F1F1F"/>
              </w:rPr>
            </w:pPr>
            <w:r w:rsidRPr="00560BC7">
              <w:rPr>
                <w:color w:val="1F1F1F"/>
                <w:bdr w:val="none" w:sz="0" w:space="0" w:color="auto" w:frame="1"/>
              </w:rPr>
              <w:t>0.082</w:t>
            </w:r>
          </w:p>
        </w:tc>
        <w:tc>
          <w:tcPr>
            <w:tcW w:w="813" w:type="pct"/>
            <w:hideMark/>
          </w:tcPr>
          <w:p w14:paraId="014FB78E" w14:textId="77777777" w:rsidR="00560BC7" w:rsidRPr="00560BC7" w:rsidRDefault="00560BC7">
            <w:pPr>
              <w:rPr>
                <w:color w:val="1F1F1F"/>
              </w:rPr>
            </w:pPr>
            <w:r w:rsidRPr="00560BC7">
              <w:rPr>
                <w:color w:val="1F1F1F"/>
                <w:bdr w:val="none" w:sz="0" w:space="0" w:color="auto" w:frame="1"/>
              </w:rPr>
              <w:t>0.005</w:t>
            </w:r>
          </w:p>
        </w:tc>
        <w:tc>
          <w:tcPr>
            <w:tcW w:w="629" w:type="pct"/>
            <w:hideMark/>
          </w:tcPr>
          <w:p w14:paraId="6A41868B" w14:textId="77777777" w:rsidR="00560BC7" w:rsidRPr="00560BC7" w:rsidRDefault="00560BC7">
            <w:pPr>
              <w:rPr>
                <w:color w:val="1F1F1F"/>
              </w:rPr>
            </w:pPr>
            <w:r w:rsidRPr="00560BC7">
              <w:rPr>
                <w:color w:val="1F1F1F"/>
                <w:bdr w:val="none" w:sz="0" w:space="0" w:color="auto" w:frame="1"/>
              </w:rPr>
              <w:t>0.412</w:t>
            </w:r>
          </w:p>
        </w:tc>
      </w:tr>
      <w:tr w:rsidR="00560BC7" w:rsidRPr="00560BC7" w14:paraId="779FD7A3" w14:textId="77777777" w:rsidTr="00560BC7">
        <w:tc>
          <w:tcPr>
            <w:tcW w:w="984" w:type="pct"/>
            <w:hideMark/>
          </w:tcPr>
          <w:p w14:paraId="41D71AD9" w14:textId="51F69B7E" w:rsidR="00560BC7" w:rsidRPr="00CC55DE" w:rsidRDefault="00560BC7">
            <w:pPr>
              <w:rPr>
                <w:i/>
                <w:iCs/>
                <w:color w:val="1F1F1F"/>
                <w:lang w:val="vi-VN"/>
              </w:rPr>
            </w:pPr>
            <w:r w:rsidRPr="00CC55DE">
              <w:rPr>
                <w:rStyle w:val="math-inline"/>
                <w:i/>
                <w:iCs/>
                <w:color w:val="1F1F1F"/>
                <w:bdr w:val="none" w:sz="0" w:space="0" w:color="auto" w:frame="1"/>
              </w:rPr>
              <w:t>DIGIT</w:t>
            </w:r>
          </w:p>
        </w:tc>
        <w:tc>
          <w:tcPr>
            <w:tcW w:w="699" w:type="pct"/>
            <w:hideMark/>
          </w:tcPr>
          <w:p w14:paraId="742DC2BB"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1A948037" w14:textId="77777777" w:rsidR="00560BC7" w:rsidRPr="00560BC7" w:rsidRDefault="00560BC7">
            <w:pPr>
              <w:rPr>
                <w:color w:val="1F1F1F"/>
              </w:rPr>
            </w:pPr>
            <w:r w:rsidRPr="00560BC7">
              <w:rPr>
                <w:color w:val="1F1F1F"/>
                <w:bdr w:val="none" w:sz="0" w:space="0" w:color="auto" w:frame="1"/>
              </w:rPr>
              <w:t>1.845</w:t>
            </w:r>
          </w:p>
        </w:tc>
        <w:tc>
          <w:tcPr>
            <w:tcW w:w="1063" w:type="pct"/>
            <w:hideMark/>
          </w:tcPr>
          <w:p w14:paraId="4E077042" w14:textId="77777777" w:rsidR="00560BC7" w:rsidRPr="00560BC7" w:rsidRDefault="00560BC7">
            <w:pPr>
              <w:rPr>
                <w:color w:val="1F1F1F"/>
              </w:rPr>
            </w:pPr>
            <w:r w:rsidRPr="00560BC7">
              <w:rPr>
                <w:color w:val="1F1F1F"/>
                <w:bdr w:val="none" w:sz="0" w:space="0" w:color="auto" w:frame="1"/>
              </w:rPr>
              <w:t>1.102</w:t>
            </w:r>
          </w:p>
        </w:tc>
        <w:tc>
          <w:tcPr>
            <w:tcW w:w="813" w:type="pct"/>
            <w:hideMark/>
          </w:tcPr>
          <w:p w14:paraId="0E6A6940" w14:textId="77777777" w:rsidR="00560BC7" w:rsidRPr="00560BC7" w:rsidRDefault="00560BC7">
            <w:pPr>
              <w:rPr>
                <w:color w:val="1F1F1F"/>
              </w:rPr>
            </w:pPr>
            <w:r w:rsidRPr="00560BC7">
              <w:rPr>
                <w:color w:val="1F1F1F"/>
                <w:bdr w:val="none" w:sz="0" w:space="0" w:color="auto" w:frame="1"/>
              </w:rPr>
              <w:t>0.000</w:t>
            </w:r>
          </w:p>
        </w:tc>
        <w:tc>
          <w:tcPr>
            <w:tcW w:w="629" w:type="pct"/>
            <w:hideMark/>
          </w:tcPr>
          <w:p w14:paraId="2354647D" w14:textId="77777777" w:rsidR="00560BC7" w:rsidRPr="00560BC7" w:rsidRDefault="00560BC7">
            <w:pPr>
              <w:rPr>
                <w:color w:val="1F1F1F"/>
              </w:rPr>
            </w:pPr>
            <w:r w:rsidRPr="00560BC7">
              <w:rPr>
                <w:color w:val="1F1F1F"/>
                <w:bdr w:val="none" w:sz="0" w:space="0" w:color="auto" w:frame="1"/>
              </w:rPr>
              <w:t>4.512</w:t>
            </w:r>
          </w:p>
        </w:tc>
      </w:tr>
      <w:tr w:rsidR="00560BC7" w:rsidRPr="00560BC7" w14:paraId="440B95A2" w14:textId="77777777" w:rsidTr="00560BC7">
        <w:tc>
          <w:tcPr>
            <w:tcW w:w="984" w:type="pct"/>
            <w:hideMark/>
          </w:tcPr>
          <w:p w14:paraId="4A208C50" w14:textId="3F58CE38" w:rsidR="00560BC7" w:rsidRPr="00CC55DE" w:rsidRDefault="00560BC7">
            <w:pPr>
              <w:rPr>
                <w:i/>
                <w:iCs/>
                <w:color w:val="1F1F1F"/>
                <w:lang w:val="vi-VN"/>
              </w:rPr>
            </w:pPr>
            <w:r w:rsidRPr="00CC55DE">
              <w:rPr>
                <w:rStyle w:val="math-inline"/>
                <w:i/>
                <w:iCs/>
                <w:color w:val="1F1F1F"/>
                <w:bdr w:val="none" w:sz="0" w:space="0" w:color="auto" w:frame="1"/>
              </w:rPr>
              <w:t>ASY</w:t>
            </w:r>
          </w:p>
        </w:tc>
        <w:tc>
          <w:tcPr>
            <w:tcW w:w="699" w:type="pct"/>
            <w:hideMark/>
          </w:tcPr>
          <w:p w14:paraId="5DB3BBE4"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533C0A12" w14:textId="77777777" w:rsidR="00560BC7" w:rsidRPr="00560BC7" w:rsidRDefault="00560BC7">
            <w:pPr>
              <w:rPr>
                <w:color w:val="1F1F1F"/>
              </w:rPr>
            </w:pPr>
            <w:r w:rsidRPr="00560BC7">
              <w:rPr>
                <w:color w:val="1F1F1F"/>
                <w:bdr w:val="none" w:sz="0" w:space="0" w:color="auto" w:frame="1"/>
              </w:rPr>
              <w:t>0.041</w:t>
            </w:r>
          </w:p>
        </w:tc>
        <w:tc>
          <w:tcPr>
            <w:tcW w:w="1063" w:type="pct"/>
            <w:hideMark/>
          </w:tcPr>
          <w:p w14:paraId="415B3220" w14:textId="77777777" w:rsidR="00560BC7" w:rsidRPr="00560BC7" w:rsidRDefault="00560BC7">
            <w:pPr>
              <w:rPr>
                <w:color w:val="1F1F1F"/>
              </w:rPr>
            </w:pPr>
            <w:r w:rsidRPr="00560BC7">
              <w:rPr>
                <w:color w:val="1F1F1F"/>
                <w:bdr w:val="none" w:sz="0" w:space="0" w:color="auto" w:frame="1"/>
              </w:rPr>
              <w:t>0.025</w:t>
            </w:r>
          </w:p>
        </w:tc>
        <w:tc>
          <w:tcPr>
            <w:tcW w:w="813" w:type="pct"/>
            <w:hideMark/>
          </w:tcPr>
          <w:p w14:paraId="629ECA71" w14:textId="77777777" w:rsidR="00560BC7" w:rsidRPr="00560BC7" w:rsidRDefault="00560BC7">
            <w:pPr>
              <w:rPr>
                <w:color w:val="1F1F1F"/>
              </w:rPr>
            </w:pPr>
            <w:r w:rsidRPr="00560BC7">
              <w:rPr>
                <w:color w:val="1F1F1F"/>
                <w:bdr w:val="none" w:sz="0" w:space="0" w:color="auto" w:frame="1"/>
              </w:rPr>
              <w:t>0.002</w:t>
            </w:r>
          </w:p>
        </w:tc>
        <w:tc>
          <w:tcPr>
            <w:tcW w:w="629" w:type="pct"/>
            <w:hideMark/>
          </w:tcPr>
          <w:p w14:paraId="00C94292" w14:textId="77777777" w:rsidR="00560BC7" w:rsidRPr="00560BC7" w:rsidRDefault="00560BC7">
            <w:pPr>
              <w:rPr>
                <w:color w:val="1F1F1F"/>
              </w:rPr>
            </w:pPr>
            <w:r w:rsidRPr="00560BC7">
              <w:rPr>
                <w:color w:val="1F1F1F"/>
                <w:bdr w:val="none" w:sz="0" w:space="0" w:color="auto" w:frame="1"/>
              </w:rPr>
              <w:t>0.135</w:t>
            </w:r>
          </w:p>
        </w:tc>
      </w:tr>
      <w:tr w:rsidR="00560BC7" w:rsidRPr="00560BC7" w14:paraId="05CCC29E" w14:textId="77777777" w:rsidTr="00560BC7">
        <w:tc>
          <w:tcPr>
            <w:tcW w:w="984" w:type="pct"/>
            <w:hideMark/>
          </w:tcPr>
          <w:p w14:paraId="0B784358" w14:textId="1802DE6C" w:rsidR="00560BC7" w:rsidRPr="00CC55DE" w:rsidRDefault="00560BC7">
            <w:pPr>
              <w:rPr>
                <w:i/>
                <w:iCs/>
                <w:color w:val="1F1F1F"/>
                <w:lang w:val="vi-VN"/>
              </w:rPr>
            </w:pPr>
            <w:r w:rsidRPr="00CC55DE">
              <w:rPr>
                <w:rStyle w:val="math-inline"/>
                <w:i/>
                <w:iCs/>
                <w:color w:val="1F1F1F"/>
                <w:bdr w:val="none" w:sz="0" w:space="0" w:color="auto" w:frame="1"/>
              </w:rPr>
              <w:t>SOE</w:t>
            </w:r>
          </w:p>
        </w:tc>
        <w:tc>
          <w:tcPr>
            <w:tcW w:w="699" w:type="pct"/>
            <w:hideMark/>
          </w:tcPr>
          <w:p w14:paraId="1FBC3D98"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1393B3A8" w14:textId="77777777" w:rsidR="00560BC7" w:rsidRPr="00560BC7" w:rsidRDefault="00560BC7">
            <w:pPr>
              <w:rPr>
                <w:color w:val="1F1F1F"/>
              </w:rPr>
            </w:pPr>
            <w:r w:rsidRPr="00560BC7">
              <w:rPr>
                <w:color w:val="1F1F1F"/>
                <w:bdr w:val="none" w:sz="0" w:space="0" w:color="auto" w:frame="1"/>
              </w:rPr>
              <w:t>0.320</w:t>
            </w:r>
          </w:p>
        </w:tc>
        <w:tc>
          <w:tcPr>
            <w:tcW w:w="1063" w:type="pct"/>
            <w:hideMark/>
          </w:tcPr>
          <w:p w14:paraId="245FF9CB" w14:textId="77777777" w:rsidR="00560BC7" w:rsidRPr="00560BC7" w:rsidRDefault="00560BC7">
            <w:pPr>
              <w:rPr>
                <w:color w:val="1F1F1F"/>
              </w:rPr>
            </w:pPr>
            <w:r w:rsidRPr="00560BC7">
              <w:rPr>
                <w:color w:val="1F1F1F"/>
                <w:bdr w:val="none" w:sz="0" w:space="0" w:color="auto" w:frame="1"/>
              </w:rPr>
              <w:t>0.466</w:t>
            </w:r>
          </w:p>
        </w:tc>
        <w:tc>
          <w:tcPr>
            <w:tcW w:w="813" w:type="pct"/>
            <w:hideMark/>
          </w:tcPr>
          <w:p w14:paraId="10FE9859" w14:textId="77777777" w:rsidR="00560BC7" w:rsidRPr="00560BC7" w:rsidRDefault="00560BC7">
            <w:pPr>
              <w:rPr>
                <w:color w:val="1F1F1F"/>
              </w:rPr>
            </w:pPr>
            <w:r w:rsidRPr="00560BC7">
              <w:rPr>
                <w:color w:val="1F1F1F"/>
                <w:bdr w:val="none" w:sz="0" w:space="0" w:color="auto" w:frame="1"/>
              </w:rPr>
              <w:t>0.000</w:t>
            </w:r>
          </w:p>
        </w:tc>
        <w:tc>
          <w:tcPr>
            <w:tcW w:w="629" w:type="pct"/>
            <w:hideMark/>
          </w:tcPr>
          <w:p w14:paraId="12273945" w14:textId="77777777" w:rsidR="00560BC7" w:rsidRPr="00560BC7" w:rsidRDefault="00560BC7">
            <w:pPr>
              <w:rPr>
                <w:color w:val="1F1F1F"/>
              </w:rPr>
            </w:pPr>
            <w:r w:rsidRPr="00560BC7">
              <w:rPr>
                <w:color w:val="1F1F1F"/>
                <w:bdr w:val="none" w:sz="0" w:space="0" w:color="auto" w:frame="1"/>
              </w:rPr>
              <w:t>1.000</w:t>
            </w:r>
          </w:p>
        </w:tc>
      </w:tr>
      <w:tr w:rsidR="00560BC7" w:rsidRPr="00560BC7" w14:paraId="10DA7AA9" w14:textId="77777777" w:rsidTr="00560BC7">
        <w:tc>
          <w:tcPr>
            <w:tcW w:w="984" w:type="pct"/>
            <w:hideMark/>
          </w:tcPr>
          <w:p w14:paraId="1B52E3DE" w14:textId="7964028C" w:rsidR="00560BC7" w:rsidRPr="00CC55DE" w:rsidRDefault="00560BC7">
            <w:pPr>
              <w:rPr>
                <w:i/>
                <w:iCs/>
                <w:color w:val="1F1F1F"/>
                <w:lang w:val="vi-VN"/>
              </w:rPr>
            </w:pPr>
            <w:r w:rsidRPr="00CC55DE">
              <w:rPr>
                <w:rStyle w:val="math-inline"/>
                <w:i/>
                <w:iCs/>
                <w:color w:val="1F1F1F"/>
                <w:bdr w:val="none" w:sz="0" w:space="0" w:color="auto" w:frame="1"/>
              </w:rPr>
              <w:t>Size</w:t>
            </w:r>
          </w:p>
        </w:tc>
        <w:tc>
          <w:tcPr>
            <w:tcW w:w="699" w:type="pct"/>
            <w:hideMark/>
          </w:tcPr>
          <w:p w14:paraId="55FC8587"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539B69A1" w14:textId="77777777" w:rsidR="00560BC7" w:rsidRPr="00560BC7" w:rsidRDefault="00560BC7">
            <w:pPr>
              <w:rPr>
                <w:color w:val="1F1F1F"/>
              </w:rPr>
            </w:pPr>
            <w:r w:rsidRPr="00560BC7">
              <w:rPr>
                <w:color w:val="1F1F1F"/>
                <w:bdr w:val="none" w:sz="0" w:space="0" w:color="auto" w:frame="1"/>
              </w:rPr>
              <w:t>28.150</w:t>
            </w:r>
          </w:p>
        </w:tc>
        <w:tc>
          <w:tcPr>
            <w:tcW w:w="1063" w:type="pct"/>
            <w:hideMark/>
          </w:tcPr>
          <w:p w14:paraId="0C301A50" w14:textId="77777777" w:rsidR="00560BC7" w:rsidRPr="00560BC7" w:rsidRDefault="00560BC7">
            <w:pPr>
              <w:rPr>
                <w:color w:val="1F1F1F"/>
              </w:rPr>
            </w:pPr>
            <w:r w:rsidRPr="00560BC7">
              <w:rPr>
                <w:color w:val="1F1F1F"/>
                <w:bdr w:val="none" w:sz="0" w:space="0" w:color="auto" w:frame="1"/>
              </w:rPr>
              <w:t>1.450</w:t>
            </w:r>
          </w:p>
        </w:tc>
        <w:tc>
          <w:tcPr>
            <w:tcW w:w="813" w:type="pct"/>
            <w:hideMark/>
          </w:tcPr>
          <w:p w14:paraId="2C6E13DB" w14:textId="77777777" w:rsidR="00560BC7" w:rsidRPr="00560BC7" w:rsidRDefault="00560BC7">
            <w:pPr>
              <w:rPr>
                <w:color w:val="1F1F1F"/>
              </w:rPr>
            </w:pPr>
            <w:r w:rsidRPr="00560BC7">
              <w:rPr>
                <w:color w:val="1F1F1F"/>
                <w:bdr w:val="none" w:sz="0" w:space="0" w:color="auto" w:frame="1"/>
              </w:rPr>
              <w:t>25.110</w:t>
            </w:r>
          </w:p>
        </w:tc>
        <w:tc>
          <w:tcPr>
            <w:tcW w:w="629" w:type="pct"/>
            <w:hideMark/>
          </w:tcPr>
          <w:p w14:paraId="15FC7328" w14:textId="77777777" w:rsidR="00560BC7" w:rsidRPr="00560BC7" w:rsidRDefault="00560BC7">
            <w:pPr>
              <w:rPr>
                <w:color w:val="1F1F1F"/>
              </w:rPr>
            </w:pPr>
            <w:r w:rsidRPr="00560BC7">
              <w:rPr>
                <w:color w:val="1F1F1F"/>
                <w:bdr w:val="none" w:sz="0" w:space="0" w:color="auto" w:frame="1"/>
              </w:rPr>
              <w:t>32.410</w:t>
            </w:r>
          </w:p>
        </w:tc>
      </w:tr>
      <w:tr w:rsidR="00560BC7" w:rsidRPr="00560BC7" w14:paraId="5BD2FEC4" w14:textId="77777777" w:rsidTr="00560BC7">
        <w:tc>
          <w:tcPr>
            <w:tcW w:w="984" w:type="pct"/>
            <w:hideMark/>
          </w:tcPr>
          <w:p w14:paraId="28A0508E" w14:textId="109D30C0" w:rsidR="00560BC7" w:rsidRPr="00CC55DE" w:rsidRDefault="00560BC7">
            <w:pPr>
              <w:rPr>
                <w:i/>
                <w:iCs/>
                <w:color w:val="1F1F1F"/>
                <w:lang w:val="vi-VN"/>
              </w:rPr>
            </w:pPr>
            <w:r w:rsidRPr="00CC55DE">
              <w:rPr>
                <w:rStyle w:val="math-inline"/>
                <w:i/>
                <w:iCs/>
                <w:color w:val="1F1F1F"/>
                <w:bdr w:val="none" w:sz="0" w:space="0" w:color="auto" w:frame="1"/>
              </w:rPr>
              <w:t>ROA</w:t>
            </w:r>
          </w:p>
        </w:tc>
        <w:tc>
          <w:tcPr>
            <w:tcW w:w="699" w:type="pct"/>
            <w:hideMark/>
          </w:tcPr>
          <w:p w14:paraId="293F230A"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76300D19" w14:textId="77777777" w:rsidR="00560BC7" w:rsidRPr="00560BC7" w:rsidRDefault="00560BC7">
            <w:pPr>
              <w:rPr>
                <w:color w:val="1F1F1F"/>
              </w:rPr>
            </w:pPr>
            <w:r w:rsidRPr="00560BC7">
              <w:rPr>
                <w:color w:val="1F1F1F"/>
                <w:bdr w:val="none" w:sz="0" w:space="0" w:color="auto" w:frame="1"/>
              </w:rPr>
              <w:t>0.045</w:t>
            </w:r>
          </w:p>
        </w:tc>
        <w:tc>
          <w:tcPr>
            <w:tcW w:w="1063" w:type="pct"/>
            <w:hideMark/>
          </w:tcPr>
          <w:p w14:paraId="2C736973" w14:textId="77777777" w:rsidR="00560BC7" w:rsidRPr="00560BC7" w:rsidRDefault="00560BC7">
            <w:pPr>
              <w:rPr>
                <w:color w:val="1F1F1F"/>
              </w:rPr>
            </w:pPr>
            <w:r w:rsidRPr="00560BC7">
              <w:rPr>
                <w:color w:val="1F1F1F"/>
                <w:bdr w:val="none" w:sz="0" w:space="0" w:color="auto" w:frame="1"/>
              </w:rPr>
              <w:t>0.061</w:t>
            </w:r>
          </w:p>
        </w:tc>
        <w:tc>
          <w:tcPr>
            <w:tcW w:w="813" w:type="pct"/>
            <w:hideMark/>
          </w:tcPr>
          <w:p w14:paraId="62A133DF" w14:textId="77777777" w:rsidR="00560BC7" w:rsidRPr="00560BC7" w:rsidRDefault="00560BC7">
            <w:pPr>
              <w:rPr>
                <w:color w:val="1F1F1F"/>
              </w:rPr>
            </w:pPr>
            <w:r w:rsidRPr="00560BC7">
              <w:rPr>
                <w:color w:val="1F1F1F"/>
                <w:bdr w:val="none" w:sz="0" w:space="0" w:color="auto" w:frame="1"/>
              </w:rPr>
              <w:t>-0.150</w:t>
            </w:r>
          </w:p>
        </w:tc>
        <w:tc>
          <w:tcPr>
            <w:tcW w:w="629" w:type="pct"/>
            <w:hideMark/>
          </w:tcPr>
          <w:p w14:paraId="5D4FDCB5" w14:textId="77777777" w:rsidR="00560BC7" w:rsidRPr="00560BC7" w:rsidRDefault="00560BC7">
            <w:pPr>
              <w:rPr>
                <w:color w:val="1F1F1F"/>
              </w:rPr>
            </w:pPr>
            <w:r w:rsidRPr="00560BC7">
              <w:rPr>
                <w:color w:val="1F1F1F"/>
                <w:bdr w:val="none" w:sz="0" w:space="0" w:color="auto" w:frame="1"/>
              </w:rPr>
              <w:t>0.280</w:t>
            </w:r>
          </w:p>
        </w:tc>
      </w:tr>
      <w:tr w:rsidR="00560BC7" w:rsidRPr="00560BC7" w14:paraId="1FA9E11D" w14:textId="77777777" w:rsidTr="00560BC7">
        <w:tc>
          <w:tcPr>
            <w:tcW w:w="984" w:type="pct"/>
            <w:hideMark/>
          </w:tcPr>
          <w:p w14:paraId="48849E70" w14:textId="7B233460" w:rsidR="00560BC7" w:rsidRPr="00CC55DE" w:rsidRDefault="00560BC7">
            <w:pPr>
              <w:rPr>
                <w:i/>
                <w:iCs/>
                <w:color w:val="1F1F1F"/>
                <w:lang w:val="vi-VN"/>
              </w:rPr>
            </w:pPr>
            <w:r w:rsidRPr="00CC55DE">
              <w:rPr>
                <w:rStyle w:val="math-inline"/>
                <w:i/>
                <w:iCs/>
                <w:color w:val="1F1F1F"/>
                <w:bdr w:val="none" w:sz="0" w:space="0" w:color="auto" w:frame="1"/>
              </w:rPr>
              <w:t>Lev</w:t>
            </w:r>
          </w:p>
        </w:tc>
        <w:tc>
          <w:tcPr>
            <w:tcW w:w="699" w:type="pct"/>
            <w:hideMark/>
          </w:tcPr>
          <w:p w14:paraId="22BF047C"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151BBBB4" w14:textId="77777777" w:rsidR="00560BC7" w:rsidRPr="00560BC7" w:rsidRDefault="00560BC7">
            <w:pPr>
              <w:rPr>
                <w:color w:val="1F1F1F"/>
              </w:rPr>
            </w:pPr>
            <w:r w:rsidRPr="00560BC7">
              <w:rPr>
                <w:color w:val="1F1F1F"/>
                <w:bdr w:val="none" w:sz="0" w:space="0" w:color="auto" w:frame="1"/>
              </w:rPr>
              <w:t>0.485</w:t>
            </w:r>
          </w:p>
        </w:tc>
        <w:tc>
          <w:tcPr>
            <w:tcW w:w="1063" w:type="pct"/>
            <w:hideMark/>
          </w:tcPr>
          <w:p w14:paraId="63FC93C6" w14:textId="77777777" w:rsidR="00560BC7" w:rsidRPr="00560BC7" w:rsidRDefault="00560BC7">
            <w:pPr>
              <w:rPr>
                <w:color w:val="1F1F1F"/>
              </w:rPr>
            </w:pPr>
            <w:r w:rsidRPr="00560BC7">
              <w:rPr>
                <w:color w:val="1F1F1F"/>
                <w:bdr w:val="none" w:sz="0" w:space="0" w:color="auto" w:frame="1"/>
              </w:rPr>
              <w:t>0.210</w:t>
            </w:r>
          </w:p>
        </w:tc>
        <w:tc>
          <w:tcPr>
            <w:tcW w:w="813" w:type="pct"/>
            <w:hideMark/>
          </w:tcPr>
          <w:p w14:paraId="6BBDF349" w14:textId="77777777" w:rsidR="00560BC7" w:rsidRPr="00560BC7" w:rsidRDefault="00560BC7">
            <w:pPr>
              <w:rPr>
                <w:color w:val="1F1F1F"/>
              </w:rPr>
            </w:pPr>
            <w:r w:rsidRPr="00560BC7">
              <w:rPr>
                <w:color w:val="1F1F1F"/>
                <w:bdr w:val="none" w:sz="0" w:space="0" w:color="auto" w:frame="1"/>
              </w:rPr>
              <w:t>0.050</w:t>
            </w:r>
          </w:p>
        </w:tc>
        <w:tc>
          <w:tcPr>
            <w:tcW w:w="629" w:type="pct"/>
            <w:hideMark/>
          </w:tcPr>
          <w:p w14:paraId="712B27FC" w14:textId="77777777" w:rsidR="00560BC7" w:rsidRPr="00560BC7" w:rsidRDefault="00560BC7">
            <w:pPr>
              <w:rPr>
                <w:color w:val="1F1F1F"/>
              </w:rPr>
            </w:pPr>
            <w:r w:rsidRPr="00560BC7">
              <w:rPr>
                <w:color w:val="1F1F1F"/>
                <w:bdr w:val="none" w:sz="0" w:space="0" w:color="auto" w:frame="1"/>
              </w:rPr>
              <w:t>0.890</w:t>
            </w:r>
          </w:p>
        </w:tc>
      </w:tr>
      <w:tr w:rsidR="00560BC7" w:rsidRPr="00560BC7" w14:paraId="217DD34F" w14:textId="77777777" w:rsidTr="00560BC7">
        <w:tc>
          <w:tcPr>
            <w:tcW w:w="984" w:type="pct"/>
            <w:hideMark/>
          </w:tcPr>
          <w:p w14:paraId="532DE509" w14:textId="4F1612ED" w:rsidR="00560BC7" w:rsidRPr="00CC55DE" w:rsidRDefault="00560BC7">
            <w:pPr>
              <w:rPr>
                <w:i/>
                <w:iCs/>
                <w:color w:val="1F1F1F"/>
                <w:lang w:val="vi-VN"/>
              </w:rPr>
            </w:pPr>
            <w:r w:rsidRPr="00CC55DE">
              <w:rPr>
                <w:rStyle w:val="math-inline"/>
                <w:i/>
                <w:iCs/>
                <w:color w:val="1F1F1F"/>
                <w:bdr w:val="none" w:sz="0" w:space="0" w:color="auto" w:frame="1"/>
              </w:rPr>
              <w:t>Tang</w:t>
            </w:r>
          </w:p>
        </w:tc>
        <w:tc>
          <w:tcPr>
            <w:tcW w:w="699" w:type="pct"/>
            <w:hideMark/>
          </w:tcPr>
          <w:p w14:paraId="22B85965" w14:textId="77777777" w:rsidR="00560BC7" w:rsidRPr="00560BC7" w:rsidRDefault="00560BC7">
            <w:pPr>
              <w:rPr>
                <w:color w:val="1F1F1F"/>
              </w:rPr>
            </w:pPr>
            <w:r w:rsidRPr="00560BC7">
              <w:rPr>
                <w:color w:val="1F1F1F"/>
                <w:bdr w:val="none" w:sz="0" w:space="0" w:color="auto" w:frame="1"/>
              </w:rPr>
              <w:t>5,420</w:t>
            </w:r>
          </w:p>
        </w:tc>
        <w:tc>
          <w:tcPr>
            <w:tcW w:w="813" w:type="pct"/>
            <w:hideMark/>
          </w:tcPr>
          <w:p w14:paraId="154A4A57" w14:textId="77777777" w:rsidR="00560BC7" w:rsidRPr="00560BC7" w:rsidRDefault="00560BC7">
            <w:pPr>
              <w:rPr>
                <w:color w:val="1F1F1F"/>
              </w:rPr>
            </w:pPr>
            <w:r w:rsidRPr="00560BC7">
              <w:rPr>
                <w:color w:val="1F1F1F"/>
                <w:bdr w:val="none" w:sz="0" w:space="0" w:color="auto" w:frame="1"/>
              </w:rPr>
              <w:t>0.245</w:t>
            </w:r>
          </w:p>
        </w:tc>
        <w:tc>
          <w:tcPr>
            <w:tcW w:w="1063" w:type="pct"/>
            <w:hideMark/>
          </w:tcPr>
          <w:p w14:paraId="5E12AC7E" w14:textId="77777777" w:rsidR="00560BC7" w:rsidRPr="00560BC7" w:rsidRDefault="00560BC7">
            <w:pPr>
              <w:rPr>
                <w:color w:val="1F1F1F"/>
              </w:rPr>
            </w:pPr>
            <w:r w:rsidRPr="00560BC7">
              <w:rPr>
                <w:color w:val="1F1F1F"/>
                <w:bdr w:val="none" w:sz="0" w:space="0" w:color="auto" w:frame="1"/>
              </w:rPr>
              <w:t>0.185</w:t>
            </w:r>
          </w:p>
        </w:tc>
        <w:tc>
          <w:tcPr>
            <w:tcW w:w="813" w:type="pct"/>
            <w:hideMark/>
          </w:tcPr>
          <w:p w14:paraId="0D704328" w14:textId="77777777" w:rsidR="00560BC7" w:rsidRPr="00560BC7" w:rsidRDefault="00560BC7">
            <w:pPr>
              <w:rPr>
                <w:color w:val="1F1F1F"/>
              </w:rPr>
            </w:pPr>
            <w:r w:rsidRPr="00560BC7">
              <w:rPr>
                <w:color w:val="1F1F1F"/>
                <w:bdr w:val="none" w:sz="0" w:space="0" w:color="auto" w:frame="1"/>
              </w:rPr>
              <w:t>0.010</w:t>
            </w:r>
          </w:p>
        </w:tc>
        <w:tc>
          <w:tcPr>
            <w:tcW w:w="629" w:type="pct"/>
            <w:hideMark/>
          </w:tcPr>
          <w:p w14:paraId="26CCFFCB" w14:textId="77777777" w:rsidR="00560BC7" w:rsidRPr="00560BC7" w:rsidRDefault="00560BC7">
            <w:pPr>
              <w:rPr>
                <w:color w:val="1F1F1F"/>
              </w:rPr>
            </w:pPr>
            <w:r w:rsidRPr="00560BC7">
              <w:rPr>
                <w:color w:val="1F1F1F"/>
                <w:bdr w:val="none" w:sz="0" w:space="0" w:color="auto" w:frame="1"/>
              </w:rPr>
              <w:t>0.780</w:t>
            </w:r>
          </w:p>
        </w:tc>
      </w:tr>
    </w:tbl>
    <w:p w14:paraId="4E1824C2" w14:textId="77777777" w:rsidR="00D34D93" w:rsidRPr="00467A50" w:rsidRDefault="00D34D93" w:rsidP="00D34D93">
      <w:pPr>
        <w:pStyle w:val="Heading2"/>
        <w:tabs>
          <w:tab w:val="left" w:pos="792"/>
        </w:tabs>
        <w:spacing w:before="240" w:line="360" w:lineRule="auto"/>
        <w:ind w:left="0" w:right="234"/>
        <w:rPr>
          <w:bCs w:val="0"/>
          <w:lang w:val="vi-VN"/>
        </w:rPr>
      </w:pPr>
      <w:r w:rsidRPr="00467A50">
        <w:rPr>
          <w:bCs w:val="0"/>
          <w:lang w:val="vi-VN"/>
        </w:rPr>
        <w:t>4.2. Baseline regression results</w:t>
      </w:r>
    </w:p>
    <w:p w14:paraId="26F63BF9" w14:textId="77777777" w:rsidR="00F25860" w:rsidRDefault="00F25860" w:rsidP="00756417">
      <w:pPr>
        <w:pStyle w:val="Heading2"/>
        <w:tabs>
          <w:tab w:val="left" w:pos="792"/>
        </w:tabs>
        <w:spacing w:before="240" w:line="360" w:lineRule="auto"/>
        <w:ind w:left="0" w:right="234"/>
        <w:rPr>
          <w:b w:val="0"/>
          <w:bCs w:val="0"/>
          <w:lang w:val="en-US"/>
        </w:rPr>
      </w:pPr>
      <w:r w:rsidRPr="00F25860">
        <w:rPr>
          <w:b w:val="0"/>
          <w:bCs w:val="0"/>
          <w:lang w:val="vi-VN"/>
        </w:rPr>
        <w:t>The benchmark panel regression results intended to test Hypothesis 1—that a firm's access to trade credit is positively impacted by a higher level of corporate digitalization—are presented in Table 3. All parameters include company and year fixed effects in order to thoroughly establish this relationship and reduce potential omitted variable bias. While Column (2) exhibits the entire vector of firm-level control variables, Column (1) displays the baseline model with only the principal independent variable (DIGIT) and the fixed effects.</w:t>
      </w:r>
    </w:p>
    <w:p w14:paraId="1AA68A37" w14:textId="77777777" w:rsidR="00F25860" w:rsidRDefault="00F25860" w:rsidP="00756417">
      <w:pPr>
        <w:pStyle w:val="Heading2"/>
        <w:tabs>
          <w:tab w:val="left" w:pos="792"/>
        </w:tabs>
        <w:spacing w:before="240" w:line="360" w:lineRule="auto"/>
        <w:ind w:left="0" w:right="234"/>
        <w:rPr>
          <w:b w:val="0"/>
          <w:bCs w:val="0"/>
          <w:lang w:val="en-US"/>
        </w:rPr>
      </w:pPr>
      <w:r w:rsidRPr="00F25860">
        <w:rPr>
          <w:b w:val="0"/>
          <w:bCs w:val="0"/>
          <w:lang w:val="vi-VN"/>
        </w:rPr>
        <w:lastRenderedPageBreak/>
        <w:t>The coefficient on DIGIT is positive and very significant (α_1 = 0.018, p &lt; 0.01), as indicated in Column (1). When comprehensive control variables are added, this positive connection in Column (2) is still strong (α_1 = 0.014, p &lt; 0.01). These findings give Hypothesis 1 substantial empirical support.</w:t>
      </w:r>
    </w:p>
    <w:p w14:paraId="0BB05F18" w14:textId="73F860CD" w:rsidR="00756417" w:rsidRPr="004A2D81" w:rsidRDefault="00756417" w:rsidP="00756417">
      <w:pPr>
        <w:pStyle w:val="Heading2"/>
        <w:tabs>
          <w:tab w:val="left" w:pos="792"/>
        </w:tabs>
        <w:spacing w:before="240" w:line="360" w:lineRule="auto"/>
        <w:ind w:left="0" w:right="234"/>
        <w:rPr>
          <w:b w:val="0"/>
          <w:bCs w:val="0"/>
          <w:lang w:val="vi-VN"/>
        </w:rPr>
      </w:pPr>
      <w:r w:rsidRPr="004A2D81">
        <w:rPr>
          <w:b w:val="0"/>
          <w:bCs w:val="0"/>
          <w:lang w:val="vi-VN"/>
        </w:rPr>
        <w:t>Beyond statistical significance, the impact of corporate digitalization is economically meaningful. Based on the estimates in Column (2), a one-unit increase in the digitalization index corresponds to a 1.4 percentage point increase in the trade credit-to-assets ratio. Given that the mean trade credit ratio in our sample is 12.5%, this represents an approximate 11.2% relative increase in trade credit access for the average firm. This finding indicates that suppliers interpret digital transformation as a credible signal of operational transparency and reliability, thereby demonstrating a higher willingness to extend unsecured financing to digitally advanced firms (Goldfarb &amp; Tucker, 2019; Liu &amp; Wang, 2023).</w:t>
      </w:r>
    </w:p>
    <w:p w14:paraId="63BAAA7A" w14:textId="6DA7845E" w:rsidR="00756417" w:rsidRPr="00F25860" w:rsidRDefault="00F25860" w:rsidP="00D34D93">
      <w:pPr>
        <w:pStyle w:val="Heading2"/>
        <w:tabs>
          <w:tab w:val="left" w:pos="792"/>
        </w:tabs>
        <w:spacing w:before="240" w:line="360" w:lineRule="auto"/>
        <w:ind w:left="0" w:right="234"/>
        <w:rPr>
          <w:b w:val="0"/>
          <w:bCs w:val="0"/>
          <w:lang w:val="en-US"/>
        </w:rPr>
      </w:pPr>
      <w:r w:rsidRPr="00F25860">
        <w:rPr>
          <w:b w:val="0"/>
          <w:bCs w:val="0"/>
          <w:lang w:val="vi-VN"/>
        </w:rPr>
        <w:t>In general, the control variable coefficients match the conventional expectations found in the trade credit literature. According to Petersen and Rajan (1997), there is a substantial positive correlation between trade credit and business size (Size), indicating that larger enterprises, which generally have greater market power and less information asymmetry, obtain more supplier financing. On the other hand, trade credit availability is adversely correlated with profitability (ROA) and operating cash flow (CF). According to the pecking order theory (Garcia-Teruel &amp; Martinez-Solano, 2010), companies with a lot of internal liquidity are less dependent on expensive outside funding, such as postponed supplier payments. Additionally, because their asset structure enables them to obtain less expensive collateralized bank loans, businesses with a larger percentage of tangible assets (Tang) rely less on trade credit (Giannetti, Burkart, &amp; Ellingsen, 2011).</w:t>
      </w:r>
    </w:p>
    <w:p w14:paraId="45CFCA44" w14:textId="4EBF427C" w:rsidR="00D34D93" w:rsidRPr="000D5A18" w:rsidRDefault="00D34D93" w:rsidP="000D5A18">
      <w:pPr>
        <w:pStyle w:val="Heading2"/>
        <w:spacing w:before="6" w:line="360" w:lineRule="auto"/>
        <w:ind w:left="4107" w:right="234" w:hanging="4107"/>
        <w:jc w:val="left"/>
      </w:pPr>
      <w:r w:rsidRPr="000D5A18">
        <w:t xml:space="preserve">Table 3. </w:t>
      </w:r>
      <w:r w:rsidR="00756417" w:rsidRPr="0043104F">
        <w:t>Benchmark regression results</w:t>
      </w:r>
    </w:p>
    <w:tbl>
      <w:tblPr>
        <w:tblStyle w:val="TableGrid"/>
        <w:tblW w:w="4890" w:type="pct"/>
        <w:tblLook w:val="04A0" w:firstRow="1" w:lastRow="0" w:firstColumn="1" w:lastColumn="0" w:noHBand="0" w:noVBand="1"/>
      </w:tblPr>
      <w:tblGrid>
        <w:gridCol w:w="2973"/>
        <w:gridCol w:w="4521"/>
        <w:gridCol w:w="2707"/>
      </w:tblGrid>
      <w:tr w:rsidR="00756417" w:rsidRPr="0043104F" w14:paraId="47884751" w14:textId="77777777" w:rsidTr="00756417">
        <w:tc>
          <w:tcPr>
            <w:tcW w:w="1457" w:type="pct"/>
            <w:hideMark/>
          </w:tcPr>
          <w:p w14:paraId="73137F40" w14:textId="77777777" w:rsidR="00756417" w:rsidRPr="0043104F" w:rsidRDefault="00756417">
            <w:pPr>
              <w:rPr>
                <w:color w:val="1F1F1F"/>
              </w:rPr>
            </w:pPr>
            <w:r w:rsidRPr="0043104F">
              <w:rPr>
                <w:rStyle w:val="Strong"/>
                <w:color w:val="1F1F1F"/>
                <w:bdr w:val="none" w:sz="0" w:space="0" w:color="auto" w:frame="1"/>
              </w:rPr>
              <w:t>Variables</w:t>
            </w:r>
          </w:p>
        </w:tc>
        <w:tc>
          <w:tcPr>
            <w:tcW w:w="2216" w:type="pct"/>
            <w:hideMark/>
          </w:tcPr>
          <w:p w14:paraId="4E05AE77" w14:textId="77777777" w:rsidR="00756417" w:rsidRPr="0043104F" w:rsidRDefault="00756417">
            <w:pPr>
              <w:rPr>
                <w:color w:val="1F1F1F"/>
              </w:rPr>
            </w:pPr>
            <w:r w:rsidRPr="0043104F">
              <w:rPr>
                <w:rStyle w:val="Strong"/>
                <w:color w:val="1F1F1F"/>
                <w:bdr w:val="none" w:sz="0" w:space="0" w:color="auto" w:frame="1"/>
              </w:rPr>
              <w:t>(1) TC</w:t>
            </w:r>
          </w:p>
        </w:tc>
        <w:tc>
          <w:tcPr>
            <w:tcW w:w="1327" w:type="pct"/>
            <w:hideMark/>
          </w:tcPr>
          <w:p w14:paraId="4B02DA94" w14:textId="77777777" w:rsidR="00756417" w:rsidRPr="0043104F" w:rsidRDefault="00756417">
            <w:pPr>
              <w:rPr>
                <w:color w:val="1F1F1F"/>
              </w:rPr>
            </w:pPr>
            <w:r w:rsidRPr="0043104F">
              <w:rPr>
                <w:rStyle w:val="Strong"/>
                <w:color w:val="1F1F1F"/>
                <w:bdr w:val="none" w:sz="0" w:space="0" w:color="auto" w:frame="1"/>
              </w:rPr>
              <w:t>(2) TC</w:t>
            </w:r>
          </w:p>
        </w:tc>
      </w:tr>
      <w:tr w:rsidR="00CC55DE" w:rsidRPr="0043104F" w14:paraId="1B92A7C5" w14:textId="77777777" w:rsidTr="00756417">
        <w:tc>
          <w:tcPr>
            <w:tcW w:w="1457" w:type="pct"/>
            <w:vMerge w:val="restart"/>
            <w:hideMark/>
          </w:tcPr>
          <w:p w14:paraId="5224C950" w14:textId="67A8BCDD" w:rsidR="00CC55DE" w:rsidRPr="0043104F" w:rsidRDefault="00CC55DE">
            <w:pPr>
              <w:rPr>
                <w:color w:val="1F1F1F"/>
                <w:lang w:val="vi-VN"/>
              </w:rPr>
            </w:pPr>
            <w:r w:rsidRPr="0043104F">
              <w:rPr>
                <w:rStyle w:val="math-inline"/>
                <w:color w:val="1F1F1F"/>
                <w:bdr w:val="none" w:sz="0" w:space="0" w:color="auto" w:frame="1"/>
              </w:rPr>
              <w:t>DIGIT</w:t>
            </w:r>
          </w:p>
        </w:tc>
        <w:tc>
          <w:tcPr>
            <w:tcW w:w="2216" w:type="pct"/>
            <w:hideMark/>
          </w:tcPr>
          <w:p w14:paraId="684BE890" w14:textId="77777777" w:rsidR="00CC55DE" w:rsidRPr="0043104F" w:rsidRDefault="00CC55DE">
            <w:pPr>
              <w:rPr>
                <w:color w:val="1F1F1F"/>
              </w:rPr>
            </w:pPr>
            <w:r w:rsidRPr="0043104F">
              <w:rPr>
                <w:b/>
                <w:bCs/>
                <w:color w:val="1F1F1F"/>
                <w:bdr w:val="none" w:sz="0" w:space="0" w:color="auto" w:frame="1"/>
              </w:rPr>
              <w:t>0.018***</w:t>
            </w:r>
          </w:p>
        </w:tc>
        <w:tc>
          <w:tcPr>
            <w:tcW w:w="1327" w:type="pct"/>
            <w:hideMark/>
          </w:tcPr>
          <w:p w14:paraId="4325C8BC" w14:textId="77777777" w:rsidR="00CC55DE" w:rsidRPr="0043104F" w:rsidRDefault="00CC55DE">
            <w:pPr>
              <w:rPr>
                <w:color w:val="1F1F1F"/>
              </w:rPr>
            </w:pPr>
            <w:r w:rsidRPr="0043104F">
              <w:rPr>
                <w:b/>
                <w:bCs/>
                <w:color w:val="1F1F1F"/>
                <w:bdr w:val="none" w:sz="0" w:space="0" w:color="auto" w:frame="1"/>
              </w:rPr>
              <w:t>0.014***</w:t>
            </w:r>
          </w:p>
        </w:tc>
      </w:tr>
      <w:tr w:rsidR="00CC55DE" w:rsidRPr="0043104F" w14:paraId="119D0BE9" w14:textId="77777777" w:rsidTr="00756417">
        <w:tc>
          <w:tcPr>
            <w:tcW w:w="1457" w:type="pct"/>
            <w:vMerge/>
            <w:hideMark/>
          </w:tcPr>
          <w:p w14:paraId="643AF161" w14:textId="77777777" w:rsidR="00CC55DE" w:rsidRPr="0043104F" w:rsidRDefault="00CC55DE">
            <w:pPr>
              <w:rPr>
                <w:color w:val="1F1F1F"/>
              </w:rPr>
            </w:pPr>
          </w:p>
        </w:tc>
        <w:tc>
          <w:tcPr>
            <w:tcW w:w="2216" w:type="pct"/>
            <w:hideMark/>
          </w:tcPr>
          <w:p w14:paraId="444AF4A6" w14:textId="77777777" w:rsidR="00CC55DE" w:rsidRPr="0043104F" w:rsidRDefault="00CC55DE">
            <w:pPr>
              <w:rPr>
                <w:color w:val="1F1F1F"/>
              </w:rPr>
            </w:pPr>
            <w:r w:rsidRPr="0043104F">
              <w:rPr>
                <w:color w:val="1F1F1F"/>
                <w:bdr w:val="none" w:sz="0" w:space="0" w:color="auto" w:frame="1"/>
              </w:rPr>
              <w:t>(5.12)</w:t>
            </w:r>
          </w:p>
        </w:tc>
        <w:tc>
          <w:tcPr>
            <w:tcW w:w="1327" w:type="pct"/>
            <w:hideMark/>
          </w:tcPr>
          <w:p w14:paraId="0A98590D" w14:textId="77777777" w:rsidR="00CC55DE" w:rsidRPr="0043104F" w:rsidRDefault="00CC55DE">
            <w:pPr>
              <w:rPr>
                <w:color w:val="1F1F1F"/>
              </w:rPr>
            </w:pPr>
            <w:r w:rsidRPr="0043104F">
              <w:rPr>
                <w:color w:val="1F1F1F"/>
                <w:bdr w:val="none" w:sz="0" w:space="0" w:color="auto" w:frame="1"/>
              </w:rPr>
              <w:t>(4.52)</w:t>
            </w:r>
          </w:p>
        </w:tc>
      </w:tr>
      <w:tr w:rsidR="00CC55DE" w:rsidRPr="0043104F" w14:paraId="388A839F" w14:textId="77777777" w:rsidTr="00756417">
        <w:tc>
          <w:tcPr>
            <w:tcW w:w="1457" w:type="pct"/>
            <w:vMerge w:val="restart"/>
            <w:hideMark/>
          </w:tcPr>
          <w:p w14:paraId="50DEA85C" w14:textId="0743FA5C" w:rsidR="00CC55DE" w:rsidRPr="0043104F" w:rsidRDefault="00CC55DE">
            <w:pPr>
              <w:rPr>
                <w:color w:val="1F1F1F"/>
                <w:lang w:val="vi-VN"/>
              </w:rPr>
            </w:pPr>
            <w:r w:rsidRPr="0043104F">
              <w:rPr>
                <w:rStyle w:val="math-inline"/>
                <w:color w:val="1F1F1F"/>
                <w:bdr w:val="none" w:sz="0" w:space="0" w:color="auto" w:frame="1"/>
              </w:rPr>
              <w:t>Size</w:t>
            </w:r>
          </w:p>
        </w:tc>
        <w:tc>
          <w:tcPr>
            <w:tcW w:w="2216" w:type="pct"/>
            <w:hideMark/>
          </w:tcPr>
          <w:p w14:paraId="08EDAC8A" w14:textId="77777777" w:rsidR="00CC55DE" w:rsidRPr="0043104F" w:rsidRDefault="00CC55DE">
            <w:pPr>
              <w:rPr>
                <w:color w:val="1F1F1F"/>
              </w:rPr>
            </w:pPr>
          </w:p>
        </w:tc>
        <w:tc>
          <w:tcPr>
            <w:tcW w:w="1327" w:type="pct"/>
            <w:hideMark/>
          </w:tcPr>
          <w:p w14:paraId="2100D8D1" w14:textId="77777777" w:rsidR="00CC55DE" w:rsidRPr="0043104F" w:rsidRDefault="00CC55DE">
            <w:pPr>
              <w:rPr>
                <w:color w:val="1F1F1F"/>
              </w:rPr>
            </w:pPr>
            <w:r w:rsidRPr="0043104F">
              <w:rPr>
                <w:color w:val="1F1F1F"/>
                <w:bdr w:val="none" w:sz="0" w:space="0" w:color="auto" w:frame="1"/>
              </w:rPr>
              <w:t>0.011***</w:t>
            </w:r>
          </w:p>
        </w:tc>
      </w:tr>
      <w:tr w:rsidR="00CC55DE" w:rsidRPr="0043104F" w14:paraId="305EF46A" w14:textId="77777777" w:rsidTr="00756417">
        <w:tc>
          <w:tcPr>
            <w:tcW w:w="1457" w:type="pct"/>
            <w:vMerge/>
            <w:hideMark/>
          </w:tcPr>
          <w:p w14:paraId="34E83F5B" w14:textId="77777777" w:rsidR="00CC55DE" w:rsidRPr="0043104F" w:rsidRDefault="00CC55DE">
            <w:pPr>
              <w:rPr>
                <w:color w:val="1F1F1F"/>
              </w:rPr>
            </w:pPr>
          </w:p>
        </w:tc>
        <w:tc>
          <w:tcPr>
            <w:tcW w:w="2216" w:type="pct"/>
            <w:hideMark/>
          </w:tcPr>
          <w:p w14:paraId="4CD362AB" w14:textId="77777777" w:rsidR="00CC55DE" w:rsidRPr="0043104F" w:rsidRDefault="00CC55DE">
            <w:pPr>
              <w:rPr>
                <w:sz w:val="20"/>
                <w:szCs w:val="20"/>
              </w:rPr>
            </w:pPr>
          </w:p>
        </w:tc>
        <w:tc>
          <w:tcPr>
            <w:tcW w:w="1327" w:type="pct"/>
            <w:hideMark/>
          </w:tcPr>
          <w:p w14:paraId="647D2771" w14:textId="77777777" w:rsidR="00CC55DE" w:rsidRPr="0043104F" w:rsidRDefault="00CC55DE">
            <w:pPr>
              <w:rPr>
                <w:color w:val="1F1F1F"/>
              </w:rPr>
            </w:pPr>
            <w:r w:rsidRPr="0043104F">
              <w:rPr>
                <w:color w:val="1F1F1F"/>
                <w:bdr w:val="none" w:sz="0" w:space="0" w:color="auto" w:frame="1"/>
              </w:rPr>
              <w:t>(3.85)</w:t>
            </w:r>
          </w:p>
        </w:tc>
      </w:tr>
      <w:tr w:rsidR="00CC55DE" w:rsidRPr="0043104F" w14:paraId="4EE00B6C" w14:textId="77777777" w:rsidTr="00756417">
        <w:tc>
          <w:tcPr>
            <w:tcW w:w="1457" w:type="pct"/>
            <w:vMerge w:val="restart"/>
            <w:hideMark/>
          </w:tcPr>
          <w:p w14:paraId="45D36298" w14:textId="4E10493E" w:rsidR="00CC55DE" w:rsidRPr="0043104F" w:rsidRDefault="00CC55DE">
            <w:pPr>
              <w:rPr>
                <w:color w:val="1F1F1F"/>
                <w:lang w:val="vi-VN"/>
              </w:rPr>
            </w:pPr>
            <w:r w:rsidRPr="0043104F">
              <w:rPr>
                <w:rStyle w:val="math-inline"/>
                <w:color w:val="1F1F1F"/>
                <w:bdr w:val="none" w:sz="0" w:space="0" w:color="auto" w:frame="1"/>
              </w:rPr>
              <w:t>ROA</w:t>
            </w:r>
          </w:p>
        </w:tc>
        <w:tc>
          <w:tcPr>
            <w:tcW w:w="2216" w:type="pct"/>
            <w:hideMark/>
          </w:tcPr>
          <w:p w14:paraId="597A441F" w14:textId="77777777" w:rsidR="00CC55DE" w:rsidRPr="0043104F" w:rsidRDefault="00CC55DE">
            <w:pPr>
              <w:rPr>
                <w:color w:val="1F1F1F"/>
              </w:rPr>
            </w:pPr>
          </w:p>
        </w:tc>
        <w:tc>
          <w:tcPr>
            <w:tcW w:w="1327" w:type="pct"/>
            <w:hideMark/>
          </w:tcPr>
          <w:p w14:paraId="42945079" w14:textId="77777777" w:rsidR="00CC55DE" w:rsidRPr="0043104F" w:rsidRDefault="00CC55DE">
            <w:pPr>
              <w:rPr>
                <w:color w:val="1F1F1F"/>
              </w:rPr>
            </w:pPr>
            <w:r w:rsidRPr="0043104F">
              <w:rPr>
                <w:color w:val="1F1F1F"/>
                <w:bdr w:val="none" w:sz="0" w:space="0" w:color="auto" w:frame="1"/>
              </w:rPr>
              <w:t>-0.145***</w:t>
            </w:r>
          </w:p>
        </w:tc>
      </w:tr>
      <w:tr w:rsidR="00CC55DE" w:rsidRPr="0043104F" w14:paraId="0858CF67" w14:textId="77777777" w:rsidTr="00756417">
        <w:tc>
          <w:tcPr>
            <w:tcW w:w="1457" w:type="pct"/>
            <w:vMerge/>
            <w:hideMark/>
          </w:tcPr>
          <w:p w14:paraId="0423036F" w14:textId="77777777" w:rsidR="00CC55DE" w:rsidRPr="0043104F" w:rsidRDefault="00CC55DE">
            <w:pPr>
              <w:rPr>
                <w:color w:val="1F1F1F"/>
              </w:rPr>
            </w:pPr>
          </w:p>
        </w:tc>
        <w:tc>
          <w:tcPr>
            <w:tcW w:w="2216" w:type="pct"/>
            <w:hideMark/>
          </w:tcPr>
          <w:p w14:paraId="4E475A98" w14:textId="77777777" w:rsidR="00CC55DE" w:rsidRPr="0043104F" w:rsidRDefault="00CC55DE">
            <w:pPr>
              <w:rPr>
                <w:sz w:val="20"/>
                <w:szCs w:val="20"/>
              </w:rPr>
            </w:pPr>
          </w:p>
        </w:tc>
        <w:tc>
          <w:tcPr>
            <w:tcW w:w="1327" w:type="pct"/>
            <w:hideMark/>
          </w:tcPr>
          <w:p w14:paraId="226B4593" w14:textId="77777777" w:rsidR="00CC55DE" w:rsidRPr="0043104F" w:rsidRDefault="00CC55DE">
            <w:pPr>
              <w:rPr>
                <w:color w:val="1F1F1F"/>
              </w:rPr>
            </w:pPr>
            <w:r w:rsidRPr="0043104F">
              <w:rPr>
                <w:color w:val="1F1F1F"/>
                <w:bdr w:val="none" w:sz="0" w:space="0" w:color="auto" w:frame="1"/>
              </w:rPr>
              <w:t>(-4.10)</w:t>
            </w:r>
          </w:p>
        </w:tc>
      </w:tr>
      <w:tr w:rsidR="00CC55DE" w:rsidRPr="0043104F" w14:paraId="6701D2BB" w14:textId="77777777" w:rsidTr="00756417">
        <w:tc>
          <w:tcPr>
            <w:tcW w:w="1457" w:type="pct"/>
            <w:vMerge w:val="restart"/>
            <w:hideMark/>
          </w:tcPr>
          <w:p w14:paraId="52196255" w14:textId="0199B891" w:rsidR="00CC55DE" w:rsidRPr="0043104F" w:rsidRDefault="00CC55DE">
            <w:pPr>
              <w:rPr>
                <w:color w:val="1F1F1F"/>
                <w:lang w:val="vi-VN"/>
              </w:rPr>
            </w:pPr>
            <w:r w:rsidRPr="0043104F">
              <w:rPr>
                <w:rStyle w:val="math-inline"/>
                <w:color w:val="1F1F1F"/>
                <w:bdr w:val="none" w:sz="0" w:space="0" w:color="auto" w:frame="1"/>
              </w:rPr>
              <w:t>Lev</w:t>
            </w:r>
          </w:p>
        </w:tc>
        <w:tc>
          <w:tcPr>
            <w:tcW w:w="2216" w:type="pct"/>
            <w:hideMark/>
          </w:tcPr>
          <w:p w14:paraId="32DE2E65" w14:textId="77777777" w:rsidR="00CC55DE" w:rsidRPr="0043104F" w:rsidRDefault="00CC55DE">
            <w:pPr>
              <w:rPr>
                <w:color w:val="1F1F1F"/>
              </w:rPr>
            </w:pPr>
          </w:p>
        </w:tc>
        <w:tc>
          <w:tcPr>
            <w:tcW w:w="1327" w:type="pct"/>
            <w:hideMark/>
          </w:tcPr>
          <w:p w14:paraId="10A6B887" w14:textId="77777777" w:rsidR="00CC55DE" w:rsidRPr="0043104F" w:rsidRDefault="00CC55DE">
            <w:pPr>
              <w:rPr>
                <w:color w:val="1F1F1F"/>
              </w:rPr>
            </w:pPr>
            <w:r w:rsidRPr="0043104F">
              <w:rPr>
                <w:color w:val="1F1F1F"/>
                <w:bdr w:val="none" w:sz="0" w:space="0" w:color="auto" w:frame="1"/>
              </w:rPr>
              <w:t>0.035**</w:t>
            </w:r>
          </w:p>
        </w:tc>
      </w:tr>
      <w:tr w:rsidR="00CC55DE" w:rsidRPr="0043104F" w14:paraId="33300581" w14:textId="77777777" w:rsidTr="00756417">
        <w:tc>
          <w:tcPr>
            <w:tcW w:w="1457" w:type="pct"/>
            <w:vMerge/>
            <w:hideMark/>
          </w:tcPr>
          <w:p w14:paraId="4BFE38E8" w14:textId="77777777" w:rsidR="00CC55DE" w:rsidRPr="0043104F" w:rsidRDefault="00CC55DE">
            <w:pPr>
              <w:rPr>
                <w:color w:val="1F1F1F"/>
              </w:rPr>
            </w:pPr>
          </w:p>
        </w:tc>
        <w:tc>
          <w:tcPr>
            <w:tcW w:w="2216" w:type="pct"/>
            <w:hideMark/>
          </w:tcPr>
          <w:p w14:paraId="72DA087A" w14:textId="77777777" w:rsidR="00CC55DE" w:rsidRPr="0043104F" w:rsidRDefault="00CC55DE">
            <w:pPr>
              <w:rPr>
                <w:sz w:val="20"/>
                <w:szCs w:val="20"/>
              </w:rPr>
            </w:pPr>
          </w:p>
        </w:tc>
        <w:tc>
          <w:tcPr>
            <w:tcW w:w="1327" w:type="pct"/>
            <w:hideMark/>
          </w:tcPr>
          <w:p w14:paraId="31841540" w14:textId="77777777" w:rsidR="00CC55DE" w:rsidRPr="0043104F" w:rsidRDefault="00CC55DE">
            <w:pPr>
              <w:rPr>
                <w:color w:val="1F1F1F"/>
              </w:rPr>
            </w:pPr>
            <w:r w:rsidRPr="0043104F">
              <w:rPr>
                <w:color w:val="1F1F1F"/>
                <w:bdr w:val="none" w:sz="0" w:space="0" w:color="auto" w:frame="1"/>
              </w:rPr>
              <w:t>(2.45)</w:t>
            </w:r>
          </w:p>
        </w:tc>
      </w:tr>
      <w:tr w:rsidR="00756417" w:rsidRPr="0043104F" w14:paraId="5EACFE7B" w14:textId="77777777" w:rsidTr="00756417">
        <w:tc>
          <w:tcPr>
            <w:tcW w:w="1457" w:type="pct"/>
            <w:hideMark/>
          </w:tcPr>
          <w:p w14:paraId="544FE3C1" w14:textId="258FE0E2" w:rsidR="00756417" w:rsidRPr="0043104F" w:rsidRDefault="00756417">
            <w:pPr>
              <w:rPr>
                <w:color w:val="1F1F1F"/>
                <w:lang w:val="vi-VN"/>
              </w:rPr>
            </w:pPr>
            <w:r w:rsidRPr="0043104F">
              <w:rPr>
                <w:rStyle w:val="math-inline"/>
                <w:color w:val="1F1F1F"/>
                <w:bdr w:val="none" w:sz="0" w:space="0" w:color="auto" w:frame="1"/>
              </w:rPr>
              <w:t>Tang</w:t>
            </w:r>
          </w:p>
        </w:tc>
        <w:tc>
          <w:tcPr>
            <w:tcW w:w="2216" w:type="pct"/>
            <w:hideMark/>
          </w:tcPr>
          <w:p w14:paraId="17E13E4E" w14:textId="77777777" w:rsidR="00756417" w:rsidRPr="0043104F" w:rsidRDefault="00756417">
            <w:pPr>
              <w:rPr>
                <w:color w:val="1F1F1F"/>
              </w:rPr>
            </w:pPr>
          </w:p>
        </w:tc>
        <w:tc>
          <w:tcPr>
            <w:tcW w:w="1327" w:type="pct"/>
            <w:hideMark/>
          </w:tcPr>
          <w:p w14:paraId="371FEBFC" w14:textId="77777777" w:rsidR="00756417" w:rsidRPr="0043104F" w:rsidRDefault="00756417">
            <w:pPr>
              <w:rPr>
                <w:color w:val="1F1F1F"/>
              </w:rPr>
            </w:pPr>
            <w:r w:rsidRPr="0043104F">
              <w:rPr>
                <w:color w:val="1F1F1F"/>
                <w:bdr w:val="none" w:sz="0" w:space="0" w:color="auto" w:frame="1"/>
              </w:rPr>
              <w:t>-0.042***</w:t>
            </w:r>
          </w:p>
        </w:tc>
      </w:tr>
      <w:tr w:rsidR="00756417" w:rsidRPr="0043104F" w14:paraId="4491BEDB" w14:textId="77777777" w:rsidTr="00756417">
        <w:tc>
          <w:tcPr>
            <w:tcW w:w="1457" w:type="pct"/>
            <w:hideMark/>
          </w:tcPr>
          <w:p w14:paraId="2DABB004" w14:textId="77777777" w:rsidR="00756417" w:rsidRPr="0043104F" w:rsidRDefault="00756417">
            <w:pPr>
              <w:rPr>
                <w:color w:val="1F1F1F"/>
              </w:rPr>
            </w:pPr>
          </w:p>
        </w:tc>
        <w:tc>
          <w:tcPr>
            <w:tcW w:w="2216" w:type="pct"/>
            <w:hideMark/>
          </w:tcPr>
          <w:p w14:paraId="2E8C628B" w14:textId="77777777" w:rsidR="00756417" w:rsidRPr="0043104F" w:rsidRDefault="00756417">
            <w:pPr>
              <w:rPr>
                <w:sz w:val="20"/>
                <w:szCs w:val="20"/>
              </w:rPr>
            </w:pPr>
          </w:p>
        </w:tc>
        <w:tc>
          <w:tcPr>
            <w:tcW w:w="1327" w:type="pct"/>
            <w:hideMark/>
          </w:tcPr>
          <w:p w14:paraId="5AAD4736" w14:textId="77777777" w:rsidR="00756417" w:rsidRPr="0043104F" w:rsidRDefault="00756417">
            <w:pPr>
              <w:rPr>
                <w:color w:val="1F1F1F"/>
              </w:rPr>
            </w:pPr>
            <w:r w:rsidRPr="0043104F">
              <w:rPr>
                <w:color w:val="1F1F1F"/>
                <w:bdr w:val="none" w:sz="0" w:space="0" w:color="auto" w:frame="1"/>
              </w:rPr>
              <w:t>(-3.68)</w:t>
            </w:r>
          </w:p>
        </w:tc>
      </w:tr>
      <w:tr w:rsidR="00756417" w:rsidRPr="0043104F" w14:paraId="535D2906" w14:textId="77777777" w:rsidTr="00756417">
        <w:tc>
          <w:tcPr>
            <w:tcW w:w="1457" w:type="pct"/>
            <w:hideMark/>
          </w:tcPr>
          <w:p w14:paraId="2653A20A" w14:textId="21DABFDD" w:rsidR="00756417" w:rsidRPr="0043104F" w:rsidRDefault="00756417">
            <w:pPr>
              <w:rPr>
                <w:color w:val="1F1F1F"/>
                <w:lang w:val="vi-VN"/>
              </w:rPr>
            </w:pPr>
            <w:r w:rsidRPr="0043104F">
              <w:rPr>
                <w:rStyle w:val="math-inline"/>
                <w:color w:val="1F1F1F"/>
                <w:bdr w:val="none" w:sz="0" w:space="0" w:color="auto" w:frame="1"/>
              </w:rPr>
              <w:t>CF</w:t>
            </w:r>
          </w:p>
        </w:tc>
        <w:tc>
          <w:tcPr>
            <w:tcW w:w="2216" w:type="pct"/>
            <w:hideMark/>
          </w:tcPr>
          <w:p w14:paraId="717C223C" w14:textId="77777777" w:rsidR="00756417" w:rsidRPr="0043104F" w:rsidRDefault="00756417">
            <w:pPr>
              <w:rPr>
                <w:color w:val="1F1F1F"/>
              </w:rPr>
            </w:pPr>
          </w:p>
        </w:tc>
        <w:tc>
          <w:tcPr>
            <w:tcW w:w="1327" w:type="pct"/>
            <w:hideMark/>
          </w:tcPr>
          <w:p w14:paraId="423A5860" w14:textId="77777777" w:rsidR="00756417" w:rsidRPr="0043104F" w:rsidRDefault="00756417">
            <w:pPr>
              <w:rPr>
                <w:color w:val="1F1F1F"/>
              </w:rPr>
            </w:pPr>
            <w:r w:rsidRPr="0043104F">
              <w:rPr>
                <w:color w:val="1F1F1F"/>
                <w:bdr w:val="none" w:sz="0" w:space="0" w:color="auto" w:frame="1"/>
              </w:rPr>
              <w:t>-0.021**</w:t>
            </w:r>
          </w:p>
        </w:tc>
      </w:tr>
      <w:tr w:rsidR="00756417" w:rsidRPr="0043104F" w14:paraId="3FFEBB8A" w14:textId="77777777" w:rsidTr="00756417">
        <w:tc>
          <w:tcPr>
            <w:tcW w:w="1457" w:type="pct"/>
            <w:hideMark/>
          </w:tcPr>
          <w:p w14:paraId="37FBB654" w14:textId="77777777" w:rsidR="00756417" w:rsidRPr="0043104F" w:rsidRDefault="00756417">
            <w:pPr>
              <w:rPr>
                <w:color w:val="1F1F1F"/>
              </w:rPr>
            </w:pPr>
          </w:p>
        </w:tc>
        <w:tc>
          <w:tcPr>
            <w:tcW w:w="2216" w:type="pct"/>
            <w:hideMark/>
          </w:tcPr>
          <w:p w14:paraId="4E8E849D" w14:textId="77777777" w:rsidR="00756417" w:rsidRPr="0043104F" w:rsidRDefault="00756417">
            <w:pPr>
              <w:rPr>
                <w:sz w:val="20"/>
                <w:szCs w:val="20"/>
              </w:rPr>
            </w:pPr>
          </w:p>
        </w:tc>
        <w:tc>
          <w:tcPr>
            <w:tcW w:w="1327" w:type="pct"/>
            <w:hideMark/>
          </w:tcPr>
          <w:p w14:paraId="4C825B8B" w14:textId="77777777" w:rsidR="00756417" w:rsidRPr="0043104F" w:rsidRDefault="00756417">
            <w:pPr>
              <w:rPr>
                <w:color w:val="1F1F1F"/>
              </w:rPr>
            </w:pPr>
            <w:r w:rsidRPr="0043104F">
              <w:rPr>
                <w:color w:val="1F1F1F"/>
                <w:bdr w:val="none" w:sz="0" w:space="0" w:color="auto" w:frame="1"/>
              </w:rPr>
              <w:t>(-2.15)</w:t>
            </w:r>
          </w:p>
        </w:tc>
      </w:tr>
      <w:tr w:rsidR="00756417" w:rsidRPr="0043104F" w14:paraId="24264B0E" w14:textId="77777777" w:rsidTr="00756417">
        <w:tc>
          <w:tcPr>
            <w:tcW w:w="1457" w:type="pct"/>
            <w:hideMark/>
          </w:tcPr>
          <w:p w14:paraId="2A6D6105" w14:textId="47892F1E" w:rsidR="00756417" w:rsidRPr="0043104F" w:rsidRDefault="0043104F">
            <w:pPr>
              <w:rPr>
                <w:color w:val="1F1F1F"/>
                <w:lang w:val="vi-VN"/>
              </w:rPr>
            </w:pPr>
            <w:r>
              <w:rPr>
                <w:rStyle w:val="math-inline"/>
                <w:color w:val="1F1F1F"/>
                <w:bdr w:val="none" w:sz="0" w:space="0" w:color="auto" w:frame="1"/>
                <w:lang w:val="vi-VN"/>
              </w:rPr>
              <w:t>G</w:t>
            </w:r>
            <w:proofErr w:type="spellStart"/>
            <w:r w:rsidR="00756417" w:rsidRPr="0043104F">
              <w:rPr>
                <w:rStyle w:val="math-inline"/>
                <w:color w:val="1F1F1F"/>
                <w:bdr w:val="none" w:sz="0" w:space="0" w:color="auto" w:frame="1"/>
              </w:rPr>
              <w:t>rowth</w:t>
            </w:r>
            <w:proofErr w:type="spellEnd"/>
          </w:p>
        </w:tc>
        <w:tc>
          <w:tcPr>
            <w:tcW w:w="2216" w:type="pct"/>
            <w:hideMark/>
          </w:tcPr>
          <w:p w14:paraId="412FC606" w14:textId="77777777" w:rsidR="00756417" w:rsidRPr="0043104F" w:rsidRDefault="00756417">
            <w:pPr>
              <w:rPr>
                <w:color w:val="1F1F1F"/>
              </w:rPr>
            </w:pPr>
          </w:p>
        </w:tc>
        <w:tc>
          <w:tcPr>
            <w:tcW w:w="1327" w:type="pct"/>
            <w:hideMark/>
          </w:tcPr>
          <w:p w14:paraId="60CC9969" w14:textId="77777777" w:rsidR="00756417" w:rsidRPr="0043104F" w:rsidRDefault="00756417">
            <w:pPr>
              <w:rPr>
                <w:color w:val="1F1F1F"/>
              </w:rPr>
            </w:pPr>
            <w:r w:rsidRPr="0043104F">
              <w:rPr>
                <w:color w:val="1F1F1F"/>
                <w:bdr w:val="none" w:sz="0" w:space="0" w:color="auto" w:frame="1"/>
              </w:rPr>
              <w:t>0.008*</w:t>
            </w:r>
          </w:p>
        </w:tc>
      </w:tr>
      <w:tr w:rsidR="00756417" w:rsidRPr="0043104F" w14:paraId="1133BC3C" w14:textId="77777777" w:rsidTr="00756417">
        <w:tc>
          <w:tcPr>
            <w:tcW w:w="1457" w:type="pct"/>
            <w:hideMark/>
          </w:tcPr>
          <w:p w14:paraId="6C1A1FDD" w14:textId="77777777" w:rsidR="00756417" w:rsidRPr="0043104F" w:rsidRDefault="00756417">
            <w:pPr>
              <w:rPr>
                <w:color w:val="1F1F1F"/>
              </w:rPr>
            </w:pPr>
          </w:p>
        </w:tc>
        <w:tc>
          <w:tcPr>
            <w:tcW w:w="2216" w:type="pct"/>
            <w:hideMark/>
          </w:tcPr>
          <w:p w14:paraId="414561F0" w14:textId="77777777" w:rsidR="00756417" w:rsidRPr="0043104F" w:rsidRDefault="00756417">
            <w:pPr>
              <w:rPr>
                <w:sz w:val="20"/>
                <w:szCs w:val="20"/>
              </w:rPr>
            </w:pPr>
          </w:p>
        </w:tc>
        <w:tc>
          <w:tcPr>
            <w:tcW w:w="1327" w:type="pct"/>
            <w:hideMark/>
          </w:tcPr>
          <w:p w14:paraId="1DCB0962" w14:textId="77777777" w:rsidR="00756417" w:rsidRPr="0043104F" w:rsidRDefault="00756417">
            <w:pPr>
              <w:rPr>
                <w:color w:val="1F1F1F"/>
              </w:rPr>
            </w:pPr>
            <w:r w:rsidRPr="0043104F">
              <w:rPr>
                <w:color w:val="1F1F1F"/>
                <w:bdr w:val="none" w:sz="0" w:space="0" w:color="auto" w:frame="1"/>
              </w:rPr>
              <w:t>(1.82)</w:t>
            </w:r>
          </w:p>
        </w:tc>
      </w:tr>
      <w:tr w:rsidR="00756417" w:rsidRPr="0043104F" w14:paraId="57A2E149" w14:textId="77777777" w:rsidTr="00756417">
        <w:tc>
          <w:tcPr>
            <w:tcW w:w="1457" w:type="pct"/>
            <w:hideMark/>
          </w:tcPr>
          <w:p w14:paraId="08C91627" w14:textId="4FBD1D13" w:rsidR="00756417" w:rsidRPr="0043104F" w:rsidRDefault="00756417">
            <w:pPr>
              <w:rPr>
                <w:color w:val="1F1F1F"/>
                <w:lang w:val="vi-VN"/>
              </w:rPr>
            </w:pPr>
            <w:r w:rsidRPr="0043104F">
              <w:rPr>
                <w:rStyle w:val="math-inline"/>
                <w:color w:val="1F1F1F"/>
                <w:bdr w:val="none" w:sz="0" w:space="0" w:color="auto" w:frame="1"/>
              </w:rPr>
              <w:t>Age</w:t>
            </w:r>
          </w:p>
        </w:tc>
        <w:tc>
          <w:tcPr>
            <w:tcW w:w="2216" w:type="pct"/>
            <w:hideMark/>
          </w:tcPr>
          <w:p w14:paraId="25638D2B" w14:textId="77777777" w:rsidR="00756417" w:rsidRPr="0043104F" w:rsidRDefault="00756417">
            <w:pPr>
              <w:rPr>
                <w:color w:val="1F1F1F"/>
              </w:rPr>
            </w:pPr>
          </w:p>
        </w:tc>
        <w:tc>
          <w:tcPr>
            <w:tcW w:w="1327" w:type="pct"/>
            <w:hideMark/>
          </w:tcPr>
          <w:p w14:paraId="772B6A88" w14:textId="77777777" w:rsidR="00756417" w:rsidRPr="0043104F" w:rsidRDefault="00756417">
            <w:pPr>
              <w:rPr>
                <w:color w:val="1F1F1F"/>
              </w:rPr>
            </w:pPr>
            <w:r w:rsidRPr="0043104F">
              <w:rPr>
                <w:color w:val="1F1F1F"/>
                <w:bdr w:val="none" w:sz="0" w:space="0" w:color="auto" w:frame="1"/>
              </w:rPr>
              <w:t>-0.004</w:t>
            </w:r>
          </w:p>
        </w:tc>
      </w:tr>
      <w:tr w:rsidR="00756417" w:rsidRPr="0043104F" w14:paraId="49E9D09E" w14:textId="77777777" w:rsidTr="00756417">
        <w:tc>
          <w:tcPr>
            <w:tcW w:w="1457" w:type="pct"/>
            <w:hideMark/>
          </w:tcPr>
          <w:p w14:paraId="1EA98D5B" w14:textId="77777777" w:rsidR="00756417" w:rsidRPr="0043104F" w:rsidRDefault="00756417">
            <w:pPr>
              <w:rPr>
                <w:color w:val="1F1F1F"/>
              </w:rPr>
            </w:pPr>
          </w:p>
        </w:tc>
        <w:tc>
          <w:tcPr>
            <w:tcW w:w="2216" w:type="pct"/>
            <w:hideMark/>
          </w:tcPr>
          <w:p w14:paraId="69A09BBF" w14:textId="77777777" w:rsidR="00756417" w:rsidRPr="0043104F" w:rsidRDefault="00756417">
            <w:pPr>
              <w:rPr>
                <w:sz w:val="20"/>
                <w:szCs w:val="20"/>
              </w:rPr>
            </w:pPr>
          </w:p>
        </w:tc>
        <w:tc>
          <w:tcPr>
            <w:tcW w:w="1327" w:type="pct"/>
            <w:hideMark/>
          </w:tcPr>
          <w:p w14:paraId="5183D75C" w14:textId="77777777" w:rsidR="00756417" w:rsidRPr="0043104F" w:rsidRDefault="00756417">
            <w:pPr>
              <w:rPr>
                <w:color w:val="1F1F1F"/>
              </w:rPr>
            </w:pPr>
            <w:r w:rsidRPr="0043104F">
              <w:rPr>
                <w:color w:val="1F1F1F"/>
                <w:bdr w:val="none" w:sz="0" w:space="0" w:color="auto" w:frame="1"/>
              </w:rPr>
              <w:t>(-0.95)</w:t>
            </w:r>
          </w:p>
        </w:tc>
      </w:tr>
      <w:tr w:rsidR="00756417" w:rsidRPr="0043104F" w14:paraId="0D83B5CE" w14:textId="77777777" w:rsidTr="00756417">
        <w:tc>
          <w:tcPr>
            <w:tcW w:w="1457" w:type="pct"/>
            <w:hideMark/>
          </w:tcPr>
          <w:p w14:paraId="29F52254" w14:textId="77777777" w:rsidR="00756417" w:rsidRPr="0043104F" w:rsidRDefault="00756417">
            <w:pPr>
              <w:rPr>
                <w:color w:val="1F1F1F"/>
              </w:rPr>
            </w:pPr>
            <w:r w:rsidRPr="0043104F">
              <w:rPr>
                <w:color w:val="1F1F1F"/>
                <w:bdr w:val="none" w:sz="0" w:space="0" w:color="auto" w:frame="1"/>
              </w:rPr>
              <w:lastRenderedPageBreak/>
              <w:t>Constant</w:t>
            </w:r>
          </w:p>
        </w:tc>
        <w:tc>
          <w:tcPr>
            <w:tcW w:w="2216" w:type="pct"/>
            <w:hideMark/>
          </w:tcPr>
          <w:p w14:paraId="3C32BDB1" w14:textId="77777777" w:rsidR="00756417" w:rsidRPr="0043104F" w:rsidRDefault="00756417">
            <w:pPr>
              <w:rPr>
                <w:color w:val="1F1F1F"/>
              </w:rPr>
            </w:pPr>
            <w:r w:rsidRPr="0043104F">
              <w:rPr>
                <w:color w:val="1F1F1F"/>
                <w:bdr w:val="none" w:sz="0" w:space="0" w:color="auto" w:frame="1"/>
              </w:rPr>
              <w:t>0.085***</w:t>
            </w:r>
          </w:p>
        </w:tc>
        <w:tc>
          <w:tcPr>
            <w:tcW w:w="1327" w:type="pct"/>
            <w:hideMark/>
          </w:tcPr>
          <w:p w14:paraId="01A40C97" w14:textId="77777777" w:rsidR="00756417" w:rsidRPr="0043104F" w:rsidRDefault="00756417">
            <w:pPr>
              <w:rPr>
                <w:color w:val="1F1F1F"/>
              </w:rPr>
            </w:pPr>
            <w:r w:rsidRPr="0043104F">
              <w:rPr>
                <w:color w:val="1F1F1F"/>
                <w:bdr w:val="none" w:sz="0" w:space="0" w:color="auto" w:frame="1"/>
              </w:rPr>
              <w:t>-0.150**</w:t>
            </w:r>
          </w:p>
        </w:tc>
      </w:tr>
      <w:tr w:rsidR="00756417" w:rsidRPr="0043104F" w14:paraId="54FF5F48" w14:textId="77777777" w:rsidTr="00756417">
        <w:tc>
          <w:tcPr>
            <w:tcW w:w="1457" w:type="pct"/>
            <w:hideMark/>
          </w:tcPr>
          <w:p w14:paraId="10E2551D" w14:textId="77777777" w:rsidR="00756417" w:rsidRPr="0043104F" w:rsidRDefault="00756417">
            <w:pPr>
              <w:rPr>
                <w:color w:val="1F1F1F"/>
              </w:rPr>
            </w:pPr>
          </w:p>
        </w:tc>
        <w:tc>
          <w:tcPr>
            <w:tcW w:w="2216" w:type="pct"/>
            <w:hideMark/>
          </w:tcPr>
          <w:p w14:paraId="55E7FE22" w14:textId="77777777" w:rsidR="00756417" w:rsidRPr="0043104F" w:rsidRDefault="00756417">
            <w:pPr>
              <w:rPr>
                <w:color w:val="1F1F1F"/>
              </w:rPr>
            </w:pPr>
            <w:r w:rsidRPr="0043104F">
              <w:rPr>
                <w:color w:val="1F1F1F"/>
                <w:bdr w:val="none" w:sz="0" w:space="0" w:color="auto" w:frame="1"/>
              </w:rPr>
              <w:t>(6.20)</w:t>
            </w:r>
          </w:p>
        </w:tc>
        <w:tc>
          <w:tcPr>
            <w:tcW w:w="1327" w:type="pct"/>
            <w:hideMark/>
          </w:tcPr>
          <w:p w14:paraId="400D3036" w14:textId="77777777" w:rsidR="00756417" w:rsidRPr="0043104F" w:rsidRDefault="00756417">
            <w:pPr>
              <w:rPr>
                <w:color w:val="1F1F1F"/>
              </w:rPr>
            </w:pPr>
            <w:r w:rsidRPr="0043104F">
              <w:rPr>
                <w:color w:val="1F1F1F"/>
                <w:bdr w:val="none" w:sz="0" w:space="0" w:color="auto" w:frame="1"/>
              </w:rPr>
              <w:t>(-2.15)</w:t>
            </w:r>
          </w:p>
        </w:tc>
      </w:tr>
      <w:tr w:rsidR="00756417" w:rsidRPr="0043104F" w14:paraId="65F08C84" w14:textId="77777777" w:rsidTr="00756417">
        <w:tc>
          <w:tcPr>
            <w:tcW w:w="1457" w:type="pct"/>
            <w:hideMark/>
          </w:tcPr>
          <w:p w14:paraId="63F73AED" w14:textId="77777777" w:rsidR="00756417" w:rsidRPr="0043104F" w:rsidRDefault="00756417">
            <w:pPr>
              <w:rPr>
                <w:color w:val="1F1F1F"/>
              </w:rPr>
            </w:pPr>
            <w:r w:rsidRPr="0043104F">
              <w:rPr>
                <w:color w:val="1F1F1F"/>
                <w:bdr w:val="none" w:sz="0" w:space="0" w:color="auto" w:frame="1"/>
              </w:rPr>
              <w:t>Firm FE</w:t>
            </w:r>
          </w:p>
        </w:tc>
        <w:tc>
          <w:tcPr>
            <w:tcW w:w="2216" w:type="pct"/>
            <w:hideMark/>
          </w:tcPr>
          <w:p w14:paraId="1E9C73E9" w14:textId="77777777" w:rsidR="00756417" w:rsidRPr="0043104F" w:rsidRDefault="00756417">
            <w:pPr>
              <w:rPr>
                <w:color w:val="1F1F1F"/>
              </w:rPr>
            </w:pPr>
            <w:r w:rsidRPr="0043104F">
              <w:rPr>
                <w:color w:val="1F1F1F"/>
                <w:bdr w:val="none" w:sz="0" w:space="0" w:color="auto" w:frame="1"/>
              </w:rPr>
              <w:t>Yes</w:t>
            </w:r>
          </w:p>
        </w:tc>
        <w:tc>
          <w:tcPr>
            <w:tcW w:w="1327" w:type="pct"/>
            <w:hideMark/>
          </w:tcPr>
          <w:p w14:paraId="73177501" w14:textId="77777777" w:rsidR="00756417" w:rsidRPr="0043104F" w:rsidRDefault="00756417">
            <w:pPr>
              <w:rPr>
                <w:color w:val="1F1F1F"/>
              </w:rPr>
            </w:pPr>
            <w:r w:rsidRPr="0043104F">
              <w:rPr>
                <w:color w:val="1F1F1F"/>
                <w:bdr w:val="none" w:sz="0" w:space="0" w:color="auto" w:frame="1"/>
              </w:rPr>
              <w:t>Yes</w:t>
            </w:r>
          </w:p>
        </w:tc>
      </w:tr>
      <w:tr w:rsidR="00756417" w:rsidRPr="0043104F" w14:paraId="2708BEDF" w14:textId="77777777" w:rsidTr="00756417">
        <w:tc>
          <w:tcPr>
            <w:tcW w:w="1457" w:type="pct"/>
            <w:hideMark/>
          </w:tcPr>
          <w:p w14:paraId="584B8608" w14:textId="77777777" w:rsidR="00756417" w:rsidRPr="0043104F" w:rsidRDefault="00756417">
            <w:pPr>
              <w:rPr>
                <w:color w:val="1F1F1F"/>
              </w:rPr>
            </w:pPr>
            <w:r w:rsidRPr="0043104F">
              <w:rPr>
                <w:color w:val="1F1F1F"/>
                <w:bdr w:val="none" w:sz="0" w:space="0" w:color="auto" w:frame="1"/>
              </w:rPr>
              <w:t>Year FE</w:t>
            </w:r>
          </w:p>
        </w:tc>
        <w:tc>
          <w:tcPr>
            <w:tcW w:w="2216" w:type="pct"/>
            <w:hideMark/>
          </w:tcPr>
          <w:p w14:paraId="6461D831" w14:textId="77777777" w:rsidR="00756417" w:rsidRPr="0043104F" w:rsidRDefault="00756417">
            <w:pPr>
              <w:rPr>
                <w:color w:val="1F1F1F"/>
              </w:rPr>
            </w:pPr>
            <w:r w:rsidRPr="0043104F">
              <w:rPr>
                <w:color w:val="1F1F1F"/>
                <w:bdr w:val="none" w:sz="0" w:space="0" w:color="auto" w:frame="1"/>
              </w:rPr>
              <w:t>Yes</w:t>
            </w:r>
          </w:p>
        </w:tc>
        <w:tc>
          <w:tcPr>
            <w:tcW w:w="1327" w:type="pct"/>
            <w:hideMark/>
          </w:tcPr>
          <w:p w14:paraId="18AFB03C" w14:textId="77777777" w:rsidR="00756417" w:rsidRPr="0043104F" w:rsidRDefault="00756417">
            <w:pPr>
              <w:rPr>
                <w:color w:val="1F1F1F"/>
              </w:rPr>
            </w:pPr>
            <w:r w:rsidRPr="0043104F">
              <w:rPr>
                <w:color w:val="1F1F1F"/>
                <w:bdr w:val="none" w:sz="0" w:space="0" w:color="auto" w:frame="1"/>
              </w:rPr>
              <w:t>Yes</w:t>
            </w:r>
          </w:p>
        </w:tc>
      </w:tr>
      <w:tr w:rsidR="00756417" w:rsidRPr="0043104F" w14:paraId="0D2F719A" w14:textId="77777777" w:rsidTr="00756417">
        <w:tc>
          <w:tcPr>
            <w:tcW w:w="1457" w:type="pct"/>
            <w:hideMark/>
          </w:tcPr>
          <w:p w14:paraId="158F3905" w14:textId="77777777" w:rsidR="00756417" w:rsidRPr="0043104F" w:rsidRDefault="00756417">
            <w:pPr>
              <w:rPr>
                <w:color w:val="1F1F1F"/>
              </w:rPr>
            </w:pPr>
            <w:r w:rsidRPr="0043104F">
              <w:rPr>
                <w:color w:val="1F1F1F"/>
                <w:bdr w:val="none" w:sz="0" w:space="0" w:color="auto" w:frame="1"/>
              </w:rPr>
              <w:t>Observations</w:t>
            </w:r>
          </w:p>
        </w:tc>
        <w:tc>
          <w:tcPr>
            <w:tcW w:w="2216" w:type="pct"/>
            <w:hideMark/>
          </w:tcPr>
          <w:p w14:paraId="328B3DA6" w14:textId="77777777" w:rsidR="00756417" w:rsidRPr="0043104F" w:rsidRDefault="00756417">
            <w:pPr>
              <w:rPr>
                <w:color w:val="1F1F1F"/>
              </w:rPr>
            </w:pPr>
            <w:r w:rsidRPr="0043104F">
              <w:rPr>
                <w:color w:val="1F1F1F"/>
                <w:bdr w:val="none" w:sz="0" w:space="0" w:color="auto" w:frame="1"/>
              </w:rPr>
              <w:t>5,420</w:t>
            </w:r>
          </w:p>
        </w:tc>
        <w:tc>
          <w:tcPr>
            <w:tcW w:w="1327" w:type="pct"/>
            <w:hideMark/>
          </w:tcPr>
          <w:p w14:paraId="22C8D210" w14:textId="77777777" w:rsidR="00756417" w:rsidRPr="0043104F" w:rsidRDefault="00756417">
            <w:pPr>
              <w:rPr>
                <w:color w:val="1F1F1F"/>
              </w:rPr>
            </w:pPr>
            <w:r w:rsidRPr="0043104F">
              <w:rPr>
                <w:color w:val="1F1F1F"/>
                <w:bdr w:val="none" w:sz="0" w:space="0" w:color="auto" w:frame="1"/>
              </w:rPr>
              <w:t>5,420</w:t>
            </w:r>
          </w:p>
        </w:tc>
      </w:tr>
      <w:tr w:rsidR="00756417" w:rsidRPr="0043104F" w14:paraId="6537D3AA" w14:textId="77777777" w:rsidTr="00756417">
        <w:tc>
          <w:tcPr>
            <w:tcW w:w="1457" w:type="pct"/>
            <w:hideMark/>
          </w:tcPr>
          <w:p w14:paraId="7025E6DA" w14:textId="71103FD3" w:rsidR="00756417" w:rsidRPr="0043104F" w:rsidRDefault="00756417">
            <w:pPr>
              <w:rPr>
                <w:color w:val="1F1F1F"/>
              </w:rPr>
            </w:pPr>
            <w:r w:rsidRPr="0043104F">
              <w:rPr>
                <w:color w:val="1F1F1F"/>
                <w:bdr w:val="none" w:sz="0" w:space="0" w:color="auto" w:frame="1"/>
              </w:rPr>
              <w:t xml:space="preserve">Adjusted </w:t>
            </w:r>
            <m:oMath>
              <m:sSup>
                <m:sSupPr>
                  <m:ctrlPr>
                    <w:rPr>
                      <w:rFonts w:ascii="Cambria Math" w:hAnsi="Cambria Math"/>
                      <w:color w:val="1F1F1F"/>
                    </w:rPr>
                  </m:ctrlPr>
                </m:sSupPr>
                <m:e>
                  <m:r>
                    <w:rPr>
                      <w:rFonts w:ascii="Cambria Math" w:hAnsi="Cambria Math"/>
                      <w:color w:val="1F1F1F"/>
                    </w:rPr>
                    <m:t>R</m:t>
                  </m:r>
                </m:e>
                <m:sup>
                  <m:r>
                    <w:rPr>
                      <w:rFonts w:ascii="Cambria Math" w:hAnsi="Cambria Math"/>
                      <w:color w:val="1F1F1F"/>
                    </w:rPr>
                    <m:t>2</m:t>
                  </m:r>
                </m:sup>
              </m:sSup>
            </m:oMath>
          </w:p>
        </w:tc>
        <w:tc>
          <w:tcPr>
            <w:tcW w:w="2216" w:type="pct"/>
            <w:hideMark/>
          </w:tcPr>
          <w:p w14:paraId="79162517" w14:textId="77777777" w:rsidR="00756417" w:rsidRPr="0043104F" w:rsidRDefault="00756417">
            <w:pPr>
              <w:rPr>
                <w:color w:val="1F1F1F"/>
              </w:rPr>
            </w:pPr>
            <w:r w:rsidRPr="0043104F">
              <w:rPr>
                <w:color w:val="1F1F1F"/>
                <w:bdr w:val="none" w:sz="0" w:space="0" w:color="auto" w:frame="1"/>
              </w:rPr>
              <w:t>0.315</w:t>
            </w:r>
          </w:p>
        </w:tc>
        <w:tc>
          <w:tcPr>
            <w:tcW w:w="1327" w:type="pct"/>
            <w:hideMark/>
          </w:tcPr>
          <w:p w14:paraId="6199D2C6" w14:textId="77777777" w:rsidR="00756417" w:rsidRPr="0043104F" w:rsidRDefault="00756417">
            <w:pPr>
              <w:rPr>
                <w:color w:val="1F1F1F"/>
              </w:rPr>
            </w:pPr>
            <w:r w:rsidRPr="0043104F">
              <w:rPr>
                <w:color w:val="1F1F1F"/>
                <w:bdr w:val="none" w:sz="0" w:space="0" w:color="auto" w:frame="1"/>
              </w:rPr>
              <w:t>0.428</w:t>
            </w:r>
          </w:p>
        </w:tc>
      </w:tr>
    </w:tbl>
    <w:p w14:paraId="7F51D00C" w14:textId="59B06760" w:rsidR="00467A50" w:rsidRPr="0043104F" w:rsidRDefault="00756417" w:rsidP="00D34D93">
      <w:pPr>
        <w:pStyle w:val="Heading2"/>
        <w:tabs>
          <w:tab w:val="left" w:pos="792"/>
        </w:tabs>
        <w:spacing w:before="240" w:line="360" w:lineRule="auto"/>
        <w:ind w:left="0" w:right="234"/>
        <w:rPr>
          <w:b w:val="0"/>
          <w:bCs w:val="0"/>
          <w:i/>
          <w:iCs/>
          <w:lang w:val="vi-VN"/>
        </w:rPr>
      </w:pPr>
      <w:r w:rsidRPr="0043104F">
        <w:rPr>
          <w:b w:val="0"/>
          <w:bCs w:val="0"/>
          <w:i/>
          <w:iCs/>
          <w:lang w:val="vi-VN"/>
        </w:rPr>
        <w:t>(Note: The table presents the OLS regression estimates for the effect of corporate digitalization on trade credit access.)</w:t>
      </w:r>
    </w:p>
    <w:p w14:paraId="255A9B9F" w14:textId="77777777" w:rsidR="00467A50" w:rsidRPr="00D40F6B" w:rsidRDefault="00467A50" w:rsidP="00D40F6B">
      <w:pPr>
        <w:spacing w:before="120" w:after="120" w:line="360" w:lineRule="auto"/>
        <w:ind w:right="234"/>
        <w:jc w:val="both"/>
        <w:rPr>
          <w:b/>
          <w:bCs/>
        </w:rPr>
      </w:pPr>
      <w:r w:rsidRPr="00D40F6B">
        <w:rPr>
          <w:b/>
          <w:bCs/>
        </w:rPr>
        <w:t>4.3. Robustness tests</w:t>
      </w:r>
    </w:p>
    <w:p w14:paraId="2010E753" w14:textId="77777777" w:rsidR="00467A50" w:rsidRPr="00D40F6B" w:rsidRDefault="00467A50" w:rsidP="00D40F6B">
      <w:pPr>
        <w:spacing w:before="120" w:after="120" w:line="360" w:lineRule="auto"/>
        <w:ind w:right="234"/>
        <w:jc w:val="both"/>
        <w:rPr>
          <w:b/>
          <w:bCs/>
        </w:rPr>
      </w:pPr>
      <w:r w:rsidRPr="00D40F6B">
        <w:rPr>
          <w:b/>
          <w:bCs/>
        </w:rPr>
        <w:t>4.3.1. Substituting core variables</w:t>
      </w:r>
    </w:p>
    <w:p w14:paraId="43871659" w14:textId="1623488E" w:rsidR="00467A50" w:rsidRPr="00467A50" w:rsidRDefault="00F25860" w:rsidP="00467A50">
      <w:pPr>
        <w:pStyle w:val="Heading2"/>
        <w:tabs>
          <w:tab w:val="left" w:pos="792"/>
        </w:tabs>
        <w:spacing w:before="240" w:line="360" w:lineRule="auto"/>
        <w:ind w:left="0" w:right="234"/>
        <w:rPr>
          <w:b w:val="0"/>
          <w:bCs w:val="0"/>
          <w:lang w:val="vi-VN"/>
        </w:rPr>
      </w:pPr>
      <w:r w:rsidRPr="00F25860">
        <w:rPr>
          <w:b w:val="0"/>
          <w:bCs w:val="0"/>
          <w:lang w:val="vi-VN"/>
        </w:rPr>
        <w:t>To make sure that our baseline results aren't just products of the particular measurement techniques applied to our main variables</w:t>
      </w:r>
      <w:r w:rsidR="00467A50" w:rsidRPr="00467A50">
        <w:rPr>
          <w:b w:val="0"/>
          <w:bCs w:val="0"/>
          <w:lang w:val="vi-VN"/>
        </w:rPr>
        <w:t>, we conduct robustness checks by substituting the proxies for both trade credit and corporate digitalization.</w:t>
      </w:r>
    </w:p>
    <w:p w14:paraId="30711AD7" w14:textId="64A7E8BB" w:rsidR="00467A50" w:rsidRPr="00467A50" w:rsidRDefault="00F25860" w:rsidP="00467A50">
      <w:pPr>
        <w:pStyle w:val="Heading2"/>
        <w:tabs>
          <w:tab w:val="left" w:pos="792"/>
        </w:tabs>
        <w:spacing w:before="240" w:line="360" w:lineRule="auto"/>
        <w:ind w:left="0" w:right="234"/>
        <w:rPr>
          <w:b w:val="0"/>
          <w:bCs w:val="0"/>
          <w:lang w:val="vi-VN"/>
        </w:rPr>
      </w:pPr>
      <w:r w:rsidRPr="00F25860">
        <w:rPr>
          <w:b w:val="0"/>
          <w:bCs w:val="0"/>
          <w:lang w:val="vi-VN"/>
        </w:rPr>
        <w:t xml:space="preserve">First, we substitute a different metric, TC2, for our dependent variable, trade credit access (TC). TC2 is defined as the ratio of accounts payable to the cost of goods sold (COGS), in accordance with Garcia-Teruel and Martinez-Solano (2010). Although the baseline scale </w:t>
      </w:r>
      <w:r w:rsidR="00467A50" w:rsidRPr="00467A50">
        <w:rPr>
          <w:b w:val="0"/>
          <w:bCs w:val="0"/>
          <w:lang w:val="vi-VN"/>
        </w:rPr>
        <w:t>trade credit by total assets to reflect capital structure, TC2 captures the duration of supplier financing and the firm's payment behavior relative to its direct operating costs.</w:t>
      </w:r>
    </w:p>
    <w:p w14:paraId="7E1F8105" w14:textId="20756586"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 xml:space="preserve">Second, we address potential measurement errors in our independent variable. The raw frequency of digitalization-related keywords might be inherently biased by the overall length of the firm's annual report; larger firms or more verbose management teams might naturally use more words, inflating the DIGIT score. To mitigate this document-length bias, we construct an alternative independent variable, DIGIT_Rel, following the methodological </w:t>
      </w:r>
      <w:r w:rsidR="00F25860" w:rsidRPr="00F25860">
        <w:rPr>
          <w:b w:val="0"/>
          <w:bCs w:val="0"/>
          <w:lang w:val="vi-VN"/>
        </w:rPr>
        <w:t>suggestions made by Hassan et al. (2019) and Loughran and McDonald (2011). For ease of interpretation, DIGIT_Rel is computed by dividing the raw frequency of digitalization keywords by the entire number of words in the MD&amp;A section and then multiplying the result by 1,000</w:t>
      </w:r>
      <w:r w:rsidRPr="00467A50">
        <w:rPr>
          <w:b w:val="0"/>
          <w:bCs w:val="0"/>
          <w:lang w:val="vi-VN"/>
        </w:rPr>
        <w:t>.</w:t>
      </w:r>
    </w:p>
    <w:p w14:paraId="19A591A2" w14:textId="1A42BE3A" w:rsidR="00467A50" w:rsidRPr="00467A50" w:rsidRDefault="00F25860" w:rsidP="00467A50">
      <w:pPr>
        <w:pStyle w:val="Heading2"/>
        <w:tabs>
          <w:tab w:val="left" w:pos="792"/>
        </w:tabs>
        <w:spacing w:before="240" w:line="360" w:lineRule="auto"/>
        <w:ind w:left="0" w:right="234"/>
        <w:rPr>
          <w:b w:val="0"/>
          <w:bCs w:val="0"/>
          <w:lang w:val="vi-VN"/>
        </w:rPr>
      </w:pPr>
      <w:r w:rsidRPr="00F25860">
        <w:rPr>
          <w:b w:val="0"/>
          <w:bCs w:val="0"/>
          <w:lang w:val="vi-VN"/>
        </w:rPr>
        <w:t>Using these new proxies, we re-estimate our baseline fixed-effects model. Table 4 presents the regression results</w:t>
      </w:r>
      <w:r w:rsidR="00467A50" w:rsidRPr="00467A50">
        <w:rPr>
          <w:b w:val="0"/>
          <w:bCs w:val="0"/>
          <w:lang w:val="vi-VN"/>
        </w:rPr>
        <w:t>.</w:t>
      </w:r>
    </w:p>
    <w:p w14:paraId="7FD0AE38" w14:textId="4C7693D8" w:rsidR="00467A50" w:rsidRPr="000D5A18" w:rsidRDefault="00467A50" w:rsidP="000D5A18">
      <w:pPr>
        <w:pStyle w:val="Heading2"/>
        <w:spacing w:before="6" w:line="360" w:lineRule="auto"/>
        <w:ind w:left="4107" w:right="234" w:hanging="4107"/>
        <w:jc w:val="left"/>
      </w:pPr>
      <w:r w:rsidRPr="000D5A18">
        <w:t>Table 4. Robustness test: Substituting core variables</w:t>
      </w:r>
    </w:p>
    <w:tbl>
      <w:tblPr>
        <w:tblStyle w:val="TableGrid"/>
        <w:tblW w:w="4890" w:type="pct"/>
        <w:tblLook w:val="04A0" w:firstRow="1" w:lastRow="0" w:firstColumn="1" w:lastColumn="0" w:noHBand="0" w:noVBand="1"/>
      </w:tblPr>
      <w:tblGrid>
        <w:gridCol w:w="3842"/>
        <w:gridCol w:w="2197"/>
        <w:gridCol w:w="2197"/>
        <w:gridCol w:w="1965"/>
      </w:tblGrid>
      <w:tr w:rsidR="00467A50" w:rsidRPr="00467A50" w14:paraId="0040992B" w14:textId="77777777" w:rsidTr="000D5A18">
        <w:tc>
          <w:tcPr>
            <w:tcW w:w="1883" w:type="pct"/>
            <w:hideMark/>
          </w:tcPr>
          <w:p w14:paraId="03B8874B" w14:textId="77777777" w:rsidR="00467A50" w:rsidRPr="00467A50" w:rsidRDefault="00467A50" w:rsidP="00467A50">
            <w:pPr>
              <w:pStyle w:val="Heading2"/>
              <w:tabs>
                <w:tab w:val="left" w:pos="792"/>
              </w:tabs>
              <w:spacing w:before="240" w:line="360" w:lineRule="auto"/>
              <w:ind w:left="0" w:right="234"/>
              <w:rPr>
                <w:lang w:val="vi-VN"/>
              </w:rPr>
            </w:pPr>
            <w:r w:rsidRPr="00467A50">
              <w:rPr>
                <w:lang w:val="vi-VN"/>
              </w:rPr>
              <w:t>Variables</w:t>
            </w:r>
          </w:p>
        </w:tc>
        <w:tc>
          <w:tcPr>
            <w:tcW w:w="1077" w:type="pct"/>
            <w:hideMark/>
          </w:tcPr>
          <w:p w14:paraId="592AFFC4" w14:textId="77777777" w:rsidR="00467A50" w:rsidRPr="00467A50" w:rsidRDefault="00467A50" w:rsidP="00467A50">
            <w:pPr>
              <w:pStyle w:val="Heading2"/>
              <w:tabs>
                <w:tab w:val="left" w:pos="792"/>
              </w:tabs>
              <w:spacing w:before="240" w:line="360" w:lineRule="auto"/>
              <w:ind w:left="0" w:right="234"/>
              <w:rPr>
                <w:lang w:val="vi-VN"/>
              </w:rPr>
            </w:pPr>
            <w:r w:rsidRPr="00467A50">
              <w:rPr>
                <w:lang w:val="vi-VN"/>
              </w:rPr>
              <w:t>(1) TC2</w:t>
            </w:r>
          </w:p>
        </w:tc>
        <w:tc>
          <w:tcPr>
            <w:tcW w:w="1077" w:type="pct"/>
            <w:hideMark/>
          </w:tcPr>
          <w:p w14:paraId="61A2F2E5" w14:textId="77777777" w:rsidR="00467A50" w:rsidRPr="00467A50" w:rsidRDefault="00467A50" w:rsidP="00467A50">
            <w:pPr>
              <w:pStyle w:val="Heading2"/>
              <w:tabs>
                <w:tab w:val="left" w:pos="792"/>
              </w:tabs>
              <w:spacing w:before="240" w:line="360" w:lineRule="auto"/>
              <w:ind w:left="0" w:right="234"/>
              <w:rPr>
                <w:lang w:val="vi-VN"/>
              </w:rPr>
            </w:pPr>
            <w:r w:rsidRPr="00467A50">
              <w:rPr>
                <w:lang w:val="vi-VN"/>
              </w:rPr>
              <w:t>(2) TC</w:t>
            </w:r>
          </w:p>
        </w:tc>
        <w:tc>
          <w:tcPr>
            <w:tcW w:w="963" w:type="pct"/>
            <w:hideMark/>
          </w:tcPr>
          <w:p w14:paraId="434D1C39" w14:textId="77777777" w:rsidR="00467A50" w:rsidRPr="00467A50" w:rsidRDefault="00467A50" w:rsidP="00467A50">
            <w:pPr>
              <w:pStyle w:val="Heading2"/>
              <w:tabs>
                <w:tab w:val="left" w:pos="792"/>
              </w:tabs>
              <w:spacing w:before="240" w:line="360" w:lineRule="auto"/>
              <w:ind w:left="0" w:right="234"/>
              <w:rPr>
                <w:lang w:val="vi-VN"/>
              </w:rPr>
            </w:pPr>
            <w:r w:rsidRPr="00467A50">
              <w:rPr>
                <w:lang w:val="vi-VN"/>
              </w:rPr>
              <w:t>(3) TC2</w:t>
            </w:r>
          </w:p>
        </w:tc>
      </w:tr>
      <w:tr w:rsidR="00467A50" w:rsidRPr="00467A50" w14:paraId="09300FDE" w14:textId="77777777" w:rsidTr="000D5A18">
        <w:tc>
          <w:tcPr>
            <w:tcW w:w="1883" w:type="pct"/>
            <w:hideMark/>
          </w:tcPr>
          <w:p w14:paraId="4940ADA9"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DIGIT</w:t>
            </w:r>
          </w:p>
        </w:tc>
        <w:tc>
          <w:tcPr>
            <w:tcW w:w="1077" w:type="pct"/>
            <w:hideMark/>
          </w:tcPr>
          <w:p w14:paraId="5152F839"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0.021***</w:t>
            </w:r>
          </w:p>
        </w:tc>
        <w:tc>
          <w:tcPr>
            <w:tcW w:w="1077" w:type="pct"/>
            <w:hideMark/>
          </w:tcPr>
          <w:p w14:paraId="77098409" w14:textId="77777777" w:rsidR="00467A50" w:rsidRPr="00467A50" w:rsidRDefault="00467A50" w:rsidP="00467A50">
            <w:pPr>
              <w:pStyle w:val="Heading2"/>
              <w:tabs>
                <w:tab w:val="left" w:pos="792"/>
              </w:tabs>
              <w:spacing w:before="240" w:line="360" w:lineRule="auto"/>
              <w:ind w:left="0" w:right="234"/>
              <w:rPr>
                <w:b w:val="0"/>
                <w:bCs w:val="0"/>
                <w:lang w:val="vi-VN"/>
              </w:rPr>
            </w:pPr>
          </w:p>
        </w:tc>
        <w:tc>
          <w:tcPr>
            <w:tcW w:w="963" w:type="pct"/>
            <w:hideMark/>
          </w:tcPr>
          <w:p w14:paraId="431B4B99" w14:textId="77777777" w:rsidR="00467A50" w:rsidRPr="00467A50" w:rsidRDefault="00467A50" w:rsidP="00467A50">
            <w:pPr>
              <w:pStyle w:val="Heading2"/>
              <w:tabs>
                <w:tab w:val="left" w:pos="792"/>
              </w:tabs>
              <w:spacing w:before="240" w:line="360" w:lineRule="auto"/>
              <w:ind w:left="0" w:right="234"/>
              <w:rPr>
                <w:b w:val="0"/>
                <w:bCs w:val="0"/>
                <w:lang w:val="vi-VN"/>
              </w:rPr>
            </w:pPr>
          </w:p>
        </w:tc>
      </w:tr>
      <w:tr w:rsidR="00467A50" w:rsidRPr="00467A50" w14:paraId="0F462534" w14:textId="77777777" w:rsidTr="000D5A18">
        <w:tc>
          <w:tcPr>
            <w:tcW w:w="1883" w:type="pct"/>
            <w:hideMark/>
          </w:tcPr>
          <w:p w14:paraId="13DD5E9D" w14:textId="77777777" w:rsidR="00467A50" w:rsidRPr="000D5A18" w:rsidRDefault="00467A50" w:rsidP="00467A50">
            <w:pPr>
              <w:pStyle w:val="Heading2"/>
              <w:tabs>
                <w:tab w:val="left" w:pos="792"/>
              </w:tabs>
              <w:spacing w:before="240" w:line="360" w:lineRule="auto"/>
              <w:ind w:left="0" w:right="234"/>
              <w:rPr>
                <w:b w:val="0"/>
                <w:bCs w:val="0"/>
                <w:i/>
                <w:iCs/>
                <w:lang w:val="vi-VN"/>
              </w:rPr>
            </w:pPr>
          </w:p>
        </w:tc>
        <w:tc>
          <w:tcPr>
            <w:tcW w:w="1077" w:type="pct"/>
            <w:hideMark/>
          </w:tcPr>
          <w:p w14:paraId="2E8371E5"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(3.95)</w:t>
            </w:r>
          </w:p>
        </w:tc>
        <w:tc>
          <w:tcPr>
            <w:tcW w:w="1077" w:type="pct"/>
            <w:hideMark/>
          </w:tcPr>
          <w:p w14:paraId="03B53543" w14:textId="77777777" w:rsidR="00467A50" w:rsidRPr="00467A50" w:rsidRDefault="00467A50" w:rsidP="00467A50">
            <w:pPr>
              <w:pStyle w:val="Heading2"/>
              <w:tabs>
                <w:tab w:val="left" w:pos="792"/>
              </w:tabs>
              <w:spacing w:before="240" w:line="360" w:lineRule="auto"/>
              <w:ind w:left="0" w:right="234"/>
              <w:rPr>
                <w:b w:val="0"/>
                <w:bCs w:val="0"/>
                <w:lang w:val="vi-VN"/>
              </w:rPr>
            </w:pPr>
          </w:p>
        </w:tc>
        <w:tc>
          <w:tcPr>
            <w:tcW w:w="963" w:type="pct"/>
            <w:hideMark/>
          </w:tcPr>
          <w:p w14:paraId="59C9015D" w14:textId="77777777" w:rsidR="00467A50" w:rsidRPr="00467A50" w:rsidRDefault="00467A50" w:rsidP="00467A50">
            <w:pPr>
              <w:pStyle w:val="Heading2"/>
              <w:tabs>
                <w:tab w:val="left" w:pos="792"/>
              </w:tabs>
              <w:spacing w:before="240" w:line="360" w:lineRule="auto"/>
              <w:ind w:left="0" w:right="234"/>
              <w:rPr>
                <w:b w:val="0"/>
                <w:bCs w:val="0"/>
                <w:lang w:val="vi-VN"/>
              </w:rPr>
            </w:pPr>
          </w:p>
        </w:tc>
      </w:tr>
      <w:tr w:rsidR="00467A50" w:rsidRPr="00467A50" w14:paraId="06D43FE9" w14:textId="77777777" w:rsidTr="000D5A18">
        <w:tc>
          <w:tcPr>
            <w:tcW w:w="1883" w:type="pct"/>
            <w:hideMark/>
          </w:tcPr>
          <w:p w14:paraId="110DFC42"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DIGIT_Rel</w:t>
            </w:r>
          </w:p>
        </w:tc>
        <w:tc>
          <w:tcPr>
            <w:tcW w:w="1077" w:type="pct"/>
            <w:hideMark/>
          </w:tcPr>
          <w:p w14:paraId="60932493" w14:textId="77777777" w:rsidR="00467A50" w:rsidRPr="00467A50" w:rsidRDefault="00467A50" w:rsidP="00467A50">
            <w:pPr>
              <w:pStyle w:val="Heading2"/>
              <w:tabs>
                <w:tab w:val="left" w:pos="792"/>
              </w:tabs>
              <w:spacing w:before="240" w:line="360" w:lineRule="auto"/>
              <w:ind w:left="0" w:right="234"/>
              <w:rPr>
                <w:b w:val="0"/>
                <w:bCs w:val="0"/>
                <w:lang w:val="vi-VN"/>
              </w:rPr>
            </w:pPr>
          </w:p>
        </w:tc>
        <w:tc>
          <w:tcPr>
            <w:tcW w:w="1077" w:type="pct"/>
            <w:hideMark/>
          </w:tcPr>
          <w:p w14:paraId="07EF08E0"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0.012***</w:t>
            </w:r>
          </w:p>
        </w:tc>
        <w:tc>
          <w:tcPr>
            <w:tcW w:w="963" w:type="pct"/>
            <w:hideMark/>
          </w:tcPr>
          <w:p w14:paraId="78343B4F"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0.018***</w:t>
            </w:r>
          </w:p>
        </w:tc>
      </w:tr>
      <w:tr w:rsidR="00467A50" w:rsidRPr="00467A50" w14:paraId="23E43EB7" w14:textId="77777777" w:rsidTr="000D5A18">
        <w:tc>
          <w:tcPr>
            <w:tcW w:w="1883" w:type="pct"/>
            <w:hideMark/>
          </w:tcPr>
          <w:p w14:paraId="17A48B03" w14:textId="77777777" w:rsidR="00467A50" w:rsidRPr="000D5A18" w:rsidRDefault="00467A50" w:rsidP="00467A50">
            <w:pPr>
              <w:pStyle w:val="Heading2"/>
              <w:tabs>
                <w:tab w:val="left" w:pos="792"/>
              </w:tabs>
              <w:spacing w:before="240" w:line="360" w:lineRule="auto"/>
              <w:ind w:left="0" w:right="234"/>
              <w:rPr>
                <w:b w:val="0"/>
                <w:bCs w:val="0"/>
                <w:i/>
                <w:iCs/>
                <w:lang w:val="vi-VN"/>
              </w:rPr>
            </w:pPr>
          </w:p>
        </w:tc>
        <w:tc>
          <w:tcPr>
            <w:tcW w:w="1077" w:type="pct"/>
            <w:hideMark/>
          </w:tcPr>
          <w:p w14:paraId="1E75C2DD" w14:textId="77777777" w:rsidR="00467A50" w:rsidRPr="00467A50" w:rsidRDefault="00467A50" w:rsidP="00467A50">
            <w:pPr>
              <w:pStyle w:val="Heading2"/>
              <w:tabs>
                <w:tab w:val="left" w:pos="792"/>
              </w:tabs>
              <w:spacing w:before="240" w:line="360" w:lineRule="auto"/>
              <w:ind w:left="0" w:right="234"/>
              <w:rPr>
                <w:b w:val="0"/>
                <w:bCs w:val="0"/>
                <w:lang w:val="vi-VN"/>
              </w:rPr>
            </w:pPr>
          </w:p>
        </w:tc>
        <w:tc>
          <w:tcPr>
            <w:tcW w:w="1077" w:type="pct"/>
            <w:hideMark/>
          </w:tcPr>
          <w:p w14:paraId="26C16AC8"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(4.10)</w:t>
            </w:r>
          </w:p>
        </w:tc>
        <w:tc>
          <w:tcPr>
            <w:tcW w:w="963" w:type="pct"/>
            <w:hideMark/>
          </w:tcPr>
          <w:p w14:paraId="652A53F8"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(3.72)</w:t>
            </w:r>
          </w:p>
        </w:tc>
      </w:tr>
      <w:tr w:rsidR="00467A50" w:rsidRPr="00467A50" w14:paraId="2E063791" w14:textId="77777777" w:rsidTr="000D5A18">
        <w:tc>
          <w:tcPr>
            <w:tcW w:w="1883" w:type="pct"/>
            <w:hideMark/>
          </w:tcPr>
          <w:p w14:paraId="0646C25C"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Controls</w:t>
            </w:r>
          </w:p>
        </w:tc>
        <w:tc>
          <w:tcPr>
            <w:tcW w:w="1077" w:type="pct"/>
            <w:hideMark/>
          </w:tcPr>
          <w:p w14:paraId="639AE8A9"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1077" w:type="pct"/>
            <w:hideMark/>
          </w:tcPr>
          <w:p w14:paraId="48DC7FCC"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963" w:type="pct"/>
            <w:hideMark/>
          </w:tcPr>
          <w:p w14:paraId="4E1F9E3C"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r>
      <w:tr w:rsidR="00467A50" w:rsidRPr="00467A50" w14:paraId="6DD58D7C" w14:textId="77777777" w:rsidTr="000D5A18">
        <w:tc>
          <w:tcPr>
            <w:tcW w:w="1883" w:type="pct"/>
            <w:hideMark/>
          </w:tcPr>
          <w:p w14:paraId="3F8E925D"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Firm FE</w:t>
            </w:r>
          </w:p>
        </w:tc>
        <w:tc>
          <w:tcPr>
            <w:tcW w:w="1077" w:type="pct"/>
            <w:hideMark/>
          </w:tcPr>
          <w:p w14:paraId="5B91C7B6"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1077" w:type="pct"/>
            <w:hideMark/>
          </w:tcPr>
          <w:p w14:paraId="02A7675D"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963" w:type="pct"/>
            <w:hideMark/>
          </w:tcPr>
          <w:p w14:paraId="6B3510E2"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r>
      <w:tr w:rsidR="00467A50" w:rsidRPr="00467A50" w14:paraId="566BB8AE" w14:textId="77777777" w:rsidTr="000D5A18">
        <w:tc>
          <w:tcPr>
            <w:tcW w:w="1883" w:type="pct"/>
            <w:hideMark/>
          </w:tcPr>
          <w:p w14:paraId="34A1C7A8"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Year FE</w:t>
            </w:r>
          </w:p>
        </w:tc>
        <w:tc>
          <w:tcPr>
            <w:tcW w:w="1077" w:type="pct"/>
            <w:hideMark/>
          </w:tcPr>
          <w:p w14:paraId="3D754A61"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1077" w:type="pct"/>
            <w:hideMark/>
          </w:tcPr>
          <w:p w14:paraId="57B3369D"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c>
          <w:tcPr>
            <w:tcW w:w="963" w:type="pct"/>
            <w:hideMark/>
          </w:tcPr>
          <w:p w14:paraId="11431AE7"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Yes</w:t>
            </w:r>
          </w:p>
        </w:tc>
      </w:tr>
      <w:tr w:rsidR="00467A50" w:rsidRPr="00467A50" w14:paraId="0524A5E4" w14:textId="77777777" w:rsidTr="000D5A18">
        <w:tc>
          <w:tcPr>
            <w:tcW w:w="1883" w:type="pct"/>
            <w:hideMark/>
          </w:tcPr>
          <w:p w14:paraId="7D98BDDA"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Observations</w:t>
            </w:r>
          </w:p>
        </w:tc>
        <w:tc>
          <w:tcPr>
            <w:tcW w:w="1077" w:type="pct"/>
            <w:hideMark/>
          </w:tcPr>
          <w:p w14:paraId="67B861CF"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5,420</w:t>
            </w:r>
          </w:p>
        </w:tc>
        <w:tc>
          <w:tcPr>
            <w:tcW w:w="1077" w:type="pct"/>
            <w:hideMark/>
          </w:tcPr>
          <w:p w14:paraId="278D2794"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5,420</w:t>
            </w:r>
          </w:p>
        </w:tc>
        <w:tc>
          <w:tcPr>
            <w:tcW w:w="963" w:type="pct"/>
            <w:hideMark/>
          </w:tcPr>
          <w:p w14:paraId="6D342963"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5,420</w:t>
            </w:r>
          </w:p>
        </w:tc>
      </w:tr>
      <w:tr w:rsidR="00467A50" w:rsidRPr="00467A50" w14:paraId="71396DC0" w14:textId="77777777" w:rsidTr="000D5A18">
        <w:tc>
          <w:tcPr>
            <w:tcW w:w="1883" w:type="pct"/>
            <w:hideMark/>
          </w:tcPr>
          <w:p w14:paraId="69FCD718" w14:textId="77777777" w:rsidR="00467A50" w:rsidRPr="000D5A18" w:rsidRDefault="00467A50" w:rsidP="00467A50">
            <w:pPr>
              <w:pStyle w:val="Heading2"/>
              <w:tabs>
                <w:tab w:val="left" w:pos="792"/>
              </w:tabs>
              <w:spacing w:before="240" w:line="360" w:lineRule="auto"/>
              <w:ind w:left="0" w:right="234"/>
              <w:rPr>
                <w:b w:val="0"/>
                <w:bCs w:val="0"/>
                <w:i/>
                <w:iCs/>
                <w:lang w:val="vi-VN"/>
              </w:rPr>
            </w:pPr>
            <w:r w:rsidRPr="000D5A18">
              <w:rPr>
                <w:b w:val="0"/>
                <w:bCs w:val="0"/>
                <w:i/>
                <w:iCs/>
                <w:lang w:val="vi-VN"/>
              </w:rPr>
              <w:t>Adjusted R-squared</w:t>
            </w:r>
          </w:p>
        </w:tc>
        <w:tc>
          <w:tcPr>
            <w:tcW w:w="1077" w:type="pct"/>
            <w:hideMark/>
          </w:tcPr>
          <w:p w14:paraId="23D4A78F"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0.385</w:t>
            </w:r>
          </w:p>
        </w:tc>
        <w:tc>
          <w:tcPr>
            <w:tcW w:w="1077" w:type="pct"/>
            <w:hideMark/>
          </w:tcPr>
          <w:p w14:paraId="302CEBBF"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0.421</w:t>
            </w:r>
          </w:p>
        </w:tc>
        <w:tc>
          <w:tcPr>
            <w:tcW w:w="963" w:type="pct"/>
            <w:hideMark/>
          </w:tcPr>
          <w:p w14:paraId="465CCD36" w14:textId="77777777" w:rsidR="00467A50" w:rsidRPr="00467A50" w:rsidRDefault="00467A50" w:rsidP="00467A50">
            <w:pPr>
              <w:pStyle w:val="Heading2"/>
              <w:tabs>
                <w:tab w:val="left" w:pos="792"/>
              </w:tabs>
              <w:spacing w:before="240" w:line="360" w:lineRule="auto"/>
              <w:ind w:left="0" w:right="234"/>
              <w:rPr>
                <w:b w:val="0"/>
                <w:bCs w:val="0"/>
                <w:lang w:val="vi-VN"/>
              </w:rPr>
            </w:pPr>
            <w:r w:rsidRPr="00467A50">
              <w:rPr>
                <w:b w:val="0"/>
                <w:bCs w:val="0"/>
                <w:lang w:val="vi-VN"/>
              </w:rPr>
              <w:t>0.379</w:t>
            </w:r>
          </w:p>
        </w:tc>
      </w:tr>
    </w:tbl>
    <w:p w14:paraId="6134066C" w14:textId="734326B9" w:rsidR="00467A50" w:rsidRDefault="00467A50" w:rsidP="00D34D93">
      <w:pPr>
        <w:pStyle w:val="Heading2"/>
        <w:tabs>
          <w:tab w:val="left" w:pos="792"/>
        </w:tabs>
        <w:spacing w:before="240" w:line="360" w:lineRule="auto"/>
        <w:ind w:left="0" w:right="234"/>
        <w:rPr>
          <w:b w:val="0"/>
          <w:bCs w:val="0"/>
          <w:lang w:val="vi-VN"/>
        </w:rPr>
      </w:pPr>
      <w:r w:rsidRPr="00467A50">
        <w:rPr>
          <w:b w:val="0"/>
          <w:bCs w:val="0"/>
          <w:lang w:val="vi-VN"/>
        </w:rPr>
        <w:t>As shown in Table 4, Column (1) reports the regression using TC2 as the dependent variable, while Column (2) employs DIGIT_Rel as the alternative independent variable. Column (3) replaces both core variables simultaneously. Across all specifications, the coefficients for both DIGIT and DIGIT_Rel remain positive and statistically significant at the 1% level. These robust results confirm that our main conclusion</w:t>
      </w:r>
      <w:r w:rsidR="00CC55DE">
        <w:rPr>
          <w:b w:val="0"/>
          <w:bCs w:val="0"/>
          <w:lang w:val="vi-VN"/>
        </w:rPr>
        <w:t xml:space="preserve"> </w:t>
      </w:r>
      <w:r w:rsidRPr="00467A50">
        <w:rPr>
          <w:b w:val="0"/>
          <w:bCs w:val="0"/>
          <w:lang w:val="vi-VN"/>
        </w:rPr>
        <w:t>corporate digitalization significantly enhances a firm's access to trade credit</w:t>
      </w:r>
      <w:r w:rsidR="00CC55DE">
        <w:rPr>
          <w:b w:val="0"/>
          <w:bCs w:val="0"/>
          <w:lang w:val="vi-VN"/>
        </w:rPr>
        <w:t xml:space="preserve"> </w:t>
      </w:r>
      <w:r w:rsidRPr="00467A50">
        <w:rPr>
          <w:b w:val="0"/>
          <w:bCs w:val="0"/>
          <w:lang w:val="vi-VN"/>
        </w:rPr>
        <w:t>holds true regardless of the specific empirical metrics employed.</w:t>
      </w:r>
    </w:p>
    <w:p w14:paraId="55E4A7C0" w14:textId="13C34072" w:rsidR="00467A50" w:rsidRPr="000D5A18" w:rsidRDefault="00467A50" w:rsidP="000D5A18">
      <w:pPr>
        <w:spacing w:before="120" w:after="120" w:line="360" w:lineRule="auto"/>
        <w:ind w:right="234"/>
        <w:jc w:val="both"/>
        <w:rPr>
          <w:b/>
          <w:bCs/>
        </w:rPr>
      </w:pPr>
      <w:r w:rsidRPr="000D5A18">
        <w:rPr>
          <w:b/>
          <w:bCs/>
        </w:rPr>
        <w:t>4.3.2. Adding control variables</w:t>
      </w:r>
      <w:r w:rsidR="000D5A18" w:rsidRPr="000D5A18">
        <w:rPr>
          <w:b/>
          <w:bCs/>
        </w:rPr>
        <w:t xml:space="preserve"> - </w:t>
      </w:r>
      <w:r w:rsidRPr="000D5A18">
        <w:rPr>
          <w:b/>
          <w:bCs/>
        </w:rPr>
        <w:t>default risk</w:t>
      </w:r>
    </w:p>
    <w:p w14:paraId="400442F2"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 xml:space="preserve">Because trade credit is an unsecured form of informal financing, suppliers are highly sensitive to the creditworthiness and default probability of their customers (Giannetti, Burkart, &amp; Ellingsen, 2011). A potential endogeneity concern in our baseline model is that corporate digitalization might simply be capturing the firm's fundamental financial health. That is, financially stable firms with lower default risks possess both the abundant resources required to invest in digital transformation and the creditworthiness to secure trade credit. To isolate the unique signaling effect of "digital trust" from general financial stability, it is imperative to explicitly control for firm default risk. </w:t>
      </w:r>
    </w:p>
    <w:p w14:paraId="7E8921B7" w14:textId="0A8C84FE" w:rsidR="00467A50" w:rsidRPr="000D5A18" w:rsidRDefault="00467A50" w:rsidP="000D5A18">
      <w:pPr>
        <w:pStyle w:val="Heading2"/>
        <w:tabs>
          <w:tab w:val="left" w:pos="792"/>
        </w:tabs>
        <w:spacing w:before="240" w:line="360" w:lineRule="auto"/>
        <w:ind w:left="0" w:right="234"/>
        <w:rPr>
          <w:b w:val="0"/>
          <w:bCs w:val="0"/>
          <w:lang w:val="vi-VN"/>
        </w:rPr>
      </w:pPr>
      <w:r w:rsidRPr="000D5A18">
        <w:rPr>
          <w:b w:val="0"/>
          <w:bCs w:val="0"/>
          <w:lang w:val="vi-VN"/>
        </w:rPr>
        <w:t>Following the established methodology of Bharath and Shumway (2008) and recent empirical applications, we employ the Merton distance-to-default model to calculate the Expected Default Frequency (</w:t>
      </w:r>
      <w:r w:rsidRPr="00EB24A0">
        <w:rPr>
          <w:b w:val="0"/>
          <w:bCs w:val="0"/>
          <w:i/>
          <w:iCs/>
          <w:lang w:val="vi-VN"/>
        </w:rPr>
        <w:t>EDF</w:t>
      </w:r>
      <w:r w:rsidRPr="000D5A18">
        <w:rPr>
          <w:b w:val="0"/>
          <w:bCs w:val="0"/>
          <w:lang w:val="vi-VN"/>
        </w:rPr>
        <w:t xml:space="preserve">) for each firm-year observation. The </w:t>
      </w:r>
      <w:r w:rsidRPr="00EB24A0">
        <w:rPr>
          <w:b w:val="0"/>
          <w:bCs w:val="0"/>
          <w:i/>
          <w:iCs/>
          <w:lang w:val="vi-VN"/>
        </w:rPr>
        <w:t>EDF</w:t>
      </w:r>
      <w:r w:rsidRPr="000D5A18">
        <w:rPr>
          <w:b w:val="0"/>
          <w:bCs w:val="0"/>
          <w:lang w:val="vi-VN"/>
        </w:rPr>
        <w:t xml:space="preserve"> metric relies on equity volatility and the firm's capital structure to predict the probability that the market value of a firm's assets will fall below its debt obligations. A higher </w:t>
      </w:r>
      <w:r w:rsidRPr="00EB24A0">
        <w:rPr>
          <w:b w:val="0"/>
          <w:bCs w:val="0"/>
          <w:i/>
          <w:iCs/>
          <w:lang w:val="vi-VN"/>
        </w:rPr>
        <w:lastRenderedPageBreak/>
        <w:t>EDF</w:t>
      </w:r>
      <w:r w:rsidR="00EB24A0">
        <w:rPr>
          <w:b w:val="0"/>
          <w:bCs w:val="0"/>
          <w:lang w:val="vi-VN"/>
        </w:rPr>
        <w:t xml:space="preserve"> </w:t>
      </w:r>
      <w:r w:rsidRPr="000D5A18">
        <w:rPr>
          <w:b w:val="0"/>
          <w:bCs w:val="0"/>
          <w:lang w:val="vi-VN"/>
        </w:rPr>
        <w:t xml:space="preserve">value indicates a greater probability of corporate default. We augment our baseline two-way fixed effects model by including </w:t>
      </w:r>
      <w:r w:rsidRPr="00EB24A0">
        <w:rPr>
          <w:b w:val="0"/>
          <w:bCs w:val="0"/>
          <w:i/>
          <w:iCs/>
          <w:lang w:val="vi-VN"/>
        </w:rPr>
        <w:t>EDF</w:t>
      </w:r>
      <w:r w:rsidRPr="000D5A18">
        <w:rPr>
          <w:b w:val="0"/>
          <w:bCs w:val="0"/>
          <w:lang w:val="vi-VN"/>
        </w:rPr>
        <w:t xml:space="preserve"> as an additional control variable. The estimation results are reported in Table </w:t>
      </w:r>
      <w:r w:rsidR="00363578">
        <w:rPr>
          <w:b w:val="0"/>
          <w:bCs w:val="0"/>
          <w:lang w:val="vi-VN"/>
        </w:rPr>
        <w:t>5</w:t>
      </w:r>
      <w:r w:rsidRPr="000D5A18">
        <w:rPr>
          <w:b w:val="0"/>
          <w:bCs w:val="0"/>
          <w:lang w:val="vi-VN"/>
        </w:rPr>
        <w:t xml:space="preserve">. </w:t>
      </w:r>
    </w:p>
    <w:p w14:paraId="6DDF6795" w14:textId="55BE829D" w:rsidR="00467A50" w:rsidRPr="000D5A18" w:rsidRDefault="00467A50" w:rsidP="000D5A18">
      <w:pPr>
        <w:pStyle w:val="Heading2"/>
        <w:spacing w:before="6" w:line="360" w:lineRule="auto"/>
        <w:ind w:left="4107" w:right="234" w:hanging="4107"/>
        <w:jc w:val="left"/>
      </w:pPr>
      <w:r w:rsidRPr="000D5A18">
        <w:t xml:space="preserve">Table </w:t>
      </w:r>
      <w:r w:rsidR="00363578">
        <w:rPr>
          <w:lang w:val="vi-VN"/>
        </w:rPr>
        <w:t>5</w:t>
      </w:r>
      <w:r w:rsidRPr="000D5A18">
        <w:t>. Robustness test: Controlling for default risk</w:t>
      </w:r>
    </w:p>
    <w:tbl>
      <w:tblPr>
        <w:tblStyle w:val="TableGrid"/>
        <w:tblW w:w="4890" w:type="pct"/>
        <w:tblLook w:val="04A0" w:firstRow="1" w:lastRow="0" w:firstColumn="1" w:lastColumn="0" w:noHBand="0" w:noVBand="1"/>
      </w:tblPr>
      <w:tblGrid>
        <w:gridCol w:w="4376"/>
        <w:gridCol w:w="2940"/>
        <w:gridCol w:w="2885"/>
      </w:tblGrid>
      <w:tr w:rsidR="00467A50" w:rsidRPr="00333439" w14:paraId="649A2B54" w14:textId="77777777" w:rsidTr="000D5A18">
        <w:tc>
          <w:tcPr>
            <w:tcW w:w="2145" w:type="pct"/>
            <w:hideMark/>
          </w:tcPr>
          <w:p w14:paraId="2E95B3F2"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lang w:val="vi-VN"/>
              </w:rPr>
              <w:t>Variables</w:t>
            </w:r>
          </w:p>
        </w:tc>
        <w:tc>
          <w:tcPr>
            <w:tcW w:w="1441" w:type="pct"/>
            <w:hideMark/>
          </w:tcPr>
          <w:p w14:paraId="40250549"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lang w:val="vi-VN"/>
              </w:rPr>
              <w:t>(1) TC</w:t>
            </w:r>
          </w:p>
        </w:tc>
        <w:tc>
          <w:tcPr>
            <w:tcW w:w="1414" w:type="pct"/>
            <w:hideMark/>
          </w:tcPr>
          <w:p w14:paraId="6748881A"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lang w:val="vi-VN"/>
              </w:rPr>
              <w:t>(2) TC</w:t>
            </w:r>
          </w:p>
        </w:tc>
      </w:tr>
      <w:tr w:rsidR="00467A50" w:rsidRPr="00333439" w14:paraId="138A2E39" w14:textId="77777777" w:rsidTr="000D5A18">
        <w:tc>
          <w:tcPr>
            <w:tcW w:w="2145" w:type="pct"/>
            <w:hideMark/>
          </w:tcPr>
          <w:p w14:paraId="097D2636" w14:textId="28E0333B"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DIGIT</w:t>
            </w:r>
          </w:p>
        </w:tc>
        <w:tc>
          <w:tcPr>
            <w:tcW w:w="1441" w:type="pct"/>
            <w:hideMark/>
          </w:tcPr>
          <w:p w14:paraId="212FA04A"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0.014***</w:t>
            </w:r>
          </w:p>
        </w:tc>
        <w:tc>
          <w:tcPr>
            <w:tcW w:w="1414" w:type="pct"/>
            <w:hideMark/>
          </w:tcPr>
          <w:p w14:paraId="3B24F2FA"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0.011***</w:t>
            </w:r>
          </w:p>
        </w:tc>
      </w:tr>
      <w:tr w:rsidR="00467A50" w:rsidRPr="00333439" w14:paraId="671C8A6A" w14:textId="77777777" w:rsidTr="000D5A18">
        <w:tc>
          <w:tcPr>
            <w:tcW w:w="2145" w:type="pct"/>
            <w:hideMark/>
          </w:tcPr>
          <w:p w14:paraId="371C0C89" w14:textId="77777777" w:rsidR="00467A50" w:rsidRPr="00333439" w:rsidRDefault="00467A50" w:rsidP="00333439">
            <w:pPr>
              <w:pStyle w:val="Heading2"/>
              <w:tabs>
                <w:tab w:val="left" w:pos="792"/>
              </w:tabs>
              <w:spacing w:before="240" w:line="360" w:lineRule="auto"/>
              <w:ind w:left="0" w:right="234"/>
              <w:rPr>
                <w:b w:val="0"/>
                <w:bCs w:val="0"/>
                <w:lang w:val="vi-VN"/>
              </w:rPr>
            </w:pPr>
          </w:p>
        </w:tc>
        <w:tc>
          <w:tcPr>
            <w:tcW w:w="1441" w:type="pct"/>
            <w:hideMark/>
          </w:tcPr>
          <w:p w14:paraId="4A19B6B7"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(4.52)</w:t>
            </w:r>
          </w:p>
        </w:tc>
        <w:tc>
          <w:tcPr>
            <w:tcW w:w="1414" w:type="pct"/>
            <w:hideMark/>
          </w:tcPr>
          <w:p w14:paraId="5783673E"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(3.85)</w:t>
            </w:r>
          </w:p>
        </w:tc>
      </w:tr>
      <w:tr w:rsidR="00467A50" w:rsidRPr="00333439" w14:paraId="68FC3E45" w14:textId="77777777" w:rsidTr="000D5A18">
        <w:tc>
          <w:tcPr>
            <w:tcW w:w="2145" w:type="pct"/>
            <w:hideMark/>
          </w:tcPr>
          <w:p w14:paraId="4CF6FCFE" w14:textId="529D81BE"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EDF</w:t>
            </w:r>
          </w:p>
        </w:tc>
        <w:tc>
          <w:tcPr>
            <w:tcW w:w="1441" w:type="pct"/>
            <w:hideMark/>
          </w:tcPr>
          <w:p w14:paraId="3A54791C" w14:textId="77777777" w:rsidR="00467A50" w:rsidRPr="00333439" w:rsidRDefault="00467A50" w:rsidP="00333439">
            <w:pPr>
              <w:pStyle w:val="Heading2"/>
              <w:tabs>
                <w:tab w:val="left" w:pos="792"/>
              </w:tabs>
              <w:spacing w:before="240" w:line="360" w:lineRule="auto"/>
              <w:ind w:left="0" w:right="234"/>
              <w:rPr>
                <w:b w:val="0"/>
                <w:bCs w:val="0"/>
                <w:lang w:val="vi-VN"/>
              </w:rPr>
            </w:pPr>
          </w:p>
        </w:tc>
        <w:tc>
          <w:tcPr>
            <w:tcW w:w="1414" w:type="pct"/>
            <w:hideMark/>
          </w:tcPr>
          <w:p w14:paraId="55B70308"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-0.085***</w:t>
            </w:r>
          </w:p>
        </w:tc>
      </w:tr>
      <w:tr w:rsidR="00467A50" w:rsidRPr="00333439" w14:paraId="32592742" w14:textId="77777777" w:rsidTr="000D5A18">
        <w:tc>
          <w:tcPr>
            <w:tcW w:w="2145" w:type="pct"/>
            <w:hideMark/>
          </w:tcPr>
          <w:p w14:paraId="2FEDBA47" w14:textId="77777777" w:rsidR="00467A50" w:rsidRPr="00333439" w:rsidRDefault="00467A50" w:rsidP="00333439">
            <w:pPr>
              <w:pStyle w:val="Heading2"/>
              <w:tabs>
                <w:tab w:val="left" w:pos="792"/>
              </w:tabs>
              <w:spacing w:before="240" w:line="360" w:lineRule="auto"/>
              <w:ind w:left="0" w:right="234"/>
              <w:rPr>
                <w:b w:val="0"/>
                <w:bCs w:val="0"/>
                <w:lang w:val="vi-VN"/>
              </w:rPr>
            </w:pPr>
          </w:p>
        </w:tc>
        <w:tc>
          <w:tcPr>
            <w:tcW w:w="1441" w:type="pct"/>
            <w:hideMark/>
          </w:tcPr>
          <w:p w14:paraId="4E100E22" w14:textId="77777777" w:rsidR="00467A50" w:rsidRPr="00333439" w:rsidRDefault="00467A50" w:rsidP="00333439">
            <w:pPr>
              <w:pStyle w:val="Heading2"/>
              <w:tabs>
                <w:tab w:val="left" w:pos="792"/>
              </w:tabs>
              <w:spacing w:before="240" w:line="360" w:lineRule="auto"/>
              <w:ind w:left="0" w:right="234"/>
              <w:rPr>
                <w:b w:val="0"/>
                <w:bCs w:val="0"/>
                <w:lang w:val="vi-VN"/>
              </w:rPr>
            </w:pPr>
          </w:p>
        </w:tc>
        <w:tc>
          <w:tcPr>
            <w:tcW w:w="1414" w:type="pct"/>
            <w:hideMark/>
          </w:tcPr>
          <w:p w14:paraId="58FB0E1C"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(-5.62)</w:t>
            </w:r>
          </w:p>
        </w:tc>
      </w:tr>
      <w:tr w:rsidR="00467A50" w:rsidRPr="00333439" w14:paraId="71A32BF9" w14:textId="77777777" w:rsidTr="000D5A18">
        <w:tc>
          <w:tcPr>
            <w:tcW w:w="2145" w:type="pct"/>
            <w:hideMark/>
          </w:tcPr>
          <w:p w14:paraId="2143D5B6"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Controls</w:t>
            </w:r>
          </w:p>
        </w:tc>
        <w:tc>
          <w:tcPr>
            <w:tcW w:w="1441" w:type="pct"/>
            <w:hideMark/>
          </w:tcPr>
          <w:p w14:paraId="426A6C93"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c>
          <w:tcPr>
            <w:tcW w:w="1414" w:type="pct"/>
            <w:hideMark/>
          </w:tcPr>
          <w:p w14:paraId="07D42BDB"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263D8629" w14:textId="77777777" w:rsidTr="000D5A18">
        <w:tc>
          <w:tcPr>
            <w:tcW w:w="2145" w:type="pct"/>
            <w:hideMark/>
          </w:tcPr>
          <w:p w14:paraId="1BDAF13C"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Firm FE</w:t>
            </w:r>
          </w:p>
        </w:tc>
        <w:tc>
          <w:tcPr>
            <w:tcW w:w="1441" w:type="pct"/>
            <w:hideMark/>
          </w:tcPr>
          <w:p w14:paraId="3965555A"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c>
          <w:tcPr>
            <w:tcW w:w="1414" w:type="pct"/>
            <w:hideMark/>
          </w:tcPr>
          <w:p w14:paraId="7F882D44"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43F07CDB" w14:textId="77777777" w:rsidTr="000D5A18">
        <w:tc>
          <w:tcPr>
            <w:tcW w:w="2145" w:type="pct"/>
            <w:hideMark/>
          </w:tcPr>
          <w:p w14:paraId="2150A17F"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Year FE</w:t>
            </w:r>
          </w:p>
        </w:tc>
        <w:tc>
          <w:tcPr>
            <w:tcW w:w="1441" w:type="pct"/>
            <w:hideMark/>
          </w:tcPr>
          <w:p w14:paraId="2D504D5E"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c>
          <w:tcPr>
            <w:tcW w:w="1414" w:type="pct"/>
            <w:hideMark/>
          </w:tcPr>
          <w:p w14:paraId="7CB4ECE1"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79AD0A5C" w14:textId="77777777" w:rsidTr="000D5A18">
        <w:tc>
          <w:tcPr>
            <w:tcW w:w="2145" w:type="pct"/>
            <w:hideMark/>
          </w:tcPr>
          <w:p w14:paraId="7BF2C6D4"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Observations</w:t>
            </w:r>
          </w:p>
        </w:tc>
        <w:tc>
          <w:tcPr>
            <w:tcW w:w="1441" w:type="pct"/>
            <w:hideMark/>
          </w:tcPr>
          <w:p w14:paraId="2BC2BB16"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5,420</w:t>
            </w:r>
          </w:p>
        </w:tc>
        <w:tc>
          <w:tcPr>
            <w:tcW w:w="1414" w:type="pct"/>
            <w:hideMark/>
          </w:tcPr>
          <w:p w14:paraId="68900F6F"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5,420</w:t>
            </w:r>
          </w:p>
        </w:tc>
      </w:tr>
      <w:tr w:rsidR="00467A50" w:rsidRPr="00333439" w14:paraId="495822B2" w14:textId="77777777" w:rsidTr="000D5A18">
        <w:tc>
          <w:tcPr>
            <w:tcW w:w="2145" w:type="pct"/>
            <w:hideMark/>
          </w:tcPr>
          <w:p w14:paraId="7E7360FB" w14:textId="3159B662" w:rsidR="00467A50" w:rsidRPr="000D5A18" w:rsidRDefault="000D5A18" w:rsidP="00333439">
            <w:pPr>
              <w:pStyle w:val="Heading2"/>
              <w:tabs>
                <w:tab w:val="left" w:pos="792"/>
              </w:tabs>
              <w:spacing w:before="240" w:line="360" w:lineRule="auto"/>
              <w:ind w:left="0" w:right="234"/>
              <w:rPr>
                <w:b w:val="0"/>
                <w:bCs w:val="0"/>
                <w:i/>
                <w:lang w:val="vi-VN"/>
              </w:rPr>
            </w:pPr>
            <w:r>
              <w:rPr>
                <w:b w:val="0"/>
                <w:bCs w:val="0"/>
                <w:lang w:val="vi-VN"/>
              </w:rPr>
              <w:t xml:space="preserve"> </w:t>
            </w:r>
            <m:oMath>
              <m:r>
                <m:rPr>
                  <m:sty m:val="bi"/>
                </m:rPr>
                <w:rPr>
                  <w:rFonts w:ascii="Cambria Math" w:hAnsi="Cambria Math"/>
                </w:rPr>
                <m:t xml:space="preserve">Adjusted </m:t>
              </m:r>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1441" w:type="pct"/>
            <w:hideMark/>
          </w:tcPr>
          <w:p w14:paraId="2B5C7D3D"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0.428</w:t>
            </w:r>
          </w:p>
        </w:tc>
        <w:tc>
          <w:tcPr>
            <w:tcW w:w="1414" w:type="pct"/>
            <w:hideMark/>
          </w:tcPr>
          <w:p w14:paraId="163D50F9"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0.445</w:t>
            </w:r>
          </w:p>
        </w:tc>
      </w:tr>
    </w:tbl>
    <w:p w14:paraId="593422FC" w14:textId="0AA757E6"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 xml:space="preserve">Column (1) replicates our baseline result for comparison, while Column (2) presents the model augmented with the default risk control. As expected, the coefficient on </w:t>
      </w:r>
      <m:oMath>
        <m:r>
          <m:rPr>
            <m:sty m:val="bi"/>
          </m:rPr>
          <w:rPr>
            <w:rFonts w:ascii="Cambria Math" w:hAnsi="Cambria Math"/>
          </w:rPr>
          <m:t>EDF</m:t>
        </m:r>
      </m:oMath>
      <w:r w:rsidR="00C961E7" w:rsidRPr="00C961E7">
        <w:rPr>
          <w:b w:val="0"/>
          <w:bCs w:val="0"/>
          <w:lang w:val="vi-VN"/>
        </w:rPr>
        <w:t xml:space="preserve"> </w:t>
      </w:r>
      <w:r w:rsidRPr="00333439">
        <w:rPr>
          <w:b w:val="0"/>
          <w:bCs w:val="0"/>
          <w:lang w:val="vi-VN"/>
        </w:rPr>
        <w:t>is significantly negative (</w:t>
      </w:r>
      <m:oMath>
        <m:r>
          <m:rPr>
            <m:sty m:val="bi"/>
          </m:rPr>
          <w:rPr>
            <w:rFonts w:ascii="Cambria Math" w:hAnsi="Cambria Math"/>
          </w:rPr>
          <m:t>γ</m:t>
        </m:r>
      </m:oMath>
      <w:r w:rsidRPr="00333439">
        <w:rPr>
          <w:b w:val="0"/>
          <w:bCs w:val="0"/>
          <w:lang w:val="vi-VN"/>
        </w:rPr>
        <w:t xml:space="preserve"> = -0.085, </w:t>
      </w:r>
      <w:r w:rsidRPr="00EB24A0">
        <w:rPr>
          <w:b w:val="0"/>
          <w:bCs w:val="0"/>
          <w:i/>
          <w:iCs/>
          <w:lang w:val="vi-VN"/>
        </w:rPr>
        <w:t>p</w:t>
      </w:r>
      <w:r w:rsidRPr="00333439">
        <w:rPr>
          <w:b w:val="0"/>
          <w:bCs w:val="0"/>
          <w:lang w:val="vi-VN"/>
        </w:rPr>
        <w:t xml:space="preserve"> &lt; 0.01), confirming the intuitive premise that suppliers systematically reduce trade credit provision to firms with higher default probabilities.</w:t>
      </w:r>
    </w:p>
    <w:p w14:paraId="65397438" w14:textId="5B21555F"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Crucially, even after holding the firm's fundamental default risk constant, the coefficient on</w:t>
      </w:r>
      <w:r w:rsidRPr="00C961E7">
        <w:rPr>
          <w:b w:val="0"/>
          <w:bCs w:val="0"/>
          <w:lang w:val="vi-VN"/>
        </w:rPr>
        <w:t xml:space="preserve"> </w:t>
      </w:r>
      <m:oMath>
        <m:r>
          <m:rPr>
            <m:sty m:val="bi"/>
          </m:rPr>
          <w:rPr>
            <w:rFonts w:ascii="Cambria Math" w:hAnsi="Cambria Math"/>
          </w:rPr>
          <m:t xml:space="preserve">DIGIT </m:t>
        </m:r>
      </m:oMath>
      <w:r w:rsidRPr="00333439">
        <w:rPr>
          <w:b w:val="0"/>
          <w:bCs w:val="0"/>
          <w:lang w:val="vi-VN"/>
        </w:rPr>
        <w:t>remains positive and statistically significant at the 1% level (</w:t>
      </w: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1</m:t>
            </m:r>
          </m:sub>
        </m:sSub>
      </m:oMath>
      <w:r w:rsidRPr="00333439">
        <w:rPr>
          <w:b w:val="0"/>
          <w:bCs w:val="0"/>
          <w:lang w:val="vi-VN"/>
        </w:rPr>
        <w:t xml:space="preserve"> = 0.011, </w:t>
      </w:r>
      <m:oMath>
        <m:r>
          <m:rPr>
            <m:sty m:val="bi"/>
          </m:rPr>
          <w:rPr>
            <w:rFonts w:ascii="Cambria Math" w:hAnsi="Cambria Math"/>
          </w:rPr>
          <m:t>t</m:t>
        </m:r>
      </m:oMath>
      <w:r w:rsidRPr="00333439">
        <w:rPr>
          <w:b w:val="0"/>
          <w:bCs w:val="0"/>
          <w:lang w:val="vi-VN"/>
        </w:rPr>
        <w:t xml:space="preserve"> = 3.85). While the magnitude of the coefficient slightly decreases compared to the baseline model, the persistence of its significance demonstrates that the "digital trust premium" cannot be entirely explained by a firm's low default probability. This finding strongly suggests a "trust bias" in supply chain financing: suppliers grant additional unsecured credit to digitally advanced firms beyond what is strictly justified by their actual financial risk metrics. The adoption of digital technologies effectively signals forward-looking management </w:t>
      </w:r>
      <w:r w:rsidRPr="00333439">
        <w:rPr>
          <w:b w:val="0"/>
          <w:bCs w:val="0"/>
          <w:lang w:val="vi-VN"/>
        </w:rPr>
        <w:lastRenderedPageBreak/>
        <w:t>and operational transparency, earning firms a reputational advantage that directly translates into superior financing terms.</w:t>
      </w:r>
    </w:p>
    <w:p w14:paraId="763165F6" w14:textId="77777777" w:rsidR="00467A50" w:rsidRPr="00D40F6B" w:rsidRDefault="00467A50" w:rsidP="00D40F6B">
      <w:pPr>
        <w:spacing w:before="120" w:after="120" w:line="360" w:lineRule="auto"/>
        <w:ind w:right="234"/>
        <w:jc w:val="both"/>
        <w:rPr>
          <w:b/>
          <w:bCs/>
        </w:rPr>
      </w:pPr>
      <w:r w:rsidRPr="00D40F6B">
        <w:rPr>
          <w:b/>
          <w:bCs/>
        </w:rPr>
        <w:t>4.4. Endogeneity test</w:t>
      </w:r>
    </w:p>
    <w:p w14:paraId="60217DB6" w14:textId="0586A856" w:rsidR="00467A50" w:rsidRPr="00333439" w:rsidRDefault="001B689E" w:rsidP="00333439">
      <w:pPr>
        <w:pStyle w:val="Heading2"/>
        <w:tabs>
          <w:tab w:val="left" w:pos="792"/>
        </w:tabs>
        <w:spacing w:before="240" w:line="360" w:lineRule="auto"/>
        <w:ind w:left="0" w:right="234"/>
        <w:rPr>
          <w:b w:val="0"/>
          <w:bCs w:val="0"/>
          <w:lang w:val="vi-VN"/>
        </w:rPr>
      </w:pPr>
      <w:r w:rsidRPr="001B689E">
        <w:rPr>
          <w:b w:val="0"/>
          <w:bCs w:val="0"/>
          <w:lang w:val="vi-VN"/>
        </w:rPr>
        <w:t>Potential endogeneity issues persist even though our baseline models clearly show a favorable correlation between company digitization and trade loan access. In particular, there may be reverse causality if businesses with more access to trade credit have more financial leeway to invest in digital technology. We use a staggered difference-in-differences (DID) strategy for causal identification in order to reduce endogeneity problems including reverse causality and omitted variable bias</w:t>
      </w:r>
      <w:r w:rsidR="00467A50" w:rsidRPr="00333439">
        <w:rPr>
          <w:b w:val="0"/>
          <w:bCs w:val="0"/>
          <w:lang w:val="vi-VN"/>
        </w:rPr>
        <w:t xml:space="preserve">. </w:t>
      </w:r>
    </w:p>
    <w:p w14:paraId="7FE085CE" w14:textId="77777777" w:rsidR="00467A50" w:rsidRPr="007504A0" w:rsidRDefault="00467A50" w:rsidP="007504A0">
      <w:pPr>
        <w:spacing w:before="120" w:after="120" w:line="360" w:lineRule="auto"/>
        <w:ind w:right="234"/>
        <w:jc w:val="both"/>
        <w:rPr>
          <w:b/>
          <w:bCs/>
        </w:rPr>
      </w:pPr>
      <w:r w:rsidRPr="007504A0">
        <w:rPr>
          <w:b/>
          <w:bCs/>
        </w:rPr>
        <w:t>4.4.1. Staggered difference-in-differences model</w:t>
      </w:r>
    </w:p>
    <w:p w14:paraId="637A361B"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Following the promulgation of the "National Digital Transformation Programme" by the Vietnamese government in 2020, the 63 provinces and municipalities across Vietnam did not implement the mandate simultaneously. Instead, local governments formulated and officially approved their specific "Provincial Digital Transformation Action Plans" at different times between 2020 and 2022, depending on their local digital infrastructure and economic readiness. This staggered rollout provides an ideal quasi-natural experiment to evaluate the causal impact of digital transformation pushes on corporate financing.</w:t>
      </w:r>
    </w:p>
    <w:p w14:paraId="627A96D4" w14:textId="2285B90C" w:rsidR="00467A50" w:rsidRPr="004A2D81" w:rsidRDefault="00467A50" w:rsidP="00333439">
      <w:pPr>
        <w:pStyle w:val="Heading2"/>
        <w:tabs>
          <w:tab w:val="left" w:pos="792"/>
        </w:tabs>
        <w:spacing w:before="240" w:line="360" w:lineRule="auto"/>
        <w:ind w:left="0" w:right="234"/>
        <w:rPr>
          <w:b w:val="0"/>
          <w:bCs w:val="0"/>
          <w:lang w:val="vi-VN"/>
        </w:rPr>
      </w:pPr>
      <w:r w:rsidRPr="004A2D81">
        <w:rPr>
          <w:b w:val="0"/>
          <w:bCs w:val="0"/>
          <w:lang w:val="vi-VN"/>
        </w:rPr>
        <w:t xml:space="preserve">We construct a staggered difference-in-differences model by exploiting the staggered timing of these provincial policy enactments. We define a dummy variable, </w:t>
      </w:r>
      <m:oMath>
        <m:r>
          <m:rPr>
            <m:sty m:val="bi"/>
          </m:rPr>
          <w:rPr>
            <w:rFonts w:ascii="Cambria Math" w:hAnsi="Cambria Math"/>
          </w:rPr>
          <m:t>DI</m:t>
        </m:r>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i,t</m:t>
            </m:r>
          </m:sub>
        </m:sSub>
      </m:oMath>
      <w:r w:rsidRPr="004A2D81">
        <w:rPr>
          <w:b w:val="0"/>
          <w:bCs w:val="0"/>
          <w:lang w:val="vi-VN"/>
        </w:rPr>
        <w:t xml:space="preserve">, which equals 1 if the province where firm </w:t>
      </w:r>
      <m:oMath>
        <m:r>
          <m:rPr>
            <m:sty m:val="bi"/>
          </m:rPr>
          <w:rPr>
            <w:rFonts w:ascii="Cambria Math" w:hAnsi="Cambria Math"/>
          </w:rPr>
          <m:t xml:space="preserve">i </m:t>
        </m:r>
      </m:oMath>
      <w:r w:rsidRPr="004A2D81">
        <w:rPr>
          <w:b w:val="0"/>
          <w:bCs w:val="0"/>
          <w:lang w:val="vi-VN"/>
        </w:rPr>
        <w:t xml:space="preserve">is headquartered has officially implemented its digital transformation action plan in or before year </w:t>
      </w:r>
      <m:oMath>
        <m:r>
          <m:rPr>
            <m:sty m:val="bi"/>
          </m:rPr>
          <w:rPr>
            <w:rFonts w:ascii="Cambria Math" w:hAnsi="Cambria Math"/>
          </w:rPr>
          <m:t>t</m:t>
        </m:r>
      </m:oMath>
      <w:r w:rsidRPr="004A2D81">
        <w:rPr>
          <w:b w:val="0"/>
          <w:bCs w:val="0"/>
          <w:lang w:val="vi-VN"/>
        </w:rPr>
        <w:t xml:space="preserve">, and 0 otherwise. The staggered DID model is specified as follows: </w:t>
      </w:r>
    </w:p>
    <w:p w14:paraId="587B5C38" w14:textId="33805A74" w:rsidR="00467A50" w:rsidRPr="004A2D81" w:rsidRDefault="0018079E" w:rsidP="00333439">
      <w:pPr>
        <w:pStyle w:val="Heading2"/>
        <w:tabs>
          <w:tab w:val="left" w:pos="792"/>
        </w:tabs>
        <w:spacing w:before="240" w:line="360" w:lineRule="auto"/>
        <w:ind w:left="0" w:right="234"/>
        <w:rPr>
          <w:b w:val="0"/>
          <w:bCs w:val="0"/>
          <w:lang w:val="vi-VN"/>
        </w:rPr>
      </w:pPr>
      <m:oMathPara>
        <m:oMath>
          <m:r>
            <m:rPr>
              <m:sty m:val="bi"/>
            </m:rPr>
            <w:rPr>
              <w:rFonts w:ascii="Cambria Math" w:hAnsi="Cambria Math"/>
            </w:rPr>
            <m:t>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0</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1</m:t>
              </m:r>
            </m:sub>
          </m:sSub>
          <m:r>
            <m:rPr>
              <m:sty m:val="bi"/>
            </m:rPr>
            <w:rPr>
              <w:rFonts w:ascii="Cambria Math" w:hAnsi="Cambria Math"/>
            </w:rPr>
            <m:t>DI</m:t>
          </m:r>
          <m:sSub>
            <m:sSubPr>
              <m:ctrlPr>
                <w:rPr>
                  <w:rFonts w:ascii="Cambria Math" w:hAnsi="Cambria Math"/>
                </w:rPr>
              </m:ctrlPr>
            </m:sSubPr>
            <m:e>
              <m:r>
                <m:rPr>
                  <m:sty m:val="bi"/>
                </m:rPr>
                <w:rPr>
                  <w:rFonts w:ascii="Cambria Math" w:hAnsi="Cambria Math"/>
                </w:rPr>
                <m:t>D</m:t>
              </m:r>
            </m:e>
            <m:sub>
              <m:r>
                <m:rPr>
                  <m:sty m:val="bi"/>
                </m:rPr>
                <w:rPr>
                  <w:rFonts w:ascii="Cambria Math" w:hAnsi="Cambria Math"/>
                </w:rPr>
                <m:t>i,t</m:t>
              </m:r>
            </m:sub>
          </m:sSub>
          <m:r>
            <m:rPr>
              <m:sty m:val="bi"/>
            </m:rPr>
            <w:rPr>
              <w:rFonts w:ascii="Cambria Math" w:hAnsi="Cambria Math"/>
            </w:rPr>
            <m:t>+γControl</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i,t</m:t>
              </m:r>
            </m:sub>
          </m:sSub>
          <m:r>
            <m:rPr>
              <m:sty m:val="bi"/>
            </m:rPr>
            <w:rPr>
              <w:rFonts w:ascii="Cambria Math" w:hAnsi="Cambria Math"/>
            </w:rPr>
            <m:t>+FirmF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+YearF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ϵ</m:t>
              </m:r>
            </m:e>
            <m:sub>
              <m:r>
                <m:rPr>
                  <m:sty m:val="bi"/>
                </m:rPr>
                <w:rPr>
                  <w:rFonts w:ascii="Cambria Math" w:hAnsi="Cambria Math"/>
                </w:rPr>
                <m:t>i,t</m:t>
              </m:r>
            </m:sub>
          </m:sSub>
          <m:r>
            <m:rPr>
              <m:sty m:val="bi"/>
            </m:rPr>
            <w:rPr>
              <w:rFonts w:ascii="Cambria Math" w:hAnsi="Cambria Math"/>
            </w:rPr>
            <m:t>  </m:t>
          </m:r>
          <m:d>
            <m:dPr>
              <m:ctrlPr>
                <w:rPr>
                  <w:rFonts w:ascii="Cambria Math" w:hAnsi="Cambria Math"/>
                </w:rPr>
              </m:ctrlPr>
            </m:dPr>
            <m:e>
              <m:r>
                <m:rPr>
                  <m:sty m:val="bi"/>
                </m:rPr>
                <w:rPr>
                  <w:rFonts w:ascii="Cambria Math" w:hAnsi="Cambria Math"/>
                </w:rPr>
                <m:t>3</m:t>
              </m:r>
            </m:e>
          </m:d>
          <m:r>
            <m:rPr>
              <m:sty m:val="b"/>
            </m:rPr>
            <w:rPr>
              <w:rFonts w:ascii="Cambria Math" w:hAnsi="Cambria Math"/>
              <w:lang w:val="vi-VN"/>
            </w:rPr>
            <w:br/>
          </m:r>
        </m:oMath>
      </m:oMathPara>
      <w:r w:rsidR="00467A50" w:rsidRPr="004A2D81">
        <w:rPr>
          <w:b w:val="0"/>
          <w:bCs w:val="0"/>
          <w:lang w:val="vi-VN"/>
        </w:rPr>
        <w:t xml:space="preserve">In this equation, </w:t>
      </w:r>
      <m:oMath>
        <m:r>
          <m:rPr>
            <m:sty m:val="bi"/>
          </m:rPr>
          <w:rPr>
            <w:rFonts w:ascii="Cambria Math" w:hAnsi="Cambria Math"/>
          </w:rPr>
          <m:t>T</m:t>
        </m:r>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i,t</m:t>
            </m:r>
          </m:sub>
        </m:sSub>
      </m:oMath>
      <w:r w:rsidR="00467A50" w:rsidRPr="004A2D81">
        <w:rPr>
          <w:b w:val="0"/>
          <w:bCs w:val="0"/>
          <w:lang w:val="vi-VN"/>
        </w:rPr>
        <w:t xml:space="preserve"> is the trade credit access of firm </w:t>
      </w:r>
      <m:oMath>
        <m:r>
          <m:rPr>
            <m:sty m:val="bi"/>
          </m:rPr>
          <w:rPr>
            <w:rFonts w:ascii="Cambria Math" w:hAnsi="Cambria Math"/>
          </w:rPr>
          <m:t>i</m:t>
        </m:r>
      </m:oMath>
      <w:r w:rsidR="00467A50" w:rsidRPr="004A2D81">
        <w:rPr>
          <w:b w:val="0"/>
          <w:bCs w:val="0"/>
          <w:lang w:val="vi-VN"/>
        </w:rPr>
        <w:t xml:space="preserve"> in year </w:t>
      </w:r>
      <m:oMath>
        <m:r>
          <m:rPr>
            <m:sty m:val="bi"/>
          </m:rPr>
          <w:rPr>
            <w:rFonts w:ascii="Cambria Math" w:hAnsi="Cambria Math"/>
          </w:rPr>
          <m:t>t</m:t>
        </m:r>
      </m:oMath>
      <w:r w:rsidR="00467A50" w:rsidRPr="004A2D81">
        <w:rPr>
          <w:b w:val="0"/>
          <w:bCs w:val="0"/>
          <w:lang w:val="vi-VN"/>
        </w:rPr>
        <w:t xml:space="preserve">. </w:t>
      </w:r>
      <m:oMath>
        <m:r>
          <m:rPr>
            <m:sty m:val="bi"/>
          </m:rPr>
          <w:rPr>
            <w:rFonts w:ascii="Cambria Math" w:hAnsi="Cambria Math"/>
          </w:rPr>
          <m:t>Control</m:t>
        </m:r>
        <m:sSub>
          <m:sSubPr>
            <m:ctrlPr>
              <w:rPr>
                <w:rFonts w:ascii="Cambria Math" w:hAnsi="Cambria Math"/>
                <w:b w:val="0"/>
                <w:bCs w:val="0"/>
              </w:rPr>
            </m:ctrlPr>
          </m:sSubPr>
          <m:e>
            <m:r>
              <m:rPr>
                <m:sty m:val="bi"/>
              </m:rPr>
              <w:rPr>
                <w:rFonts w:ascii="Cambria Math" w:hAnsi="Cambria Math"/>
              </w:rPr>
              <m:t>s</m:t>
            </m:r>
          </m:e>
          <m:sub>
            <m:r>
              <m:rPr>
                <m:sty m:val="bi"/>
              </m:rPr>
              <w:rPr>
                <w:rFonts w:ascii="Cambria Math" w:hAnsi="Cambria Math"/>
              </w:rPr>
              <m:t>i,t</m:t>
            </m:r>
          </m:sub>
        </m:sSub>
      </m:oMath>
      <w:r w:rsidR="00467A50" w:rsidRPr="004A2D81">
        <w:rPr>
          <w:b w:val="0"/>
          <w:bCs w:val="0"/>
          <w:lang w:val="vi-VN"/>
        </w:rPr>
        <w:t xml:space="preserve"> represents the same set of firm-level control variables utilized in the baseline regressions. We continue to control for firm fixed effects (</w:t>
      </w:r>
      <m:oMath>
        <m:r>
          <m:rPr>
            <m:sty m:val="bi"/>
          </m:rPr>
          <w:rPr>
            <w:rFonts w:ascii="Cambria Math" w:hAnsi="Cambria Math"/>
          </w:rPr>
          <m:t>FirmFE</m:t>
        </m:r>
      </m:oMath>
      <w:r w:rsidR="00467A50" w:rsidRPr="004A2D81">
        <w:rPr>
          <w:b w:val="0"/>
          <w:bCs w:val="0"/>
          <w:lang w:val="vi-VN"/>
        </w:rPr>
        <w:t>) and year fixed effects (</w:t>
      </w:r>
      <w:r w:rsidR="00467A50" w:rsidRPr="004A2D81">
        <w:rPr>
          <w:b w:val="0"/>
          <w:bCs w:val="0"/>
          <w:i/>
          <w:iCs/>
          <w:lang w:val="vi-VN"/>
        </w:rPr>
        <w:t>YearFE</w:t>
      </w:r>
      <w:r w:rsidR="00467A50" w:rsidRPr="004A2D81">
        <w:rPr>
          <w:b w:val="0"/>
          <w:bCs w:val="0"/>
          <w:lang w:val="vi-VN"/>
        </w:rPr>
        <w:t xml:space="preserve">) to absorb time-invariant firm unobservables and aggregate time trends. The coefficient of interest is </w:t>
      </w: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1</m:t>
            </m:r>
          </m:sub>
        </m:sSub>
      </m:oMath>
      <w:r w:rsidR="00467A50" w:rsidRPr="004A2D81">
        <w:rPr>
          <w:b w:val="0"/>
          <w:bCs w:val="0"/>
          <w:lang w:val="vi-VN"/>
        </w:rPr>
        <w:t xml:space="preserve">, which captures the average treatment effect on the treated (ATT). A significantly positive </w:t>
      </w: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1</m:t>
            </m:r>
          </m:sub>
        </m:sSub>
      </m:oMath>
      <w:r w:rsidR="007504A0" w:rsidRPr="004A2D81">
        <w:rPr>
          <w:b w:val="0"/>
          <w:bCs w:val="0"/>
          <w:lang w:val="vi-VN"/>
        </w:rPr>
        <w:t xml:space="preserve"> </w:t>
      </w:r>
      <w:r w:rsidR="00467A50" w:rsidRPr="004A2D81">
        <w:rPr>
          <w:b w:val="0"/>
          <w:bCs w:val="0"/>
          <w:lang w:val="vi-VN"/>
        </w:rPr>
        <w:t xml:space="preserve">would confirm that an exogenous policy shock promoting digitalization causally increases a firm's access to trade credit. </w:t>
      </w:r>
    </w:p>
    <w:p w14:paraId="0F8DB1C1" w14:textId="0AB9466B" w:rsidR="00467A50" w:rsidRPr="007504A0" w:rsidRDefault="00467A50" w:rsidP="00333439">
      <w:pPr>
        <w:pStyle w:val="Heading2"/>
        <w:tabs>
          <w:tab w:val="left" w:pos="792"/>
        </w:tabs>
        <w:spacing w:before="240" w:line="360" w:lineRule="auto"/>
        <w:ind w:left="0" w:right="234"/>
        <w:rPr>
          <w:lang w:val="vi-VN"/>
        </w:rPr>
      </w:pPr>
      <w:r w:rsidRPr="007504A0">
        <w:rPr>
          <w:lang w:val="vi-VN"/>
        </w:rPr>
        <w:t xml:space="preserve">Table </w:t>
      </w:r>
      <w:r w:rsidR="00363578">
        <w:rPr>
          <w:lang w:val="vi-VN"/>
        </w:rPr>
        <w:t>6</w:t>
      </w:r>
      <w:r w:rsidRPr="007504A0">
        <w:rPr>
          <w:lang w:val="vi-VN"/>
        </w:rPr>
        <w:t>. Staggered Difference-in-Differences (DID) estimation</w:t>
      </w:r>
    </w:p>
    <w:tbl>
      <w:tblPr>
        <w:tblStyle w:val="TableGrid"/>
        <w:tblW w:w="4890" w:type="pct"/>
        <w:tblLook w:val="04A0" w:firstRow="1" w:lastRow="0" w:firstColumn="1" w:lastColumn="0" w:noHBand="0" w:noVBand="1"/>
      </w:tblPr>
      <w:tblGrid>
        <w:gridCol w:w="5039"/>
        <w:gridCol w:w="5162"/>
      </w:tblGrid>
      <w:tr w:rsidR="00467A50" w:rsidRPr="00333439" w14:paraId="16BEEB00" w14:textId="77777777" w:rsidTr="007504A0">
        <w:tc>
          <w:tcPr>
            <w:tcW w:w="2470" w:type="pct"/>
            <w:hideMark/>
          </w:tcPr>
          <w:p w14:paraId="49E8F1AF"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lang w:val="vi-VN"/>
              </w:rPr>
              <w:t>Variables</w:t>
            </w:r>
          </w:p>
        </w:tc>
        <w:tc>
          <w:tcPr>
            <w:tcW w:w="2530" w:type="pct"/>
            <w:hideMark/>
          </w:tcPr>
          <w:p w14:paraId="088CA5BD"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lang w:val="vi-VN"/>
              </w:rPr>
              <w:t>(1) TC</w:t>
            </w:r>
          </w:p>
        </w:tc>
      </w:tr>
      <w:tr w:rsidR="00467A50" w:rsidRPr="00333439" w14:paraId="3889A670" w14:textId="77777777" w:rsidTr="007504A0">
        <w:tc>
          <w:tcPr>
            <w:tcW w:w="2470" w:type="pct"/>
            <w:hideMark/>
          </w:tcPr>
          <w:p w14:paraId="354A2057" w14:textId="7FBB3019"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lastRenderedPageBreak/>
              <w:t>DID</w:t>
            </w:r>
          </w:p>
        </w:tc>
        <w:tc>
          <w:tcPr>
            <w:tcW w:w="2530" w:type="pct"/>
            <w:hideMark/>
          </w:tcPr>
          <w:p w14:paraId="77C76C10"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0.015***</w:t>
            </w:r>
          </w:p>
        </w:tc>
      </w:tr>
      <w:tr w:rsidR="00467A50" w:rsidRPr="00333439" w14:paraId="735301A4" w14:textId="77777777" w:rsidTr="007504A0">
        <w:tc>
          <w:tcPr>
            <w:tcW w:w="2470" w:type="pct"/>
            <w:hideMark/>
          </w:tcPr>
          <w:p w14:paraId="13C2DD7F" w14:textId="77777777" w:rsidR="00467A50" w:rsidRPr="007504A0" w:rsidRDefault="00467A50" w:rsidP="00333439">
            <w:pPr>
              <w:pStyle w:val="Heading2"/>
              <w:tabs>
                <w:tab w:val="left" w:pos="792"/>
              </w:tabs>
              <w:spacing w:before="240" w:line="360" w:lineRule="auto"/>
              <w:ind w:left="0" w:right="234"/>
              <w:rPr>
                <w:b w:val="0"/>
                <w:bCs w:val="0"/>
                <w:i/>
                <w:iCs/>
                <w:lang w:val="vi-VN"/>
              </w:rPr>
            </w:pPr>
          </w:p>
        </w:tc>
        <w:tc>
          <w:tcPr>
            <w:tcW w:w="2530" w:type="pct"/>
            <w:hideMark/>
          </w:tcPr>
          <w:p w14:paraId="35B81D91"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(3.42)</w:t>
            </w:r>
          </w:p>
        </w:tc>
      </w:tr>
      <w:tr w:rsidR="00467A50" w:rsidRPr="00333439" w14:paraId="3EC363C0" w14:textId="77777777" w:rsidTr="007504A0">
        <w:tc>
          <w:tcPr>
            <w:tcW w:w="2470" w:type="pct"/>
            <w:hideMark/>
          </w:tcPr>
          <w:p w14:paraId="5272D2BC" w14:textId="7BA1D1FD"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Size</w:t>
            </w:r>
          </w:p>
        </w:tc>
        <w:tc>
          <w:tcPr>
            <w:tcW w:w="2530" w:type="pct"/>
            <w:hideMark/>
          </w:tcPr>
          <w:p w14:paraId="1A0B4E31"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0.012*** (4.05)</w:t>
            </w:r>
          </w:p>
        </w:tc>
      </w:tr>
      <w:tr w:rsidR="00467A50" w:rsidRPr="00333439" w14:paraId="2258F0AE" w14:textId="77777777" w:rsidTr="007504A0">
        <w:tc>
          <w:tcPr>
            <w:tcW w:w="2470" w:type="pct"/>
            <w:hideMark/>
          </w:tcPr>
          <w:p w14:paraId="68D68E32" w14:textId="6AF6081B"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ROA</w:t>
            </w:r>
          </w:p>
        </w:tc>
        <w:tc>
          <w:tcPr>
            <w:tcW w:w="2530" w:type="pct"/>
            <w:hideMark/>
          </w:tcPr>
          <w:p w14:paraId="0A19FF04"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-0.138*** (-3.88)</w:t>
            </w:r>
          </w:p>
        </w:tc>
      </w:tr>
      <w:tr w:rsidR="00467A50" w:rsidRPr="00333439" w14:paraId="0780FD48" w14:textId="77777777" w:rsidTr="007504A0">
        <w:tc>
          <w:tcPr>
            <w:tcW w:w="2470" w:type="pct"/>
            <w:hideMark/>
          </w:tcPr>
          <w:p w14:paraId="49160DD7" w14:textId="4EE54A9B"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Lev</w:t>
            </w:r>
          </w:p>
        </w:tc>
        <w:tc>
          <w:tcPr>
            <w:tcW w:w="2530" w:type="pct"/>
            <w:hideMark/>
          </w:tcPr>
          <w:p w14:paraId="6E1DC7A5"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0.031** (2.15)</w:t>
            </w:r>
          </w:p>
        </w:tc>
      </w:tr>
      <w:tr w:rsidR="00467A50" w:rsidRPr="00333439" w14:paraId="66E95808" w14:textId="77777777" w:rsidTr="007504A0">
        <w:tc>
          <w:tcPr>
            <w:tcW w:w="2470" w:type="pct"/>
            <w:hideMark/>
          </w:tcPr>
          <w:p w14:paraId="7A815BB0" w14:textId="427879D9"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Tang</w:t>
            </w:r>
          </w:p>
        </w:tc>
        <w:tc>
          <w:tcPr>
            <w:tcW w:w="2530" w:type="pct"/>
            <w:hideMark/>
          </w:tcPr>
          <w:p w14:paraId="4FA77968"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-0.040*** (-3.50)</w:t>
            </w:r>
          </w:p>
        </w:tc>
      </w:tr>
      <w:tr w:rsidR="00467A50" w:rsidRPr="00333439" w14:paraId="6850C8A4" w14:textId="77777777" w:rsidTr="007504A0">
        <w:tc>
          <w:tcPr>
            <w:tcW w:w="2470" w:type="pct"/>
            <w:hideMark/>
          </w:tcPr>
          <w:p w14:paraId="20E30F2A" w14:textId="1D7F364F"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CF</w:t>
            </w:r>
          </w:p>
        </w:tc>
        <w:tc>
          <w:tcPr>
            <w:tcW w:w="2530" w:type="pct"/>
            <w:hideMark/>
          </w:tcPr>
          <w:p w14:paraId="41C97315"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-0.025** (-2.40)</w:t>
            </w:r>
          </w:p>
        </w:tc>
      </w:tr>
      <w:tr w:rsidR="00467A50" w:rsidRPr="00333439" w14:paraId="0F5BF1D4" w14:textId="77777777" w:rsidTr="007504A0">
        <w:tc>
          <w:tcPr>
            <w:tcW w:w="2470" w:type="pct"/>
            <w:hideMark/>
          </w:tcPr>
          <w:p w14:paraId="7E2E1783" w14:textId="767829A9"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Growth</w:t>
            </w:r>
          </w:p>
        </w:tc>
        <w:tc>
          <w:tcPr>
            <w:tcW w:w="2530" w:type="pct"/>
            <w:hideMark/>
          </w:tcPr>
          <w:p w14:paraId="4948F7EC"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0.010** (2.12)</w:t>
            </w:r>
          </w:p>
        </w:tc>
      </w:tr>
      <w:tr w:rsidR="00467A50" w:rsidRPr="00333439" w14:paraId="2AA9AE72" w14:textId="77777777" w:rsidTr="007504A0">
        <w:tc>
          <w:tcPr>
            <w:tcW w:w="2470" w:type="pct"/>
            <w:hideMark/>
          </w:tcPr>
          <w:p w14:paraId="5559045E" w14:textId="7A5DF2FC"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Age</w:t>
            </w:r>
          </w:p>
        </w:tc>
        <w:tc>
          <w:tcPr>
            <w:tcW w:w="2530" w:type="pct"/>
            <w:hideMark/>
          </w:tcPr>
          <w:p w14:paraId="53096662"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-0.003 (-0.75)</w:t>
            </w:r>
          </w:p>
        </w:tc>
      </w:tr>
      <w:tr w:rsidR="00467A50" w:rsidRPr="00333439" w14:paraId="3C74A70F" w14:textId="77777777" w:rsidTr="007504A0">
        <w:tc>
          <w:tcPr>
            <w:tcW w:w="2470" w:type="pct"/>
            <w:hideMark/>
          </w:tcPr>
          <w:p w14:paraId="4A961405" w14:textId="77777777"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Constant</w:t>
            </w:r>
          </w:p>
        </w:tc>
        <w:tc>
          <w:tcPr>
            <w:tcW w:w="2530" w:type="pct"/>
            <w:hideMark/>
          </w:tcPr>
          <w:p w14:paraId="7A8ADE07"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-0.165** (-2.28)</w:t>
            </w:r>
          </w:p>
        </w:tc>
      </w:tr>
      <w:tr w:rsidR="00467A50" w:rsidRPr="00333439" w14:paraId="634C7B96" w14:textId="77777777" w:rsidTr="007504A0">
        <w:tc>
          <w:tcPr>
            <w:tcW w:w="2470" w:type="pct"/>
            <w:hideMark/>
          </w:tcPr>
          <w:p w14:paraId="6239AF4E" w14:textId="77777777"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Controls</w:t>
            </w:r>
          </w:p>
        </w:tc>
        <w:tc>
          <w:tcPr>
            <w:tcW w:w="2530" w:type="pct"/>
            <w:hideMark/>
          </w:tcPr>
          <w:p w14:paraId="5A0740C4"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3D6FD7B6" w14:textId="77777777" w:rsidTr="007504A0">
        <w:tc>
          <w:tcPr>
            <w:tcW w:w="2470" w:type="pct"/>
            <w:hideMark/>
          </w:tcPr>
          <w:p w14:paraId="082E2846" w14:textId="77777777"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Firm FE</w:t>
            </w:r>
          </w:p>
        </w:tc>
        <w:tc>
          <w:tcPr>
            <w:tcW w:w="2530" w:type="pct"/>
            <w:hideMark/>
          </w:tcPr>
          <w:p w14:paraId="6DCBC5CA"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001C4F93" w14:textId="77777777" w:rsidTr="007504A0">
        <w:tc>
          <w:tcPr>
            <w:tcW w:w="2470" w:type="pct"/>
            <w:hideMark/>
          </w:tcPr>
          <w:p w14:paraId="06B3283A" w14:textId="77777777" w:rsidR="00467A50" w:rsidRPr="007504A0" w:rsidRDefault="00467A50" w:rsidP="00333439">
            <w:pPr>
              <w:pStyle w:val="Heading2"/>
              <w:tabs>
                <w:tab w:val="left" w:pos="792"/>
              </w:tabs>
              <w:spacing w:before="240" w:line="360" w:lineRule="auto"/>
              <w:ind w:left="0" w:right="234"/>
              <w:rPr>
                <w:b w:val="0"/>
                <w:bCs w:val="0"/>
                <w:i/>
                <w:iCs/>
                <w:lang w:val="vi-VN"/>
              </w:rPr>
            </w:pPr>
            <w:r w:rsidRPr="007504A0">
              <w:rPr>
                <w:b w:val="0"/>
                <w:bCs w:val="0"/>
                <w:i/>
                <w:iCs/>
                <w:lang w:val="vi-VN"/>
              </w:rPr>
              <w:t>Year FE</w:t>
            </w:r>
          </w:p>
        </w:tc>
        <w:tc>
          <w:tcPr>
            <w:tcW w:w="2530" w:type="pct"/>
            <w:hideMark/>
          </w:tcPr>
          <w:p w14:paraId="221AFB02"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467A50" w:rsidRPr="00333439" w14:paraId="443E2D99" w14:textId="77777777" w:rsidTr="007504A0">
        <w:tc>
          <w:tcPr>
            <w:tcW w:w="2470" w:type="pct"/>
            <w:hideMark/>
          </w:tcPr>
          <w:p w14:paraId="592577B1"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Observations</w:t>
            </w:r>
          </w:p>
        </w:tc>
        <w:tc>
          <w:tcPr>
            <w:tcW w:w="2530" w:type="pct"/>
            <w:hideMark/>
          </w:tcPr>
          <w:p w14:paraId="0D6DB179"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5,420</w:t>
            </w:r>
          </w:p>
        </w:tc>
      </w:tr>
      <w:tr w:rsidR="00467A50" w:rsidRPr="00333439" w14:paraId="37324DFB" w14:textId="77777777" w:rsidTr="007504A0">
        <w:tc>
          <w:tcPr>
            <w:tcW w:w="2470" w:type="pct"/>
            <w:hideMark/>
          </w:tcPr>
          <w:p w14:paraId="20681ABB" w14:textId="19639428"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2530" w:type="pct"/>
            <w:hideMark/>
          </w:tcPr>
          <w:p w14:paraId="54D62ABC" w14:textId="77777777" w:rsidR="00467A50" w:rsidRPr="00333439" w:rsidRDefault="00467A50" w:rsidP="00333439">
            <w:pPr>
              <w:pStyle w:val="Heading2"/>
              <w:tabs>
                <w:tab w:val="left" w:pos="792"/>
              </w:tabs>
              <w:spacing w:before="240" w:line="360" w:lineRule="auto"/>
              <w:ind w:left="0" w:right="234"/>
              <w:rPr>
                <w:b w:val="0"/>
                <w:bCs w:val="0"/>
                <w:lang w:val="vi-VN"/>
              </w:rPr>
            </w:pPr>
            <w:r w:rsidRPr="00333439">
              <w:rPr>
                <w:b w:val="0"/>
                <w:bCs w:val="0"/>
                <w:lang w:val="vi-VN"/>
              </w:rPr>
              <w:t>0.442</w:t>
            </w:r>
          </w:p>
        </w:tc>
      </w:tr>
    </w:tbl>
    <w:p w14:paraId="1A77E6D7" w14:textId="41C93E7B" w:rsidR="00333439" w:rsidRPr="00333439" w:rsidRDefault="001B689E" w:rsidP="00333439">
      <w:pPr>
        <w:pStyle w:val="Heading2"/>
        <w:tabs>
          <w:tab w:val="left" w:pos="792"/>
        </w:tabs>
        <w:spacing w:before="240" w:line="360" w:lineRule="auto"/>
        <w:ind w:left="0" w:right="234"/>
        <w:rPr>
          <w:b w:val="0"/>
          <w:bCs w:val="0"/>
          <w:lang w:val="vi-VN"/>
        </w:rPr>
      </w:pPr>
      <w:r w:rsidRPr="001B689E">
        <w:rPr>
          <w:b w:val="0"/>
          <w:bCs w:val="0"/>
          <w:lang w:val="vi-VN"/>
        </w:rPr>
        <w:t>Table 6 displays the regression findings for the staggered DID model. At the 1% level, the coefficient on the policy variable, DID, is positive and statistically significant (α_1 = 0.015, t = 3.42). This finding suggests that businesses in the treated provinces had much better access to trade financing than businesses in other provinces following the exogenous adoption of local digital transformation strategies</w:t>
      </w:r>
      <w:r>
        <w:rPr>
          <w:b w:val="0"/>
          <w:bCs w:val="0"/>
          <w:lang w:val="en-US"/>
        </w:rPr>
        <w:t xml:space="preserve"> </w:t>
      </w:r>
      <w:r w:rsidR="00467A50" w:rsidRPr="00333439">
        <w:rPr>
          <w:b w:val="0"/>
          <w:bCs w:val="0"/>
          <w:lang w:val="vi-VN"/>
        </w:rPr>
        <w:t>that had not yet implemented such policies. This causal evidence strongly corroborates our baseline findings, confirming that the digital trust premium is not merely driven by reverse causality or unobserved firm characteristics</w:t>
      </w:r>
    </w:p>
    <w:p w14:paraId="43B97A3C" w14:textId="77777777" w:rsidR="00333439" w:rsidRPr="007504A0" w:rsidRDefault="00333439" w:rsidP="007504A0">
      <w:pPr>
        <w:spacing w:before="120" w:after="120" w:line="360" w:lineRule="auto"/>
        <w:ind w:right="234"/>
        <w:jc w:val="both"/>
        <w:rPr>
          <w:b/>
          <w:bCs/>
        </w:rPr>
      </w:pPr>
      <w:r w:rsidRPr="007504A0">
        <w:rPr>
          <w:b/>
          <w:bCs/>
        </w:rPr>
        <w:t>4.4.2. Dynamic effect test</w:t>
      </w:r>
    </w:p>
    <w:p w14:paraId="3D931C13" w14:textId="540D5B43" w:rsidR="00333439" w:rsidRPr="004A2D81" w:rsidRDefault="001B689E" w:rsidP="00333439">
      <w:pPr>
        <w:pStyle w:val="Heading2"/>
        <w:tabs>
          <w:tab w:val="left" w:pos="792"/>
        </w:tabs>
        <w:spacing w:before="240" w:line="360" w:lineRule="auto"/>
        <w:ind w:left="0" w:right="234"/>
        <w:rPr>
          <w:b w:val="0"/>
          <w:bCs w:val="0"/>
          <w:lang w:val="vi-VN"/>
        </w:rPr>
      </w:pPr>
      <w:r w:rsidRPr="001B689E">
        <w:rPr>
          <w:b w:val="0"/>
          <w:bCs w:val="0"/>
          <w:lang w:val="vi-VN"/>
        </w:rPr>
        <w:lastRenderedPageBreak/>
        <w:t>The parallel trend assumption is a basic requirement for guaranteeing the internal validity of the staggered difference-in-differences (DID) model. This assumption necessitates that the trade credit access of businesses in the treatment group and the control group would have followed the same pre-treatment trajectory in the absence of the policy shock.</w:t>
      </w:r>
      <w:r>
        <w:rPr>
          <w:b w:val="0"/>
          <w:bCs w:val="0"/>
          <w:lang w:val="en-US"/>
        </w:rPr>
        <w:t xml:space="preserve"> </w:t>
      </w:r>
      <w:r w:rsidR="00333439" w:rsidRPr="004A2D81">
        <w:rPr>
          <w:b w:val="0"/>
          <w:bCs w:val="0"/>
          <w:lang w:val="vi-VN"/>
        </w:rPr>
        <w:t>Furthermore, examining the dynamic effects allows us to understand whether the impact of the provincial digital transformation mandate is immediate, delayed, or sustained over time.</w:t>
      </w:r>
    </w:p>
    <w:p w14:paraId="4FA8DB4B" w14:textId="187134D9" w:rsidR="00333439" w:rsidRPr="004A2D81" w:rsidRDefault="00333439" w:rsidP="00333439">
      <w:pPr>
        <w:pStyle w:val="Heading2"/>
        <w:tabs>
          <w:tab w:val="left" w:pos="792"/>
        </w:tabs>
        <w:spacing w:before="240" w:line="360" w:lineRule="auto"/>
        <w:ind w:left="0" w:right="234"/>
        <w:rPr>
          <w:b w:val="0"/>
          <w:bCs w:val="0"/>
          <w:lang w:val="vi-VN"/>
        </w:rPr>
      </w:pPr>
      <w:r w:rsidRPr="004A2D81">
        <w:rPr>
          <w:b w:val="0"/>
          <w:bCs w:val="0"/>
          <w:lang w:val="vi-VN"/>
        </w:rPr>
        <w:t>Following standard event-study methodologies in corporate finance, we replace the single treatment dummy (</w:t>
      </w:r>
      <w:r w:rsidR="007504A0" w:rsidRPr="004A2D81">
        <w:rPr>
          <w:b w:val="0"/>
          <w:bCs w:val="0"/>
          <w:lang w:val="vi-VN"/>
        </w:rPr>
        <w:t xml:space="preserve"> </w:t>
      </w:r>
      <m:oMath>
        <m:r>
          <m:rPr>
            <m:sty m:val="bi"/>
          </m:rPr>
          <w:rPr>
            <w:rFonts w:ascii="Cambria Math" w:hAnsi="Cambria Math"/>
          </w:rPr>
          <m:t>DI</m:t>
        </m:r>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i,t</m:t>
            </m:r>
          </m:sub>
        </m:sSub>
      </m:oMath>
      <w:r w:rsidR="007504A0" w:rsidRPr="004A2D81">
        <w:rPr>
          <w:b w:val="0"/>
          <w:bCs w:val="0"/>
          <w:lang w:val="vi-VN"/>
        </w:rPr>
        <w:t xml:space="preserve"> </w:t>
      </w:r>
      <w:r w:rsidRPr="004A2D81">
        <w:rPr>
          <w:b w:val="0"/>
          <w:bCs w:val="0"/>
          <w:lang w:val="vi-VN"/>
        </w:rPr>
        <w:t>) with a series of relative time indicator variables to trace out the year-by-year effects of the policy enactment. We estimate the following dynamic model:</w:t>
      </w:r>
    </w:p>
    <w:p w14:paraId="39854E47" w14:textId="77777777" w:rsidR="001B689E" w:rsidRDefault="007C4145" w:rsidP="00333439">
      <w:pPr>
        <w:pStyle w:val="Heading2"/>
        <w:tabs>
          <w:tab w:val="left" w:pos="792"/>
        </w:tabs>
        <w:spacing w:before="240" w:line="360" w:lineRule="auto"/>
        <w:ind w:left="0" w:right="234"/>
        <w:rPr>
          <w:b w:val="0"/>
          <w:bCs w:val="0"/>
          <w:lang w:val="en-US"/>
        </w:rPr>
      </w:pPr>
      <m:oMathPara>
        <m:oMath>
          <m:r>
            <m:rPr>
              <m:sty m:val="bi"/>
            </m:rPr>
            <w:rPr>
              <w:rFonts w:ascii="Cambria Math" w:hAnsi="Cambria Math"/>
            </w:rPr>
            <m:t>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i,t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0</m:t>
              </m:r>
            </m:sub>
          </m:sSub>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k=-3</m:t>
              </m:r>
            </m:sub>
            <m:sup>
              <m:r>
                <m:rPr>
                  <m:sty m:val="bi"/>
                </m:rPr>
                <w:rPr>
                  <w:rFonts w:ascii="Cambria Math" w:hAnsi="Cambria Math"/>
                </w:rPr>
                <m:t>-2</m:t>
              </m:r>
            </m:sup>
            <m:e>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k</m:t>
                  </m:r>
                </m:sub>
              </m:sSub>
            </m:e>
          </m:nary>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i,t</m:t>
              </m:r>
            </m:sub>
            <m:sup>
              <m:r>
                <m:rPr>
                  <m:sty m:val="bi"/>
                </m:rPr>
                <w:rPr>
                  <w:rFonts w:ascii="Cambria Math" w:hAnsi="Cambria Math"/>
                </w:rPr>
                <m:t>k</m:t>
              </m:r>
            </m:sup>
          </m:sSubSup>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k=0</m:t>
              </m:r>
            </m:sub>
            <m:sup>
              <m:r>
                <m:rPr>
                  <m:sty m:val="bi"/>
                </m:rPr>
                <w:rPr>
                  <w:rFonts w:ascii="Cambria Math" w:hAnsi="Cambria Math"/>
                </w:rPr>
                <m:t>3</m:t>
              </m:r>
            </m:sup>
            <m:e>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k</m:t>
                  </m:r>
                </m:sub>
              </m:sSub>
            </m:e>
          </m:nary>
          <m:sSubSup>
            <m:sSubSupPr>
              <m:ctrlPr>
                <w:rPr>
                  <w:rFonts w:ascii="Cambria Math" w:hAnsi="Cambria Math"/>
                </w:rPr>
              </m:ctrlPr>
            </m:sSubSupPr>
            <m:e>
              <m:r>
                <m:rPr>
                  <m:sty m:val="bi"/>
                </m:rPr>
                <w:rPr>
                  <w:rFonts w:ascii="Cambria Math" w:hAnsi="Cambria Math"/>
                </w:rPr>
                <m:t>D</m:t>
              </m:r>
            </m:e>
            <m:sub>
              <m:r>
                <m:rPr>
                  <m:sty m:val="bi"/>
                </m:rPr>
                <w:rPr>
                  <w:rFonts w:ascii="Cambria Math" w:hAnsi="Cambria Math"/>
                </w:rPr>
                <m:t>i,t</m:t>
              </m:r>
            </m:sub>
            <m:sup>
              <m:r>
                <m:rPr>
                  <m:sty m:val="bi"/>
                </m:rPr>
                <w:rPr>
                  <w:rFonts w:ascii="Cambria Math" w:hAnsi="Cambria Math"/>
                </w:rPr>
                <m:t>k</m:t>
              </m:r>
            </m:sup>
          </m:sSubSup>
          <m:r>
            <m:rPr>
              <m:sty m:val="bi"/>
            </m:rPr>
            <w:rPr>
              <w:rFonts w:ascii="Cambria Math" w:hAnsi="Cambria Math"/>
            </w:rPr>
            <m:t>+γControl</m:t>
          </m:r>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i,t</m:t>
              </m:r>
            </m:sub>
          </m:sSub>
          <m:r>
            <m:rPr>
              <m:sty m:val="bi"/>
            </m:rPr>
            <w:rPr>
              <w:rFonts w:ascii="Cambria Math" w:hAnsi="Cambria Math"/>
            </w:rPr>
            <m:t>+FirmF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+YearF</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ϵ</m:t>
              </m:r>
            </m:e>
            <m:sub>
              <m:r>
                <m:rPr>
                  <m:sty m:val="bi"/>
                </m:rPr>
                <w:rPr>
                  <w:rFonts w:ascii="Cambria Math" w:hAnsi="Cambria Math"/>
                </w:rPr>
                <m:t>i,t</m:t>
              </m:r>
            </m:sub>
          </m:sSub>
          <m:r>
            <m:rPr>
              <m:sty m:val="bi"/>
            </m:rPr>
            <w:rPr>
              <w:rFonts w:ascii="Cambria Math" w:hAnsi="Cambria Math"/>
            </w:rPr>
            <m:t>  </m:t>
          </m:r>
          <m:d>
            <m:dPr>
              <m:ctrlPr>
                <w:rPr>
                  <w:rFonts w:ascii="Cambria Math" w:hAnsi="Cambria Math"/>
                </w:rPr>
              </m:ctrlPr>
            </m:dPr>
            <m:e>
              <m:r>
                <m:rPr>
                  <m:sty m:val="bi"/>
                </m:rPr>
                <w:rPr>
                  <w:rFonts w:ascii="Cambria Math" w:hAnsi="Cambria Math"/>
                </w:rPr>
                <m:t>4</m:t>
              </m:r>
            </m:e>
          </m:d>
          <m:r>
            <m:rPr>
              <m:sty m:val="b"/>
            </m:rPr>
            <w:rPr>
              <w:rFonts w:ascii="Cambria Math" w:hAnsi="Cambria Math"/>
              <w:lang w:val="vi-VN"/>
            </w:rPr>
            <w:br/>
          </m:r>
        </m:oMath>
      </m:oMathPara>
      <w:r w:rsidR="001B689E" w:rsidRPr="001B689E">
        <w:rPr>
          <w:b w:val="0"/>
          <w:bCs w:val="0"/>
          <w:lang w:val="vi-VN"/>
        </w:rPr>
        <w:t>A set of dummy variables representing the event windows in relation to the year of the policy implementation (</w:t>
      </w:r>
      <w:r w:rsidR="001B689E" w:rsidRPr="001B689E">
        <w:rPr>
          <w:rFonts w:ascii="Cambria Math" w:hAnsi="Cambria Math" w:cs="Cambria Math"/>
          <w:b w:val="0"/>
          <w:bCs w:val="0"/>
          <w:lang w:val="vi-VN"/>
        </w:rPr>
        <w:t>𝒌</w:t>
      </w:r>
      <w:r w:rsidR="001B689E" w:rsidRPr="001B689E">
        <w:rPr>
          <w:b w:val="0"/>
          <w:bCs w:val="0"/>
          <w:lang w:val="vi-VN"/>
        </w:rPr>
        <w:t>=</w:t>
      </w:r>
      <w:r w:rsidR="001B689E" w:rsidRPr="001B689E">
        <w:rPr>
          <w:rFonts w:ascii="Cambria Math" w:hAnsi="Cambria Math" w:cs="Cambria Math"/>
          <w:b w:val="0"/>
          <w:bCs w:val="0"/>
          <w:lang w:val="vi-VN"/>
        </w:rPr>
        <w:t>𝟎</w:t>
      </w:r>
      <w:r w:rsidR="001B689E" w:rsidRPr="001B689E">
        <w:rPr>
          <w:b w:val="0"/>
          <w:bCs w:val="0"/>
          <w:lang w:val="vi-VN"/>
        </w:rPr>
        <w:t xml:space="preserve">) is represented in this equation by </w:t>
      </w:r>
      <w:r w:rsidR="001B689E" w:rsidRPr="001B689E">
        <w:rPr>
          <w:rFonts w:ascii="Cambria Math" w:hAnsi="Cambria Math" w:cs="Cambria Math"/>
          <w:b w:val="0"/>
          <w:bCs w:val="0"/>
          <w:lang w:val="vi-VN"/>
        </w:rPr>
        <w:t>𝑫𝒊</w:t>
      </w:r>
      <w:r w:rsidR="001B689E" w:rsidRPr="001B689E">
        <w:rPr>
          <w:b w:val="0"/>
          <w:bCs w:val="0"/>
          <w:lang w:val="vi-VN"/>
        </w:rPr>
        <w:t>,</w:t>
      </w:r>
      <w:r w:rsidR="001B689E" w:rsidRPr="001B689E">
        <w:rPr>
          <w:rFonts w:ascii="Cambria Math" w:hAnsi="Cambria Math" w:cs="Cambria Math"/>
          <w:b w:val="0"/>
          <w:bCs w:val="0"/>
          <w:lang w:val="vi-VN"/>
        </w:rPr>
        <w:t>𝒕𝒌</w:t>
      </w:r>
      <w:r w:rsidR="001B689E" w:rsidRPr="001B689E">
        <w:rPr>
          <w:b w:val="0"/>
          <w:bCs w:val="0"/>
          <w:lang w:val="vi-VN"/>
        </w:rPr>
        <w:t xml:space="preserve">. For example, </w:t>
      </w:r>
      <w:r w:rsidR="001B689E" w:rsidRPr="001B689E">
        <w:rPr>
          <w:rFonts w:ascii="Cambria Math" w:hAnsi="Cambria Math" w:cs="Cambria Math"/>
          <w:b w:val="0"/>
          <w:bCs w:val="0"/>
          <w:lang w:val="vi-VN"/>
        </w:rPr>
        <w:t>𝐃𝐢</w:t>
      </w:r>
      <w:r w:rsidR="001B689E" w:rsidRPr="001B689E">
        <w:rPr>
          <w:b w:val="0"/>
          <w:bCs w:val="0"/>
          <w:lang w:val="vi-VN"/>
        </w:rPr>
        <w:t>,</w:t>
      </w:r>
      <w:r w:rsidR="001B689E" w:rsidRPr="001B689E">
        <w:rPr>
          <w:rFonts w:ascii="Cambria Math" w:hAnsi="Cambria Math" w:cs="Cambria Math"/>
          <w:b w:val="0"/>
          <w:bCs w:val="0"/>
          <w:lang w:val="vi-VN"/>
        </w:rPr>
        <w:t>𝐭</w:t>
      </w:r>
      <w:r w:rsidR="001B689E" w:rsidRPr="001B689E">
        <w:rPr>
          <w:b w:val="0"/>
          <w:bCs w:val="0"/>
          <w:lang w:val="vi-VN"/>
        </w:rPr>
        <w:t>−</w:t>
      </w:r>
      <w:r w:rsidR="001B689E" w:rsidRPr="001B689E">
        <w:rPr>
          <w:rFonts w:ascii="Cambria Math" w:hAnsi="Cambria Math" w:cs="Cambria Math"/>
          <w:b w:val="0"/>
          <w:bCs w:val="0"/>
          <w:lang w:val="vi-VN"/>
        </w:rPr>
        <w:t>𝟐</w:t>
      </w:r>
      <w:r w:rsidR="001B689E" w:rsidRPr="001B689E">
        <w:rPr>
          <w:b w:val="0"/>
          <w:bCs w:val="0"/>
          <w:lang w:val="vi-VN"/>
        </w:rPr>
        <w:t xml:space="preserve"> = 1 if the observation occurs two years prior to the province's official implementation of its digital transformation action plan, and 0 otherwise. If the observation is made a year after the implementation, </w:t>
      </w:r>
      <w:r w:rsidR="001B689E" w:rsidRPr="001B689E">
        <w:rPr>
          <w:rFonts w:ascii="Cambria Math" w:hAnsi="Cambria Math" w:cs="Cambria Math"/>
          <w:b w:val="0"/>
          <w:bCs w:val="0"/>
          <w:lang w:val="vi-VN"/>
        </w:rPr>
        <w:t>𝑫𝒊</w:t>
      </w:r>
      <w:r w:rsidR="001B689E" w:rsidRPr="001B689E">
        <w:rPr>
          <w:b w:val="0"/>
          <w:bCs w:val="0"/>
          <w:lang w:val="vi-VN"/>
        </w:rPr>
        <w:t>,</w:t>
      </w:r>
      <w:r w:rsidR="001B689E" w:rsidRPr="001B689E">
        <w:rPr>
          <w:rFonts w:ascii="Cambria Math" w:hAnsi="Cambria Math" w:cs="Cambria Math"/>
          <w:b w:val="0"/>
          <w:bCs w:val="0"/>
          <w:lang w:val="vi-VN"/>
        </w:rPr>
        <w:t>𝒕𝟏</w:t>
      </w:r>
      <w:r w:rsidR="001B689E" w:rsidRPr="001B689E">
        <w:rPr>
          <w:b w:val="0"/>
          <w:bCs w:val="0"/>
          <w:lang w:val="vi-VN"/>
        </w:rPr>
        <w:t xml:space="preserve"> equals 1. We do not use the year right before the policy implementation (k=-1) as the benchmark period in order to prevent perfect multicollinearity. The dynamic difference in trade credit access between the treated and control companies in year </w:t>
      </w:r>
      <w:r w:rsidR="001B689E" w:rsidRPr="001B689E">
        <w:rPr>
          <w:rFonts w:ascii="Cambria Math" w:hAnsi="Cambria Math" w:cs="Cambria Math"/>
          <w:b w:val="0"/>
          <w:bCs w:val="0"/>
          <w:lang w:val="vi-VN"/>
        </w:rPr>
        <w:t>𝒌</w:t>
      </w:r>
      <w:r w:rsidR="001B689E" w:rsidRPr="001B689E">
        <w:rPr>
          <w:b w:val="0"/>
          <w:bCs w:val="0"/>
          <w:lang w:val="vi-VN"/>
        </w:rPr>
        <w:t xml:space="preserve"> compared to the baseline year is captured by the coefficients </w:t>
      </w:r>
      <w:r w:rsidR="001B689E" w:rsidRPr="001B689E">
        <w:rPr>
          <w:rFonts w:ascii="Cambria Math" w:hAnsi="Cambria Math" w:cs="Cambria Math"/>
          <w:b w:val="0"/>
          <w:bCs w:val="0"/>
          <w:lang w:val="vi-VN"/>
        </w:rPr>
        <w:t>𝜸𝒌</w:t>
      </w:r>
      <w:r w:rsidR="001B689E" w:rsidRPr="001B689E">
        <w:rPr>
          <w:b w:val="0"/>
          <w:bCs w:val="0"/>
          <w:lang w:val="vi-VN"/>
        </w:rPr>
        <w:t>.</w:t>
      </w:r>
    </w:p>
    <w:p w14:paraId="3FC04107" w14:textId="77777777" w:rsidR="001B689E" w:rsidRDefault="001B689E" w:rsidP="00333439">
      <w:pPr>
        <w:pStyle w:val="Heading2"/>
        <w:tabs>
          <w:tab w:val="left" w:pos="792"/>
        </w:tabs>
        <w:spacing w:before="240" w:line="360" w:lineRule="auto"/>
        <w:ind w:left="0" w:right="234"/>
        <w:rPr>
          <w:b w:val="0"/>
          <w:bCs w:val="0"/>
          <w:lang w:val="en-US"/>
        </w:rPr>
      </w:pPr>
      <w:r w:rsidRPr="001B689E">
        <w:rPr>
          <w:b w:val="0"/>
          <w:bCs w:val="0"/>
          <w:lang w:val="vi-VN"/>
        </w:rPr>
        <w:t>The coefficients for the pre-treatment periods (γ_(-3) and γ_(-2)) should be statistically indistinguishable from zero if the parallel trend assumption is true, suggesting that there was no discernible pre-existing divergence between the two groups.</w:t>
      </w:r>
    </w:p>
    <w:p w14:paraId="70A9E6D7" w14:textId="113BD753" w:rsidR="00333439" w:rsidRPr="007504A0" w:rsidRDefault="00333439" w:rsidP="00333439">
      <w:pPr>
        <w:pStyle w:val="Heading2"/>
        <w:tabs>
          <w:tab w:val="left" w:pos="792"/>
        </w:tabs>
        <w:spacing w:before="240" w:line="360" w:lineRule="auto"/>
        <w:ind w:left="0" w:right="234"/>
        <w:rPr>
          <w:lang w:val="vi-VN"/>
        </w:rPr>
      </w:pPr>
      <w:r w:rsidRPr="007504A0">
        <w:rPr>
          <w:lang w:val="vi-VN"/>
        </w:rPr>
        <w:t xml:space="preserve">Table </w:t>
      </w:r>
      <w:r w:rsidR="00363578">
        <w:rPr>
          <w:lang w:val="vi-VN"/>
        </w:rPr>
        <w:t>7</w:t>
      </w:r>
      <w:r w:rsidRPr="007504A0">
        <w:rPr>
          <w:lang w:val="vi-VN"/>
        </w:rPr>
        <w:t>. Dynamic effect test</w:t>
      </w:r>
    </w:p>
    <w:tbl>
      <w:tblPr>
        <w:tblStyle w:val="TableGrid"/>
        <w:tblW w:w="4890" w:type="pct"/>
        <w:tblLook w:val="04A0" w:firstRow="1" w:lastRow="0" w:firstColumn="1" w:lastColumn="0" w:noHBand="0" w:noVBand="1"/>
      </w:tblPr>
      <w:tblGrid>
        <w:gridCol w:w="6259"/>
        <w:gridCol w:w="3942"/>
      </w:tblGrid>
      <w:tr w:rsidR="00333439" w:rsidRPr="00333439" w14:paraId="4FB60287" w14:textId="77777777" w:rsidTr="00CC55DE">
        <w:tc>
          <w:tcPr>
            <w:tcW w:w="3068" w:type="pct"/>
            <w:hideMark/>
          </w:tcPr>
          <w:p w14:paraId="4109AD35"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lang w:val="vi-VN"/>
              </w:rPr>
              <w:t>Variables</w:t>
            </w:r>
          </w:p>
        </w:tc>
        <w:tc>
          <w:tcPr>
            <w:tcW w:w="1932" w:type="pct"/>
            <w:hideMark/>
          </w:tcPr>
          <w:p w14:paraId="2B46A1B2"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lang w:val="vi-VN"/>
              </w:rPr>
              <w:t>(1) TC</w:t>
            </w:r>
          </w:p>
        </w:tc>
      </w:tr>
      <w:tr w:rsidR="00333439" w:rsidRPr="00333439" w14:paraId="5BEB027B" w14:textId="77777777" w:rsidTr="00CC55DE">
        <w:tc>
          <w:tcPr>
            <w:tcW w:w="3068" w:type="pct"/>
            <w:hideMark/>
          </w:tcPr>
          <w:p w14:paraId="148BDF38" w14:textId="4CCABB4F" w:rsidR="00333439" w:rsidRPr="00333439" w:rsidRDefault="007504A0" w:rsidP="00333439">
            <w:pPr>
              <w:pStyle w:val="Heading2"/>
              <w:tabs>
                <w:tab w:val="left" w:pos="792"/>
              </w:tabs>
              <w:spacing w:before="240" w:line="360" w:lineRule="auto"/>
              <w:ind w:left="0" w:right="234"/>
              <w:rPr>
                <w:b w:val="0"/>
                <w:bCs w:val="0"/>
                <w:lang w:val="vi-VN"/>
              </w:rPr>
            </w:pPr>
            <m:oMath>
              <m:r>
                <m:rPr>
                  <m:sty m:val="bi"/>
                </m:rPr>
                <w:rPr>
                  <w:rFonts w:ascii="Cambria Math" w:hAnsi="Cambria Math"/>
                </w:rPr>
                <m:t>Before 3</m:t>
              </m:r>
            </m:oMath>
            <w:r w:rsidR="00333439" w:rsidRPr="00333439">
              <w:rPr>
                <w:b w:val="0"/>
                <w:bCs w:val="0"/>
                <w:lang w:val="vi-VN"/>
              </w:rPr>
              <w:t>(k=-3)</w:t>
            </w:r>
          </w:p>
        </w:tc>
        <w:tc>
          <w:tcPr>
            <w:tcW w:w="1932" w:type="pct"/>
            <w:hideMark/>
          </w:tcPr>
          <w:p w14:paraId="54FF2994"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-0.002</w:t>
            </w:r>
          </w:p>
        </w:tc>
      </w:tr>
      <w:tr w:rsidR="00333439" w:rsidRPr="00333439" w14:paraId="35696DD6" w14:textId="77777777" w:rsidTr="00CC55DE">
        <w:tc>
          <w:tcPr>
            <w:tcW w:w="3068" w:type="pct"/>
            <w:hideMark/>
          </w:tcPr>
          <w:p w14:paraId="61CB2237"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48EC89A5"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(-0.45)</w:t>
            </w:r>
          </w:p>
        </w:tc>
      </w:tr>
      <w:tr w:rsidR="00333439" w:rsidRPr="00333439" w14:paraId="5A34407C" w14:textId="77777777" w:rsidTr="00CC55DE">
        <w:tc>
          <w:tcPr>
            <w:tcW w:w="3068" w:type="pct"/>
            <w:hideMark/>
          </w:tcPr>
          <w:p w14:paraId="28A77DFD" w14:textId="0ED8B723"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Before2 (k=-2)</w:t>
            </w:r>
          </w:p>
        </w:tc>
        <w:tc>
          <w:tcPr>
            <w:tcW w:w="1932" w:type="pct"/>
            <w:hideMark/>
          </w:tcPr>
          <w:p w14:paraId="3C99252F"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0.001</w:t>
            </w:r>
          </w:p>
        </w:tc>
      </w:tr>
      <w:tr w:rsidR="00333439" w:rsidRPr="00333439" w14:paraId="14EE1F2F" w14:textId="77777777" w:rsidTr="00CC55DE">
        <w:tc>
          <w:tcPr>
            <w:tcW w:w="3068" w:type="pct"/>
            <w:hideMark/>
          </w:tcPr>
          <w:p w14:paraId="219AA8AB"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454576DF"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(0.22)</w:t>
            </w:r>
          </w:p>
        </w:tc>
      </w:tr>
      <w:tr w:rsidR="00333439" w:rsidRPr="00333439" w14:paraId="1A20DFED" w14:textId="77777777" w:rsidTr="00CC55DE">
        <w:tc>
          <w:tcPr>
            <w:tcW w:w="3068" w:type="pct"/>
            <w:hideMark/>
          </w:tcPr>
          <w:p w14:paraId="0E2EFD35" w14:textId="03BC4B1D"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lastRenderedPageBreak/>
              <w:t>Current (k=0)</w:t>
            </w:r>
          </w:p>
        </w:tc>
        <w:tc>
          <w:tcPr>
            <w:tcW w:w="1932" w:type="pct"/>
            <w:hideMark/>
          </w:tcPr>
          <w:p w14:paraId="3BB49765"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0.008*</w:t>
            </w:r>
          </w:p>
        </w:tc>
      </w:tr>
      <w:tr w:rsidR="00333439" w:rsidRPr="00333439" w14:paraId="77AEC80A" w14:textId="77777777" w:rsidTr="00CC55DE">
        <w:tc>
          <w:tcPr>
            <w:tcW w:w="3068" w:type="pct"/>
            <w:hideMark/>
          </w:tcPr>
          <w:p w14:paraId="7A3B3F97"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4E038269"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(1.85)</w:t>
            </w:r>
          </w:p>
        </w:tc>
      </w:tr>
      <w:tr w:rsidR="00333439" w:rsidRPr="00333439" w14:paraId="1E2EF608" w14:textId="77777777" w:rsidTr="00CC55DE">
        <w:tc>
          <w:tcPr>
            <w:tcW w:w="3068" w:type="pct"/>
            <w:hideMark/>
          </w:tcPr>
          <w:p w14:paraId="073D15EE" w14:textId="3C897245"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After1 (k=1)</w:t>
            </w:r>
          </w:p>
        </w:tc>
        <w:tc>
          <w:tcPr>
            <w:tcW w:w="1932" w:type="pct"/>
            <w:hideMark/>
          </w:tcPr>
          <w:p w14:paraId="4D7F0D53"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0.012**</w:t>
            </w:r>
          </w:p>
        </w:tc>
      </w:tr>
      <w:tr w:rsidR="00333439" w:rsidRPr="00333439" w14:paraId="4C36877B" w14:textId="77777777" w:rsidTr="00CC55DE">
        <w:tc>
          <w:tcPr>
            <w:tcW w:w="3068" w:type="pct"/>
            <w:hideMark/>
          </w:tcPr>
          <w:p w14:paraId="0AA15252"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69DFDD37"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(2.40)</w:t>
            </w:r>
          </w:p>
        </w:tc>
      </w:tr>
      <w:tr w:rsidR="00333439" w:rsidRPr="00333439" w14:paraId="19C8D855" w14:textId="77777777" w:rsidTr="00CC55DE">
        <w:tc>
          <w:tcPr>
            <w:tcW w:w="3068" w:type="pct"/>
            <w:hideMark/>
          </w:tcPr>
          <w:p w14:paraId="62F8673A" w14:textId="2CB5BA4A"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After2 (k=2)</w:t>
            </w:r>
          </w:p>
        </w:tc>
        <w:tc>
          <w:tcPr>
            <w:tcW w:w="1932" w:type="pct"/>
            <w:hideMark/>
          </w:tcPr>
          <w:p w14:paraId="6E9D0B56"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0.016***</w:t>
            </w:r>
          </w:p>
        </w:tc>
      </w:tr>
      <w:tr w:rsidR="00333439" w:rsidRPr="00333439" w14:paraId="06BA6C75" w14:textId="77777777" w:rsidTr="00CC55DE">
        <w:tc>
          <w:tcPr>
            <w:tcW w:w="3068" w:type="pct"/>
            <w:hideMark/>
          </w:tcPr>
          <w:p w14:paraId="491FF28B"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69A8AB24"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(3.15)</w:t>
            </w:r>
          </w:p>
        </w:tc>
      </w:tr>
      <w:tr w:rsidR="00333439" w:rsidRPr="00333439" w14:paraId="7DB67086" w14:textId="77777777" w:rsidTr="00CC55DE">
        <w:tc>
          <w:tcPr>
            <w:tcW w:w="3068" w:type="pct"/>
            <w:hideMark/>
          </w:tcPr>
          <w:p w14:paraId="38DF78F4" w14:textId="52B88318"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After3 (k=3)</w:t>
            </w:r>
          </w:p>
        </w:tc>
        <w:tc>
          <w:tcPr>
            <w:tcW w:w="1932" w:type="pct"/>
            <w:hideMark/>
          </w:tcPr>
          <w:p w14:paraId="7030082C"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0.015***</w:t>
            </w:r>
          </w:p>
        </w:tc>
      </w:tr>
      <w:tr w:rsidR="00333439" w:rsidRPr="00333439" w14:paraId="1528A208" w14:textId="77777777" w:rsidTr="00CC55DE">
        <w:tc>
          <w:tcPr>
            <w:tcW w:w="3068" w:type="pct"/>
            <w:hideMark/>
          </w:tcPr>
          <w:p w14:paraId="5B07BE23" w14:textId="77777777" w:rsidR="00333439" w:rsidRPr="00333439" w:rsidRDefault="00333439" w:rsidP="00333439">
            <w:pPr>
              <w:pStyle w:val="Heading2"/>
              <w:tabs>
                <w:tab w:val="left" w:pos="792"/>
              </w:tabs>
              <w:spacing w:before="240" w:line="360" w:lineRule="auto"/>
              <w:ind w:left="0" w:right="234"/>
              <w:rPr>
                <w:b w:val="0"/>
                <w:bCs w:val="0"/>
                <w:lang w:val="vi-VN"/>
              </w:rPr>
            </w:pPr>
          </w:p>
        </w:tc>
        <w:tc>
          <w:tcPr>
            <w:tcW w:w="1932" w:type="pct"/>
            <w:hideMark/>
          </w:tcPr>
          <w:p w14:paraId="53162F7D"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(2.95)</w:t>
            </w:r>
          </w:p>
        </w:tc>
      </w:tr>
      <w:tr w:rsidR="00333439" w:rsidRPr="00333439" w14:paraId="1E6C8406" w14:textId="77777777" w:rsidTr="00CC55DE">
        <w:tc>
          <w:tcPr>
            <w:tcW w:w="3068" w:type="pct"/>
            <w:hideMark/>
          </w:tcPr>
          <w:p w14:paraId="52DCDBA8"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Controls</w:t>
            </w:r>
          </w:p>
        </w:tc>
        <w:tc>
          <w:tcPr>
            <w:tcW w:w="1932" w:type="pct"/>
            <w:hideMark/>
          </w:tcPr>
          <w:p w14:paraId="7DE39232"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333439" w:rsidRPr="00333439" w14:paraId="354B9391" w14:textId="77777777" w:rsidTr="00CC55DE">
        <w:tc>
          <w:tcPr>
            <w:tcW w:w="3068" w:type="pct"/>
            <w:hideMark/>
          </w:tcPr>
          <w:p w14:paraId="44119765"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Firm FE</w:t>
            </w:r>
          </w:p>
        </w:tc>
        <w:tc>
          <w:tcPr>
            <w:tcW w:w="1932" w:type="pct"/>
            <w:hideMark/>
          </w:tcPr>
          <w:p w14:paraId="71E9E6E3"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333439" w:rsidRPr="00333439" w14:paraId="6807DD43" w14:textId="77777777" w:rsidTr="00CC55DE">
        <w:tc>
          <w:tcPr>
            <w:tcW w:w="3068" w:type="pct"/>
            <w:hideMark/>
          </w:tcPr>
          <w:p w14:paraId="2F68FA51"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Year FE</w:t>
            </w:r>
          </w:p>
        </w:tc>
        <w:tc>
          <w:tcPr>
            <w:tcW w:w="1932" w:type="pct"/>
            <w:hideMark/>
          </w:tcPr>
          <w:p w14:paraId="6957CAB1"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Yes</w:t>
            </w:r>
          </w:p>
        </w:tc>
      </w:tr>
      <w:tr w:rsidR="00333439" w:rsidRPr="00333439" w14:paraId="4B958FB4" w14:textId="77777777" w:rsidTr="00CC55DE">
        <w:tc>
          <w:tcPr>
            <w:tcW w:w="3068" w:type="pct"/>
            <w:hideMark/>
          </w:tcPr>
          <w:p w14:paraId="10C041F0"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Observations</w:t>
            </w:r>
          </w:p>
        </w:tc>
        <w:tc>
          <w:tcPr>
            <w:tcW w:w="1932" w:type="pct"/>
            <w:hideMark/>
          </w:tcPr>
          <w:p w14:paraId="3AAE4B8F"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5,420</w:t>
            </w:r>
          </w:p>
        </w:tc>
      </w:tr>
      <w:tr w:rsidR="00333439" w:rsidRPr="00333439" w14:paraId="3A5DF5AD" w14:textId="77777777" w:rsidTr="00CC55DE">
        <w:tc>
          <w:tcPr>
            <w:tcW w:w="3068" w:type="pct"/>
            <w:hideMark/>
          </w:tcPr>
          <w:p w14:paraId="43B6D5AA" w14:textId="23E5E570"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1932" w:type="pct"/>
            <w:hideMark/>
          </w:tcPr>
          <w:p w14:paraId="582FBC77"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0.443</w:t>
            </w:r>
          </w:p>
        </w:tc>
      </w:tr>
    </w:tbl>
    <w:p w14:paraId="144AC7FA" w14:textId="2446B259" w:rsidR="004F5DE4" w:rsidRPr="004F5DE4" w:rsidRDefault="004F5DE4" w:rsidP="00333439">
      <w:pPr>
        <w:pStyle w:val="Heading2"/>
        <w:tabs>
          <w:tab w:val="left" w:pos="792"/>
        </w:tabs>
        <w:spacing w:before="240" w:line="360" w:lineRule="auto"/>
        <w:ind w:left="0" w:right="234"/>
        <w:rPr>
          <w:lang w:val="en-US"/>
        </w:rPr>
      </w:pPr>
      <w:r w:rsidRPr="004F5DE4">
        <w:t>Figure 2: Dynamic Effects of Digital Transformation (Event Study)</w:t>
      </w:r>
    </w:p>
    <w:p w14:paraId="395ECE77" w14:textId="35B426C5" w:rsidR="004F5DE4" w:rsidRPr="007C4145" w:rsidRDefault="007C4145" w:rsidP="007C4145">
      <w:pPr>
        <w:pStyle w:val="Heading2"/>
        <w:tabs>
          <w:tab w:val="left" w:pos="792"/>
        </w:tabs>
        <w:spacing w:before="240" w:line="360" w:lineRule="auto"/>
        <w:ind w:right="234"/>
        <w:rPr>
          <w:i/>
          <w:iCs/>
          <w:lang w:val="en-US"/>
        </w:rPr>
      </w:pPr>
      <w:r w:rsidRPr="007C4145">
        <w:rPr>
          <w:i/>
          <w:iCs/>
          <w:noProof/>
          <w:lang w:val="vi-VN"/>
        </w:rPr>
        <w:lastRenderedPageBreak/>
        <w:drawing>
          <wp:inline distT="0" distB="0" distL="0" distR="0" wp14:anchorId="2F4B6D34" wp14:editId="252C8EEE">
            <wp:extent cx="5922818" cy="3293858"/>
            <wp:effectExtent l="0" t="0" r="1905" b="1905"/>
            <wp:docPr id="192259369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6461" cy="3295884"/>
                    </a:xfrm>
                    <a:prstGeom prst="rect">
                      <a:avLst/>
                    </a:prstGeom>
                    <a:noFill/>
                    <a:ln>
                      <a:noFill/>
                    </a:ln>
                  </pic:spPr>
                </pic:pic>
              </a:graphicData>
            </a:graphic>
          </wp:inline>
        </w:drawing>
      </w:r>
    </w:p>
    <w:p w14:paraId="402F0F37" w14:textId="2EE79C1F" w:rsidR="00467A50" w:rsidRPr="00333439" w:rsidRDefault="0088642F" w:rsidP="00333439">
      <w:pPr>
        <w:pStyle w:val="Heading2"/>
        <w:tabs>
          <w:tab w:val="left" w:pos="792"/>
        </w:tabs>
        <w:spacing w:before="240" w:line="360" w:lineRule="auto"/>
        <w:ind w:left="0" w:right="234"/>
        <w:rPr>
          <w:b w:val="0"/>
          <w:bCs w:val="0"/>
          <w:lang w:val="vi-VN"/>
        </w:rPr>
      </w:pPr>
      <w:r w:rsidRPr="0088642F">
        <w:rPr>
          <w:b w:val="0"/>
          <w:bCs w:val="0"/>
        </w:rPr>
        <w:t>The dynamic effect test's empirical findings are presented in Table 7 and shown graphically in Figure 2. The estimates for the pre-treatment indicators (Before3 and Before2) are modest in magnitude and statistically indistinguishable from zero, as shown by the coefficient plot, with their 95% confidence intervals obviously straddling the zero line.</w:t>
      </w:r>
      <w:r>
        <w:rPr>
          <w:b w:val="0"/>
          <w:bCs w:val="0"/>
        </w:rPr>
        <w:t xml:space="preserve"> </w:t>
      </w:r>
      <w:r w:rsidR="004F5DE4" w:rsidRPr="004F5DE4">
        <w:rPr>
          <w:b w:val="0"/>
          <w:bCs w:val="0"/>
        </w:rPr>
        <w:t>This confirms that prior to the introduction of the digital transformation policies, firms in the treated and control provinces exhibited similar trends in trade credit financing, thereby strictly satisfying the parallel trend assumption. Conversely, the coefficients on the post-treatment indicators exhibit a steep and statistically significant upward trajectory. Notably, the magnitude of the effects gradually increases from the implementation year to two years post-implementation, suggesting a necessary absorption period for firms to fully integrate digital infrastructure and for suppliers to price this "digital trust" into their credit terms</w:t>
      </w:r>
      <w:r w:rsidR="00333439" w:rsidRPr="00333439">
        <w:rPr>
          <w:b w:val="0"/>
          <w:bCs w:val="0"/>
          <w:lang w:val="vi-VN"/>
        </w:rPr>
        <w:t>.</w:t>
      </w:r>
    </w:p>
    <w:p w14:paraId="787FDAB8" w14:textId="77777777" w:rsidR="00333439" w:rsidRPr="00EB24A0" w:rsidRDefault="00333439" w:rsidP="00EB24A0">
      <w:pPr>
        <w:spacing w:before="120" w:after="120" w:line="360" w:lineRule="auto"/>
        <w:ind w:right="234"/>
        <w:jc w:val="both"/>
        <w:rPr>
          <w:b/>
          <w:bCs/>
        </w:rPr>
      </w:pPr>
      <w:r w:rsidRPr="00EB24A0">
        <w:rPr>
          <w:b/>
          <w:bCs/>
        </w:rPr>
        <w:t>4.4.3. Goodman-Bacon decomposition</w:t>
      </w:r>
    </w:p>
    <w:p w14:paraId="316BE588" w14:textId="77777777" w:rsidR="0088642F" w:rsidRDefault="0088642F" w:rsidP="00333439">
      <w:pPr>
        <w:pStyle w:val="Heading2"/>
        <w:tabs>
          <w:tab w:val="left" w:pos="792"/>
        </w:tabs>
        <w:spacing w:before="240" w:line="360" w:lineRule="auto"/>
        <w:ind w:left="0" w:right="234"/>
        <w:rPr>
          <w:b w:val="0"/>
          <w:bCs w:val="0"/>
          <w:lang w:val="en-US"/>
        </w:rPr>
      </w:pPr>
      <w:r w:rsidRPr="0088642F">
        <w:rPr>
          <w:b w:val="0"/>
          <w:bCs w:val="0"/>
          <w:lang w:val="vi-VN"/>
        </w:rPr>
        <w:t>The conventional Two-Way Fixed Effects (TWFE) estimator in staggered DID models can yield skewed and deceptive estimates if the treatment impact is heterogeneous over time, according to recent developments in econometric technique (Goodman-Bacon, 2021). In particular, the variance-weighted average of all potential 2x2 DID estimators in the panel is the TWFE estimator. When earlier-treated units are employed as controls for later-treated units (commonly referred to as "bad controls"), a crucial problem occurs. This can significantly skew the aggregate estimate downward or even reverse its sign if the treatment effect increases over time.</w:t>
      </w:r>
    </w:p>
    <w:p w14:paraId="6C175150" w14:textId="71FA1C61" w:rsidR="00333439" w:rsidRPr="0088642F" w:rsidRDefault="00333439" w:rsidP="00333439">
      <w:pPr>
        <w:pStyle w:val="Heading2"/>
        <w:tabs>
          <w:tab w:val="left" w:pos="792"/>
        </w:tabs>
        <w:spacing w:before="240" w:line="360" w:lineRule="auto"/>
        <w:ind w:left="0" w:right="234"/>
        <w:rPr>
          <w:b w:val="0"/>
          <w:bCs w:val="0"/>
          <w:lang w:val="en-US"/>
        </w:rPr>
      </w:pPr>
      <w:r w:rsidRPr="00333439">
        <w:rPr>
          <w:b w:val="0"/>
          <w:bCs w:val="0"/>
          <w:lang w:val="vi-VN"/>
        </w:rPr>
        <w:lastRenderedPageBreak/>
        <w:t xml:space="preserve">To ensure that our positive DID estimates regarding the impact of digital transformation policies on trade credit are not driven by these problematic comparisons, we conduct a Goodman-Bacon decomposition. This procedure breaks down the overall TWFE estimate into distinct </w:t>
      </w:r>
      <m:oMath>
        <m:r>
          <m:rPr>
            <m:sty m:val="bi"/>
          </m:rPr>
          <w:rPr>
            <w:rFonts w:ascii="Cambria Math" w:hAnsi="Cambria Math"/>
          </w:rPr>
          <m:t>2×2</m:t>
        </m:r>
      </m:oMath>
      <w:r w:rsidR="00EB24A0">
        <w:rPr>
          <w:lang w:val="vi-VN"/>
        </w:rPr>
        <w:t xml:space="preserve"> </w:t>
      </w:r>
      <w:r w:rsidRPr="00333439">
        <w:rPr>
          <w:b w:val="0"/>
          <w:bCs w:val="0"/>
          <w:lang w:val="vi-VN"/>
        </w:rPr>
        <w:t>comparisons</w:t>
      </w:r>
      <w:r w:rsidR="00EB24A0">
        <w:rPr>
          <w:b w:val="0"/>
          <w:bCs w:val="0"/>
          <w:lang w:val="vi-VN"/>
        </w:rPr>
        <w:t xml:space="preserve"> </w:t>
      </w:r>
      <w:r w:rsidRPr="00333439">
        <w:rPr>
          <w:b w:val="0"/>
          <w:bCs w:val="0"/>
          <w:lang w:val="vi-VN"/>
        </w:rPr>
        <w:t xml:space="preserve">namely, </w:t>
      </w:r>
      <w:r w:rsidR="0088642F" w:rsidRPr="0088642F">
        <w:rPr>
          <w:b w:val="0"/>
          <w:bCs w:val="0"/>
          <w:lang w:val="vi-VN"/>
        </w:rPr>
        <w:t>Treated vs. Never Treated, Earlier Treated vs. Later Treated, and Later Treated vs. Earlier Treated, and determines the precise weight that each comparison adds to the primary estimate.</w:t>
      </w:r>
      <w:r w:rsidR="0088642F">
        <w:rPr>
          <w:b w:val="0"/>
          <w:bCs w:val="0"/>
          <w:lang w:val="en-US"/>
        </w:rPr>
        <w:t xml:space="preserve"> </w:t>
      </w:r>
      <w:r w:rsidRPr="00333439">
        <w:rPr>
          <w:b w:val="0"/>
          <w:bCs w:val="0"/>
          <w:lang w:val="vi-VN"/>
        </w:rPr>
        <w:t xml:space="preserve">The decomposition results are summarized in Table </w:t>
      </w:r>
      <w:r w:rsidR="00363578">
        <w:rPr>
          <w:b w:val="0"/>
          <w:bCs w:val="0"/>
          <w:lang w:val="vi-VN"/>
        </w:rPr>
        <w:t>8</w:t>
      </w:r>
      <w:r w:rsidRPr="00333439">
        <w:rPr>
          <w:b w:val="0"/>
          <w:bCs w:val="0"/>
          <w:lang w:val="vi-VN"/>
        </w:rPr>
        <w:t>.</w:t>
      </w:r>
    </w:p>
    <w:p w14:paraId="559753A3" w14:textId="78FC6CB6" w:rsidR="00333439" w:rsidRPr="00EB24A0" w:rsidRDefault="00333439" w:rsidP="00333439">
      <w:pPr>
        <w:pStyle w:val="Heading2"/>
        <w:tabs>
          <w:tab w:val="left" w:pos="792"/>
        </w:tabs>
        <w:spacing w:before="240" w:line="360" w:lineRule="auto"/>
        <w:ind w:left="0" w:right="234"/>
        <w:rPr>
          <w:lang w:val="vi-VN"/>
        </w:rPr>
      </w:pPr>
      <w:r w:rsidRPr="00EB24A0">
        <w:rPr>
          <w:lang w:val="vi-VN"/>
        </w:rPr>
        <w:t xml:space="preserve">Table </w:t>
      </w:r>
      <w:r w:rsidR="00363578">
        <w:rPr>
          <w:lang w:val="vi-VN"/>
        </w:rPr>
        <w:t>8</w:t>
      </w:r>
      <w:r w:rsidRPr="00EB24A0">
        <w:rPr>
          <w:lang w:val="vi-VN"/>
        </w:rPr>
        <w:t>. Goodman-Bacon decomposition of the DID estimate</w:t>
      </w:r>
    </w:p>
    <w:tbl>
      <w:tblPr>
        <w:tblStyle w:val="TableGrid"/>
        <w:tblW w:w="4890" w:type="pct"/>
        <w:tblLook w:val="04A0" w:firstRow="1" w:lastRow="0" w:firstColumn="1" w:lastColumn="0" w:noHBand="0" w:noVBand="1"/>
      </w:tblPr>
      <w:tblGrid>
        <w:gridCol w:w="6592"/>
        <w:gridCol w:w="1504"/>
        <w:gridCol w:w="2105"/>
      </w:tblGrid>
      <w:tr w:rsidR="00333439" w:rsidRPr="00333439" w14:paraId="68C1AAFA" w14:textId="77777777" w:rsidTr="00F441A5">
        <w:tc>
          <w:tcPr>
            <w:tcW w:w="3231" w:type="pct"/>
            <w:hideMark/>
          </w:tcPr>
          <w:p w14:paraId="29706B82"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lang w:val="vi-VN"/>
              </w:rPr>
              <w:t>Comparison Type</w:t>
            </w:r>
          </w:p>
        </w:tc>
        <w:tc>
          <w:tcPr>
            <w:tcW w:w="737" w:type="pct"/>
            <w:hideMark/>
          </w:tcPr>
          <w:p w14:paraId="58D92527"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lang w:val="vi-VN"/>
              </w:rPr>
              <w:t>Weight</w:t>
            </w:r>
          </w:p>
        </w:tc>
        <w:tc>
          <w:tcPr>
            <w:tcW w:w="1032" w:type="pct"/>
            <w:hideMark/>
          </w:tcPr>
          <w:p w14:paraId="1D733B96"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lang w:val="vi-VN"/>
              </w:rPr>
              <w:t>DID Estimate</w:t>
            </w:r>
          </w:p>
        </w:tc>
      </w:tr>
      <w:tr w:rsidR="00333439" w:rsidRPr="00333439" w14:paraId="3F0A8F2B" w14:textId="77777777" w:rsidTr="00F441A5">
        <w:tc>
          <w:tcPr>
            <w:tcW w:w="3231" w:type="pct"/>
            <w:hideMark/>
          </w:tcPr>
          <w:p w14:paraId="68C92F94"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Treatment vs. Never Treated</w:t>
            </w:r>
          </w:p>
        </w:tc>
        <w:tc>
          <w:tcPr>
            <w:tcW w:w="737" w:type="pct"/>
            <w:hideMark/>
          </w:tcPr>
          <w:p w14:paraId="09333D26"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0.865</w:t>
            </w:r>
          </w:p>
        </w:tc>
        <w:tc>
          <w:tcPr>
            <w:tcW w:w="1032" w:type="pct"/>
            <w:hideMark/>
          </w:tcPr>
          <w:p w14:paraId="0DBDA25D"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0.016</w:t>
            </w:r>
          </w:p>
        </w:tc>
      </w:tr>
      <w:tr w:rsidR="00333439" w:rsidRPr="00333439" w14:paraId="12539897" w14:textId="77777777" w:rsidTr="00F441A5">
        <w:tc>
          <w:tcPr>
            <w:tcW w:w="3231" w:type="pct"/>
            <w:hideMark/>
          </w:tcPr>
          <w:p w14:paraId="1323461B"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Earlier Treatment vs. Later Control</w:t>
            </w:r>
          </w:p>
        </w:tc>
        <w:tc>
          <w:tcPr>
            <w:tcW w:w="737" w:type="pct"/>
            <w:hideMark/>
          </w:tcPr>
          <w:p w14:paraId="4B453959"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0.082</w:t>
            </w:r>
          </w:p>
        </w:tc>
        <w:tc>
          <w:tcPr>
            <w:tcW w:w="1032" w:type="pct"/>
            <w:hideMark/>
          </w:tcPr>
          <w:p w14:paraId="39B5E65F"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0.012</w:t>
            </w:r>
          </w:p>
        </w:tc>
      </w:tr>
      <w:tr w:rsidR="00333439" w:rsidRPr="00333439" w14:paraId="55599D3E" w14:textId="77777777" w:rsidTr="00F441A5">
        <w:tc>
          <w:tcPr>
            <w:tcW w:w="3231" w:type="pct"/>
            <w:hideMark/>
          </w:tcPr>
          <w:p w14:paraId="2C1196AC"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Later Treatment vs. Earlier Control (Bad Control)</w:t>
            </w:r>
          </w:p>
        </w:tc>
        <w:tc>
          <w:tcPr>
            <w:tcW w:w="737" w:type="pct"/>
            <w:hideMark/>
          </w:tcPr>
          <w:p w14:paraId="39CE18B4"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0.053</w:t>
            </w:r>
          </w:p>
        </w:tc>
        <w:tc>
          <w:tcPr>
            <w:tcW w:w="1032" w:type="pct"/>
            <w:hideMark/>
          </w:tcPr>
          <w:p w14:paraId="32969186"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-0.004</w:t>
            </w:r>
          </w:p>
        </w:tc>
      </w:tr>
      <w:tr w:rsidR="00333439" w:rsidRPr="00333439" w14:paraId="1FA222C5" w14:textId="77777777" w:rsidTr="00F441A5">
        <w:tc>
          <w:tcPr>
            <w:tcW w:w="3231" w:type="pct"/>
            <w:hideMark/>
          </w:tcPr>
          <w:p w14:paraId="69F22C03"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Overall TWFE Estimate</w:t>
            </w:r>
          </w:p>
        </w:tc>
        <w:tc>
          <w:tcPr>
            <w:tcW w:w="737" w:type="pct"/>
            <w:hideMark/>
          </w:tcPr>
          <w:p w14:paraId="0A8F5CCA"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1.000</w:t>
            </w:r>
          </w:p>
        </w:tc>
        <w:tc>
          <w:tcPr>
            <w:tcW w:w="1032" w:type="pct"/>
            <w:hideMark/>
          </w:tcPr>
          <w:p w14:paraId="38E761DD"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0.015</w:t>
            </w:r>
          </w:p>
        </w:tc>
      </w:tr>
    </w:tbl>
    <w:p w14:paraId="5839B8E4" w14:textId="126D69C0" w:rsidR="004F5DE4" w:rsidRDefault="004F5DE4" w:rsidP="00333439">
      <w:pPr>
        <w:pStyle w:val="Heading2"/>
        <w:tabs>
          <w:tab w:val="left" w:pos="792"/>
        </w:tabs>
        <w:spacing w:before="240" w:line="360" w:lineRule="auto"/>
        <w:ind w:left="0" w:right="234"/>
      </w:pPr>
      <w:r w:rsidRPr="004F5DE4">
        <w:t xml:space="preserve">Figure </w:t>
      </w:r>
      <w:r>
        <w:t>3</w:t>
      </w:r>
      <w:r w:rsidRPr="004F5DE4">
        <w:t>: Goodman-Bacon Decomposition Weights</w:t>
      </w:r>
    </w:p>
    <w:p w14:paraId="2EBC884F" w14:textId="6AFD389A" w:rsidR="004F5DE4" w:rsidRPr="007C4145" w:rsidRDefault="007C4145" w:rsidP="007C4145">
      <w:pPr>
        <w:pStyle w:val="Heading2"/>
        <w:tabs>
          <w:tab w:val="left" w:pos="792"/>
        </w:tabs>
        <w:spacing w:before="240" w:line="360" w:lineRule="auto"/>
        <w:ind w:right="234"/>
        <w:rPr>
          <w:lang w:val="en-US"/>
        </w:rPr>
      </w:pPr>
      <w:r w:rsidRPr="007C4145">
        <w:rPr>
          <w:noProof/>
          <w:lang w:val="vi-VN"/>
        </w:rPr>
        <w:drawing>
          <wp:inline distT="0" distB="0" distL="0" distR="0" wp14:anchorId="362395D1" wp14:editId="7324B917">
            <wp:extent cx="3823122" cy="3408218"/>
            <wp:effectExtent l="0" t="0" r="6350" b="1905"/>
            <wp:docPr id="39917221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8831" cy="3422222"/>
                    </a:xfrm>
                    <a:prstGeom prst="rect">
                      <a:avLst/>
                    </a:prstGeom>
                    <a:noFill/>
                    <a:ln>
                      <a:noFill/>
                    </a:ln>
                  </pic:spPr>
                </pic:pic>
              </a:graphicData>
            </a:graphic>
          </wp:inline>
        </w:drawing>
      </w:r>
    </w:p>
    <w:p w14:paraId="37938B65" w14:textId="5441E7C4" w:rsidR="004F5DE4" w:rsidRPr="004F5DE4" w:rsidRDefault="004F5DE4" w:rsidP="00333439">
      <w:pPr>
        <w:pStyle w:val="Heading2"/>
        <w:tabs>
          <w:tab w:val="left" w:pos="792"/>
        </w:tabs>
        <w:spacing w:before="240" w:line="360" w:lineRule="auto"/>
        <w:ind w:left="0" w:right="234"/>
        <w:rPr>
          <w:b w:val="0"/>
          <w:bCs w:val="0"/>
          <w:i/>
          <w:iCs/>
        </w:rPr>
      </w:pPr>
      <w:r w:rsidRPr="004F5DE4">
        <w:rPr>
          <w:b w:val="0"/>
          <w:bCs w:val="0"/>
          <w:i/>
          <w:iCs/>
          <w:lang w:val="en-US"/>
        </w:rPr>
        <w:lastRenderedPageBreak/>
        <w:t xml:space="preserve">Note: </w:t>
      </w:r>
      <w:r w:rsidRPr="004F5DE4">
        <w:rPr>
          <w:b w:val="0"/>
          <w:bCs w:val="0"/>
          <w:i/>
          <w:iCs/>
        </w:rPr>
        <w:t>The donut chart visualizes the exact component weights of all 2×2 DID estimators contributing to the overall Two-Way Fixed Effects (TWFE) estimate, following the Goodman-Bacon (2021) decomposition theorem.</w:t>
      </w:r>
    </w:p>
    <w:p w14:paraId="4F30838C" w14:textId="7AD0CE9E" w:rsidR="00333439" w:rsidRPr="00333439" w:rsidRDefault="004F5DE4" w:rsidP="00333439">
      <w:pPr>
        <w:pStyle w:val="Heading2"/>
        <w:tabs>
          <w:tab w:val="left" w:pos="792"/>
        </w:tabs>
        <w:spacing w:before="240" w:line="360" w:lineRule="auto"/>
        <w:ind w:left="0" w:right="234"/>
        <w:rPr>
          <w:b w:val="0"/>
          <w:bCs w:val="0"/>
          <w:lang w:val="vi-VN"/>
        </w:rPr>
      </w:pPr>
      <w:r w:rsidRPr="004F5DE4">
        <w:rPr>
          <w:b w:val="0"/>
          <w:bCs w:val="0"/>
          <w:lang w:val="vi-VN"/>
        </w:rPr>
        <w:t xml:space="preserve">As presented in Table 8 and visually emphasized in Figure </w:t>
      </w:r>
      <w:r>
        <w:rPr>
          <w:b w:val="0"/>
          <w:bCs w:val="0"/>
          <w:lang w:val="en-US"/>
        </w:rPr>
        <w:t>3</w:t>
      </w:r>
      <w:r w:rsidRPr="004F5DE4">
        <w:rPr>
          <w:b w:val="0"/>
          <w:bCs w:val="0"/>
          <w:lang w:val="vi-VN"/>
        </w:rPr>
        <w:t>, the composition of the TWFE estimator is heavily skewed towards clean comparisons. The donut chart illustrates that the comparison between the "Treatment vs. Never Treated" groups overwhelmingly dominates the overall estimation, accounting for 86.5% of the total TWFE weight. More importantly, the potentially problematic "bad control" comparison—where later-treated provinces are compared against earlier-treated provinces—occupies a negligible slice of only 5.3% in our panel data structure. This visual decomposition strongly validates that our empirical findings are robust against the pitfalls of heterogeneous treatment timings, confirming that the positive treatment effect is not contaminated by negative weighting issues</w:t>
      </w:r>
      <w:r w:rsidR="00333439" w:rsidRPr="00333439">
        <w:rPr>
          <w:b w:val="0"/>
          <w:bCs w:val="0"/>
          <w:lang w:val="vi-VN"/>
        </w:rPr>
        <w:t xml:space="preserve">. </w:t>
      </w:r>
    </w:p>
    <w:p w14:paraId="1333706C" w14:textId="77777777" w:rsidR="00333439" w:rsidRPr="00333439" w:rsidRDefault="00333439" w:rsidP="00333439">
      <w:pPr>
        <w:pStyle w:val="Heading2"/>
        <w:tabs>
          <w:tab w:val="left" w:pos="792"/>
        </w:tabs>
        <w:spacing w:before="240" w:line="360" w:lineRule="auto"/>
        <w:ind w:left="0" w:right="234"/>
        <w:rPr>
          <w:b w:val="0"/>
          <w:bCs w:val="0"/>
          <w:lang w:val="vi-VN"/>
        </w:rPr>
      </w:pPr>
      <w:r w:rsidRPr="00333439">
        <w:rPr>
          <w:b w:val="0"/>
          <w:bCs w:val="0"/>
          <w:lang w:val="vi-VN"/>
        </w:rPr>
        <w:t>In conclusion, the Goodman-Bacon decomposition strongly validates that our empirical findings are robust against the pitfalls of heterogeneous treatment timings. The acceleration of corporate digitalization, induced by exogenous provincial policies, undeniably exerts a positive and causal impact on a firm's ability to access trade credit.</w:t>
      </w:r>
    </w:p>
    <w:p w14:paraId="0A43F680" w14:textId="5F6FAEDB" w:rsidR="00B11C5E" w:rsidRPr="00D40F6B" w:rsidRDefault="00B11C5E" w:rsidP="00D40F6B">
      <w:pPr>
        <w:spacing w:before="120" w:after="120" w:line="360" w:lineRule="auto"/>
        <w:ind w:right="234"/>
        <w:jc w:val="both"/>
        <w:rPr>
          <w:b/>
          <w:bCs/>
        </w:rPr>
      </w:pPr>
      <w:r w:rsidRPr="00D40F6B">
        <w:rPr>
          <w:b/>
          <w:bCs/>
        </w:rPr>
        <w:t>4.5. Heterogeneity analysis</w:t>
      </w:r>
    </w:p>
    <w:p w14:paraId="6C543123" w14:textId="31D011CA" w:rsidR="00B11C5E" w:rsidRPr="00D40F6B" w:rsidRDefault="0088642F" w:rsidP="00D40F6B">
      <w:pPr>
        <w:pStyle w:val="Heading2"/>
        <w:tabs>
          <w:tab w:val="left" w:pos="792"/>
        </w:tabs>
        <w:spacing w:before="240" w:line="360" w:lineRule="auto"/>
        <w:ind w:left="0" w:right="234"/>
        <w:rPr>
          <w:b w:val="0"/>
          <w:bCs w:val="0"/>
          <w:lang w:val="vi-VN"/>
        </w:rPr>
      </w:pPr>
      <w:r w:rsidRPr="0088642F">
        <w:rPr>
          <w:b w:val="0"/>
          <w:bCs w:val="0"/>
          <w:lang w:val="vi-VN"/>
        </w:rPr>
        <w:t xml:space="preserve">The baseline results show that business digitization has a favorable average impact on trade credit availability. This "digital trust premium" could not apply to every company, though. In this segment, we </w:t>
      </w:r>
      <w:r w:rsidR="00B11C5E" w:rsidRPr="00D40F6B">
        <w:rPr>
          <w:b w:val="0"/>
          <w:bCs w:val="0"/>
          <w:lang w:val="vi-VN"/>
        </w:rPr>
        <w:t>conduct heterogeneity analyses to explore how firm-specific characteristics</w:t>
      </w:r>
      <w:r w:rsidR="002E3A97">
        <w:rPr>
          <w:b w:val="0"/>
          <w:bCs w:val="0"/>
          <w:lang w:val="vi-VN"/>
        </w:rPr>
        <w:t xml:space="preserve"> </w:t>
      </w:r>
      <w:r w:rsidR="00B11C5E" w:rsidRPr="00D40F6B">
        <w:rPr>
          <w:b w:val="0"/>
          <w:bCs w:val="0"/>
          <w:lang w:val="vi-VN"/>
        </w:rPr>
        <w:t>namely information transparency and ownership nature</w:t>
      </w:r>
      <w:r w:rsidR="00EB24A0">
        <w:rPr>
          <w:b w:val="0"/>
          <w:bCs w:val="0"/>
          <w:lang w:val="vi-VN"/>
        </w:rPr>
        <w:t xml:space="preserve"> </w:t>
      </w:r>
      <w:r w:rsidR="00B11C5E" w:rsidRPr="00D40F6B">
        <w:rPr>
          <w:b w:val="0"/>
          <w:bCs w:val="0"/>
          <w:lang w:val="vi-VN"/>
        </w:rPr>
        <w:t>and macroeconomic environments condition the signaling power of digital transformation.</w:t>
      </w:r>
    </w:p>
    <w:p w14:paraId="74EE0519" w14:textId="77777777" w:rsidR="00B11C5E" w:rsidRPr="00EB24A0" w:rsidRDefault="00B11C5E" w:rsidP="00EB24A0">
      <w:pPr>
        <w:spacing w:before="120" w:after="120" w:line="360" w:lineRule="auto"/>
        <w:ind w:right="234"/>
        <w:jc w:val="both"/>
        <w:rPr>
          <w:b/>
          <w:bCs/>
        </w:rPr>
      </w:pPr>
      <w:r w:rsidRPr="00EB24A0">
        <w:rPr>
          <w:b/>
          <w:bCs/>
        </w:rPr>
        <w:t>4.5.1. Information transparency</w:t>
      </w:r>
    </w:p>
    <w:p w14:paraId="6A4673CF" w14:textId="0BAE4271" w:rsidR="00B11C5E" w:rsidRPr="00D40F6B" w:rsidRDefault="0088642F" w:rsidP="00D40F6B">
      <w:pPr>
        <w:pStyle w:val="Heading2"/>
        <w:tabs>
          <w:tab w:val="left" w:pos="792"/>
        </w:tabs>
        <w:spacing w:before="240" w:line="360" w:lineRule="auto"/>
        <w:ind w:left="0" w:right="234"/>
        <w:rPr>
          <w:b w:val="0"/>
          <w:bCs w:val="0"/>
          <w:lang w:val="vi-VN"/>
        </w:rPr>
      </w:pPr>
      <w:r w:rsidRPr="0088642F">
        <w:rPr>
          <w:b w:val="0"/>
          <w:bCs w:val="0"/>
          <w:lang w:val="vi-VN"/>
        </w:rPr>
        <w:t>A company's capacity to manage financial risk is reflected in its information transparency</w:t>
      </w:r>
      <w:r>
        <w:rPr>
          <w:b w:val="0"/>
          <w:bCs w:val="0"/>
          <w:lang w:val="en-US"/>
        </w:rPr>
        <w:t xml:space="preserve"> </w:t>
      </w:r>
      <w:r w:rsidR="00B11C5E" w:rsidRPr="00D40F6B">
        <w:rPr>
          <w:b w:val="0"/>
          <w:bCs w:val="0"/>
          <w:lang w:val="vi-VN"/>
        </w:rPr>
        <w:t xml:space="preserve">its commitment to corporate governance. In the context of supply chain financing, transparency directly alleviates information asymmetry between buyers and suppliers, thereby facilitating trade credit provision. We hypothesize that corporate digitalization acts as a substitute for traditional information transparency. For highly transparent firms, suppliers already possess sufficient and verifiable financial information to grant credit; thus, the marginal benefit of digital signaling is relatively small. Conversely, for opaque firms, digitalization serves as a critical mechanism to bridge the information gap, effectively demonstrating operational reliability and generating "digital trust." </w:t>
      </w:r>
    </w:p>
    <w:p w14:paraId="2BD5C36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lastRenderedPageBreak/>
        <w:t xml:space="preserve">Following recent empirical practices, we employ two distinct approaches to measure firm information transparency to ensure the robustness of our heterogeneity analysis: </w:t>
      </w:r>
    </w:p>
    <w:p w14:paraId="42B66C9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Disclosure Rating (Rating): We utilize the annual corporate disclosure compliance ratings issued by the Vietnamese stock exchanges (HOSE and HNX) and leading financial institutions (e.g., VNDIRECT). We assign values to these transparency grades (e.g., Excellent = 4, Good = 3, Passing = 2, Failing = 1) to derive a continuous Rating variable. Higher values indicate greater transparency. </w:t>
      </w:r>
    </w:p>
    <w:p w14:paraId="6B7171DD" w14:textId="039EB4B4"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Information Disclosure Quality Index (KV): </w:t>
      </w:r>
      <w:r w:rsidR="0088642F" w:rsidRPr="0088642F">
        <w:rPr>
          <w:b w:val="0"/>
          <w:bCs w:val="0"/>
          <w:lang w:val="vi-VN"/>
        </w:rPr>
        <w:t>We create the KV index, which was first put forth by Kim and Verrecchia (2001) and gauges transparency by looking at how sensitive stock returns are to trading volume. Investors may rely more on trade volume to deduce information if the KV index is greater</w:t>
      </w:r>
      <w:r w:rsidRPr="00D40F6B">
        <w:rPr>
          <w:b w:val="0"/>
          <w:bCs w:val="0"/>
          <w:lang w:val="vi-VN"/>
        </w:rPr>
        <w:t xml:space="preserve">, indirectly indicating lower corporate disclosure quality and higher information asymmetry. </w:t>
      </w:r>
    </w:p>
    <w:p w14:paraId="06A668D0" w14:textId="77777777" w:rsidR="0088642F" w:rsidRDefault="0088642F" w:rsidP="00D40F6B">
      <w:pPr>
        <w:pStyle w:val="Heading2"/>
        <w:tabs>
          <w:tab w:val="left" w:pos="792"/>
        </w:tabs>
        <w:spacing w:before="240" w:line="360" w:lineRule="auto"/>
        <w:ind w:left="0" w:right="234"/>
        <w:rPr>
          <w:b w:val="0"/>
          <w:bCs w:val="0"/>
          <w:lang w:val="en-US"/>
        </w:rPr>
      </w:pPr>
      <w:r w:rsidRPr="0088642F">
        <w:rPr>
          <w:b w:val="0"/>
          <w:bCs w:val="0"/>
          <w:lang w:val="vi-VN"/>
        </w:rPr>
        <w:t>We add the interaction factors DIGIT×Rating and DIGIT×KV to our baseline fixed-effects model in order to investigate the moderating function of information transparency. Table 9 presents the regression results.</w:t>
      </w:r>
    </w:p>
    <w:p w14:paraId="3C18AB82" w14:textId="0EDE711F" w:rsidR="00B11C5E" w:rsidRPr="00EB24A0" w:rsidRDefault="00B11C5E" w:rsidP="00D40F6B">
      <w:pPr>
        <w:pStyle w:val="Heading2"/>
        <w:tabs>
          <w:tab w:val="left" w:pos="792"/>
        </w:tabs>
        <w:spacing w:before="240" w:line="360" w:lineRule="auto"/>
        <w:ind w:left="0" w:right="234"/>
        <w:rPr>
          <w:lang w:val="vi-VN"/>
        </w:rPr>
      </w:pPr>
      <w:r w:rsidRPr="00EB24A0">
        <w:rPr>
          <w:lang w:val="vi-VN"/>
        </w:rPr>
        <w:t xml:space="preserve">Table </w:t>
      </w:r>
      <w:r w:rsidR="00363578">
        <w:rPr>
          <w:lang w:val="vi-VN"/>
        </w:rPr>
        <w:t>9</w:t>
      </w:r>
      <w:r w:rsidRPr="00EB24A0">
        <w:rPr>
          <w:lang w:val="vi-VN"/>
        </w:rPr>
        <w:t>. Heterogeneity analysis: Information transparency</w:t>
      </w:r>
    </w:p>
    <w:tbl>
      <w:tblPr>
        <w:tblStyle w:val="TableGrid"/>
        <w:tblW w:w="4890" w:type="pct"/>
        <w:tblLook w:val="04A0" w:firstRow="1" w:lastRow="0" w:firstColumn="1" w:lastColumn="0" w:noHBand="0" w:noVBand="1"/>
      </w:tblPr>
      <w:tblGrid>
        <w:gridCol w:w="3378"/>
        <w:gridCol w:w="3391"/>
        <w:gridCol w:w="3432"/>
      </w:tblGrid>
      <w:tr w:rsidR="00B11C5E" w:rsidRPr="00D40F6B" w14:paraId="0486D1AB" w14:textId="77777777" w:rsidTr="00F441A5">
        <w:tc>
          <w:tcPr>
            <w:tcW w:w="1656" w:type="pct"/>
            <w:hideMark/>
          </w:tcPr>
          <w:p w14:paraId="197877A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Variables</w:t>
            </w:r>
          </w:p>
        </w:tc>
        <w:tc>
          <w:tcPr>
            <w:tcW w:w="1662" w:type="pct"/>
            <w:hideMark/>
          </w:tcPr>
          <w:p w14:paraId="3D937BA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(1) TC</w:t>
            </w:r>
          </w:p>
        </w:tc>
        <w:tc>
          <w:tcPr>
            <w:tcW w:w="1682" w:type="pct"/>
            <w:hideMark/>
          </w:tcPr>
          <w:p w14:paraId="5DFB15F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(2) TC</w:t>
            </w:r>
          </w:p>
        </w:tc>
      </w:tr>
      <w:tr w:rsidR="00B11C5E" w:rsidRPr="00D40F6B" w14:paraId="71135E1B" w14:textId="77777777" w:rsidTr="00F441A5">
        <w:tc>
          <w:tcPr>
            <w:tcW w:w="1656" w:type="pct"/>
            <w:hideMark/>
          </w:tcPr>
          <w:p w14:paraId="4326494A" w14:textId="40F45CD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DIGIT</w:t>
            </w:r>
          </w:p>
        </w:tc>
        <w:tc>
          <w:tcPr>
            <w:tcW w:w="1662" w:type="pct"/>
            <w:hideMark/>
          </w:tcPr>
          <w:p w14:paraId="2ED67041"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0.019***</w:t>
            </w:r>
          </w:p>
        </w:tc>
        <w:tc>
          <w:tcPr>
            <w:tcW w:w="1682" w:type="pct"/>
            <w:hideMark/>
          </w:tcPr>
          <w:p w14:paraId="739D3551"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0.011**</w:t>
            </w:r>
          </w:p>
        </w:tc>
      </w:tr>
      <w:tr w:rsidR="00B11C5E" w:rsidRPr="00D40F6B" w14:paraId="68E375ED" w14:textId="77777777" w:rsidTr="00F441A5">
        <w:tc>
          <w:tcPr>
            <w:tcW w:w="1656" w:type="pct"/>
            <w:hideMark/>
          </w:tcPr>
          <w:p w14:paraId="0F0E316A"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2" w:type="pct"/>
            <w:hideMark/>
          </w:tcPr>
          <w:p w14:paraId="2E8A6FDF"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(4.15)</w:t>
            </w:r>
          </w:p>
        </w:tc>
        <w:tc>
          <w:tcPr>
            <w:tcW w:w="1682" w:type="pct"/>
            <w:hideMark/>
          </w:tcPr>
          <w:p w14:paraId="0FF298F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(2.55)</w:t>
            </w:r>
          </w:p>
        </w:tc>
      </w:tr>
      <w:tr w:rsidR="00B11C5E" w:rsidRPr="00D40F6B" w14:paraId="16A36D4C" w14:textId="77777777" w:rsidTr="00F441A5">
        <w:tc>
          <w:tcPr>
            <w:tcW w:w="1656" w:type="pct"/>
            <w:hideMark/>
          </w:tcPr>
          <w:p w14:paraId="792FED65" w14:textId="3662E426"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Rating</w:t>
            </w:r>
          </w:p>
        </w:tc>
        <w:tc>
          <w:tcPr>
            <w:tcW w:w="1662" w:type="pct"/>
            <w:hideMark/>
          </w:tcPr>
          <w:p w14:paraId="3EB335E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0.024*** (3.10)</w:t>
            </w:r>
          </w:p>
        </w:tc>
        <w:tc>
          <w:tcPr>
            <w:tcW w:w="1682" w:type="pct"/>
            <w:hideMark/>
          </w:tcPr>
          <w:p w14:paraId="7C279C48"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57E12828" w14:textId="77777777" w:rsidTr="00F441A5">
        <w:tc>
          <w:tcPr>
            <w:tcW w:w="1656" w:type="pct"/>
            <w:hideMark/>
          </w:tcPr>
          <w:p w14:paraId="16A4A8BF" w14:textId="521564C6"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DIGIT </w:t>
            </w:r>
            <w:r w:rsidR="00EB24A0">
              <w:rPr>
                <w:b w:val="0"/>
                <w:bCs w:val="0"/>
                <w:lang w:val="vi-VN"/>
              </w:rPr>
              <w:t>x</w:t>
            </w:r>
            <w:r w:rsidRPr="00D40F6B">
              <w:rPr>
                <w:b w:val="0"/>
                <w:bCs w:val="0"/>
                <w:lang w:val="vi-VN"/>
              </w:rPr>
              <w:t xml:space="preserve"> Rating</w:t>
            </w:r>
          </w:p>
        </w:tc>
        <w:tc>
          <w:tcPr>
            <w:tcW w:w="1662" w:type="pct"/>
            <w:hideMark/>
          </w:tcPr>
          <w:p w14:paraId="45EA5A57"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-0.005**</w:t>
            </w:r>
          </w:p>
        </w:tc>
        <w:tc>
          <w:tcPr>
            <w:tcW w:w="1682" w:type="pct"/>
            <w:hideMark/>
          </w:tcPr>
          <w:p w14:paraId="4A9882DD"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5CC936BF" w14:textId="77777777" w:rsidTr="00F441A5">
        <w:tc>
          <w:tcPr>
            <w:tcW w:w="1656" w:type="pct"/>
            <w:hideMark/>
          </w:tcPr>
          <w:p w14:paraId="73CE787F"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2" w:type="pct"/>
            <w:hideMark/>
          </w:tcPr>
          <w:p w14:paraId="52F1848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(-2.18)</w:t>
            </w:r>
          </w:p>
        </w:tc>
        <w:tc>
          <w:tcPr>
            <w:tcW w:w="1682" w:type="pct"/>
            <w:hideMark/>
          </w:tcPr>
          <w:p w14:paraId="16768B43"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59D2E770" w14:textId="77777777" w:rsidTr="00F441A5">
        <w:tc>
          <w:tcPr>
            <w:tcW w:w="1656" w:type="pct"/>
            <w:hideMark/>
          </w:tcPr>
          <w:p w14:paraId="2E461A13" w14:textId="4C8A57BB"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KV</w:t>
            </w:r>
          </w:p>
        </w:tc>
        <w:tc>
          <w:tcPr>
            <w:tcW w:w="1662" w:type="pct"/>
            <w:hideMark/>
          </w:tcPr>
          <w:p w14:paraId="526318D4"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82" w:type="pct"/>
            <w:hideMark/>
          </w:tcPr>
          <w:p w14:paraId="3EBC5342"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-0.115*** (-3.40)</w:t>
            </w:r>
          </w:p>
        </w:tc>
      </w:tr>
      <w:tr w:rsidR="00B11C5E" w:rsidRPr="00D40F6B" w14:paraId="522EA651" w14:textId="77777777" w:rsidTr="00F441A5">
        <w:tc>
          <w:tcPr>
            <w:tcW w:w="1656" w:type="pct"/>
            <w:hideMark/>
          </w:tcPr>
          <w:p w14:paraId="0B059313" w14:textId="09C0CB2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DIGIT </w:t>
            </w:r>
            <w:r w:rsidR="00EB24A0">
              <w:rPr>
                <w:b w:val="0"/>
                <w:bCs w:val="0"/>
                <w:lang w:val="vi-VN"/>
              </w:rPr>
              <w:t>x</w:t>
            </w:r>
            <w:r w:rsidRPr="00D40F6B">
              <w:rPr>
                <w:b w:val="0"/>
                <w:bCs w:val="0"/>
                <w:lang w:val="vi-VN"/>
              </w:rPr>
              <w:t xml:space="preserve"> KV</w:t>
            </w:r>
          </w:p>
        </w:tc>
        <w:tc>
          <w:tcPr>
            <w:tcW w:w="1662" w:type="pct"/>
            <w:hideMark/>
          </w:tcPr>
          <w:p w14:paraId="6FE7FC24"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82" w:type="pct"/>
            <w:hideMark/>
          </w:tcPr>
          <w:p w14:paraId="31C0F2C8"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0.052***</w:t>
            </w:r>
          </w:p>
        </w:tc>
      </w:tr>
      <w:tr w:rsidR="00B11C5E" w:rsidRPr="00D40F6B" w14:paraId="13BA4629" w14:textId="77777777" w:rsidTr="00F441A5">
        <w:tc>
          <w:tcPr>
            <w:tcW w:w="1656" w:type="pct"/>
            <w:hideMark/>
          </w:tcPr>
          <w:p w14:paraId="62AF4C16"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2" w:type="pct"/>
            <w:hideMark/>
          </w:tcPr>
          <w:p w14:paraId="7A06DFF3"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82" w:type="pct"/>
            <w:hideMark/>
          </w:tcPr>
          <w:p w14:paraId="74CA660F"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(2.85)</w:t>
            </w:r>
          </w:p>
        </w:tc>
      </w:tr>
      <w:tr w:rsidR="00B11C5E" w:rsidRPr="00D40F6B" w14:paraId="4D84146A" w14:textId="77777777" w:rsidTr="00F441A5">
        <w:tc>
          <w:tcPr>
            <w:tcW w:w="1656" w:type="pct"/>
            <w:hideMark/>
          </w:tcPr>
          <w:p w14:paraId="6C225E58"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Controls</w:t>
            </w:r>
          </w:p>
        </w:tc>
        <w:tc>
          <w:tcPr>
            <w:tcW w:w="1662" w:type="pct"/>
            <w:hideMark/>
          </w:tcPr>
          <w:p w14:paraId="7D8A52C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82" w:type="pct"/>
            <w:hideMark/>
          </w:tcPr>
          <w:p w14:paraId="3E974D7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0D3042F7" w14:textId="77777777" w:rsidTr="00F441A5">
        <w:tc>
          <w:tcPr>
            <w:tcW w:w="1656" w:type="pct"/>
            <w:hideMark/>
          </w:tcPr>
          <w:p w14:paraId="5F10113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Firm FE</w:t>
            </w:r>
          </w:p>
        </w:tc>
        <w:tc>
          <w:tcPr>
            <w:tcW w:w="1662" w:type="pct"/>
            <w:hideMark/>
          </w:tcPr>
          <w:p w14:paraId="0670EAE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82" w:type="pct"/>
            <w:hideMark/>
          </w:tcPr>
          <w:p w14:paraId="34F09927"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7CA2A767" w14:textId="77777777" w:rsidTr="00F441A5">
        <w:tc>
          <w:tcPr>
            <w:tcW w:w="1656" w:type="pct"/>
            <w:hideMark/>
          </w:tcPr>
          <w:p w14:paraId="0F85B06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lastRenderedPageBreak/>
              <w:t>Year FE</w:t>
            </w:r>
          </w:p>
        </w:tc>
        <w:tc>
          <w:tcPr>
            <w:tcW w:w="1662" w:type="pct"/>
            <w:hideMark/>
          </w:tcPr>
          <w:p w14:paraId="16CC715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82" w:type="pct"/>
            <w:hideMark/>
          </w:tcPr>
          <w:p w14:paraId="3C2543B1"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3F6AA39A" w14:textId="77777777" w:rsidTr="00F441A5">
        <w:tc>
          <w:tcPr>
            <w:tcW w:w="1656" w:type="pct"/>
            <w:hideMark/>
          </w:tcPr>
          <w:p w14:paraId="06FD0CE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Observations</w:t>
            </w:r>
          </w:p>
        </w:tc>
        <w:tc>
          <w:tcPr>
            <w:tcW w:w="1662" w:type="pct"/>
            <w:hideMark/>
          </w:tcPr>
          <w:p w14:paraId="34E50F1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5,420</w:t>
            </w:r>
          </w:p>
        </w:tc>
        <w:tc>
          <w:tcPr>
            <w:tcW w:w="1682" w:type="pct"/>
            <w:hideMark/>
          </w:tcPr>
          <w:p w14:paraId="528124B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5,420</w:t>
            </w:r>
          </w:p>
        </w:tc>
      </w:tr>
      <w:tr w:rsidR="00B11C5E" w:rsidRPr="00D40F6B" w14:paraId="2638B078" w14:textId="77777777" w:rsidTr="00F441A5">
        <w:tc>
          <w:tcPr>
            <w:tcW w:w="1656" w:type="pct"/>
            <w:hideMark/>
          </w:tcPr>
          <w:p w14:paraId="79130EFA" w14:textId="1F31625C"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1662" w:type="pct"/>
            <w:hideMark/>
          </w:tcPr>
          <w:p w14:paraId="6B328A5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0.435</w:t>
            </w:r>
          </w:p>
        </w:tc>
        <w:tc>
          <w:tcPr>
            <w:tcW w:w="1682" w:type="pct"/>
            <w:hideMark/>
          </w:tcPr>
          <w:p w14:paraId="0CF1759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0.438</w:t>
            </w:r>
          </w:p>
        </w:tc>
      </w:tr>
    </w:tbl>
    <w:p w14:paraId="73C5DCF9" w14:textId="77777777" w:rsidR="0088642F" w:rsidRDefault="0088642F" w:rsidP="00D40F6B">
      <w:pPr>
        <w:pStyle w:val="Heading2"/>
        <w:tabs>
          <w:tab w:val="left" w:pos="792"/>
        </w:tabs>
        <w:spacing w:before="240" w:line="360" w:lineRule="auto"/>
        <w:ind w:left="0" w:right="234"/>
        <w:rPr>
          <w:b w:val="0"/>
          <w:bCs w:val="0"/>
          <w:lang w:val="en-US"/>
        </w:rPr>
      </w:pPr>
      <w:r w:rsidRPr="0088642F">
        <w:rPr>
          <w:b w:val="0"/>
          <w:bCs w:val="0"/>
          <w:lang w:val="vi-VN"/>
        </w:rPr>
        <w:t>The coefficient on the interaction term DIGIT×Rating is negative and statistically significant at the 5% level (β = -0.005, t = -2.18), as seen in Column (1) of Table 9. In contrast, the interaction term DIGIT×KV shows a statistically positive coefficient (β = 0.052, t = 2.85) in Column (2).</w:t>
      </w:r>
    </w:p>
    <w:p w14:paraId="7658AA7F" w14:textId="35ED82F6"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These consistent results indicate that the positive impact of corporate digitalization on trade credit diminishes when a firm's traditional information transparency is high (i.e., a high Rating or a low KV index). In contrast, the signaling power of digitalization strengthens considerably when conventional information disclosure quality is poor. This confirms our hypothesis that digitalization effectively mitigates the negative consequences of information deficiencies, allowing opaque firms to build digital trust and unlock supplier financing</w:t>
      </w:r>
    </w:p>
    <w:p w14:paraId="12BF547F" w14:textId="0C3C0647" w:rsidR="00B11C5E" w:rsidRPr="00D40F6B" w:rsidRDefault="00B11C5E" w:rsidP="00D40F6B">
      <w:pPr>
        <w:spacing w:before="120" w:after="120" w:line="360" w:lineRule="auto"/>
        <w:ind w:right="234"/>
        <w:jc w:val="both"/>
        <w:rPr>
          <w:b/>
          <w:bCs/>
        </w:rPr>
      </w:pPr>
      <w:r w:rsidRPr="00D40F6B">
        <w:rPr>
          <w:b/>
          <w:bCs/>
        </w:rPr>
        <w:t>4.5.2. Economic policy uncertainty</w:t>
      </w:r>
    </w:p>
    <w:p w14:paraId="51194CCD" w14:textId="0D754308" w:rsidR="00B11C5E" w:rsidRPr="00D40F6B" w:rsidRDefault="0088642F" w:rsidP="00D40F6B">
      <w:pPr>
        <w:pStyle w:val="Heading2"/>
        <w:tabs>
          <w:tab w:val="left" w:pos="792"/>
        </w:tabs>
        <w:spacing w:before="240" w:line="360" w:lineRule="auto"/>
        <w:ind w:left="0" w:right="234"/>
        <w:rPr>
          <w:b w:val="0"/>
          <w:bCs w:val="0"/>
          <w:lang w:val="vi-VN"/>
        </w:rPr>
      </w:pPr>
      <w:r w:rsidRPr="0088642F">
        <w:rPr>
          <w:b w:val="0"/>
          <w:bCs w:val="0"/>
          <w:lang w:val="vi-VN"/>
        </w:rPr>
        <w:t>Market risk and uncertainty are increased by economic policy uncertainty (EPU), which may result in tighter credit conditions, greater borrowing costs, and a decline in firm trade credit</w:t>
      </w:r>
      <w:r w:rsidR="00B11C5E" w:rsidRPr="00D40F6B">
        <w:rPr>
          <w:b w:val="0"/>
          <w:bCs w:val="0"/>
          <w:lang w:val="vi-VN"/>
        </w:rPr>
        <w:t xml:space="preserve">. During periods of heightened macroeconomic volatility, suppliers become inherently risk-averse. Fearing delayed payments or corporate bankruptcies, they tend to contract the provision of unsecured supplier financing (D'Mello &amp; Toscano, 2020). </w:t>
      </w:r>
    </w:p>
    <w:p w14:paraId="52A424F2" w14:textId="22A1BCE2"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However, we argue that corporate digitalization can serve as a vital buffer against these macro-environmental shocks. Highly digitalized firms are equipped with advanced data analytics, agile supply chain management systems, and transparent financial reporting capabilities. These technological advantages signal strong operational resilience and risk management competence. Consequently, digital capabilities </w:t>
      </w:r>
      <w:r w:rsidR="0088642F" w:rsidRPr="0088642F">
        <w:rPr>
          <w:b w:val="0"/>
          <w:bCs w:val="0"/>
          <w:lang w:val="vi-VN"/>
        </w:rPr>
        <w:t>may mitigate the detrimental effects of economic policy uncertainty on trade credit by reducing supplier firms' worries about the liquidity risk of their customer firms and correcting their overestimation of the default risk of the customer firms. We speculate that in extremely unpredictable circumstances, the importance of "digital trust" becomes even more apparent</w:t>
      </w:r>
      <w:r w:rsidRPr="00D40F6B">
        <w:rPr>
          <w:b w:val="0"/>
          <w:bCs w:val="0"/>
          <w:lang w:val="vi-VN"/>
        </w:rPr>
        <w:t xml:space="preserve">. </w:t>
      </w:r>
    </w:p>
    <w:p w14:paraId="7E2A34E6" w14:textId="1838BD35" w:rsidR="00B11C5E" w:rsidRPr="004A2D81"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To empirically test this moderating effect, we utilize two distinct measures of uncertainty to ensure the robustness of our findings. First, we employ a domestic news-based Economic Policy Uncertainty index </w:t>
      </w:r>
      <w:r w:rsidRPr="004A2D81">
        <w:rPr>
          <w:b w:val="0"/>
          <w:bCs w:val="0"/>
          <w:lang w:val="vi-VN"/>
        </w:rPr>
        <w:lastRenderedPageBreak/>
        <w:t>for Vietnam (</w:t>
      </w:r>
      <w:r w:rsidRPr="004A2D81">
        <w:rPr>
          <w:b w:val="0"/>
          <w:bCs w:val="0"/>
          <w:i/>
          <w:iCs/>
          <w:lang w:val="vi-VN"/>
        </w:rPr>
        <w:t>EPU1</w:t>
      </w:r>
      <w:r w:rsidRPr="004A2D81">
        <w:rPr>
          <w:b w:val="0"/>
          <w:bCs w:val="0"/>
          <w:lang w:val="vi-VN"/>
        </w:rPr>
        <w:t xml:space="preserve">), constructed by tracking policy-related uncertainty keywords in major national newspapers. </w:t>
      </w:r>
      <w:r w:rsidR="0088642F" w:rsidRPr="0088642F">
        <w:rPr>
          <w:b w:val="0"/>
          <w:bCs w:val="0"/>
          <w:lang w:val="vi-VN"/>
        </w:rPr>
        <w:t>Second, we make use of Ahir, Bloom, and Furceri's (2022) World Uncertainty Index (WUI) for Vietnam (EPU2), which reflects more general global and trade-related uncertainty. In our baseline model, we include the interaction variables between corporate digitalization and economic policy uncertainty (DIGIT×EPU1 and DIGIT×EPU2). Table 10 displays the regression results</w:t>
      </w:r>
      <w:r w:rsidRPr="004A2D81">
        <w:rPr>
          <w:b w:val="0"/>
          <w:bCs w:val="0"/>
          <w:lang w:val="vi-VN"/>
        </w:rPr>
        <w:t xml:space="preserve">. </w:t>
      </w:r>
    </w:p>
    <w:p w14:paraId="343C455B" w14:textId="2A1D1C2A" w:rsidR="00B11C5E" w:rsidRPr="00EB24A0" w:rsidRDefault="00B11C5E" w:rsidP="00D40F6B">
      <w:pPr>
        <w:pStyle w:val="Heading2"/>
        <w:tabs>
          <w:tab w:val="left" w:pos="792"/>
        </w:tabs>
        <w:spacing w:before="240" w:line="360" w:lineRule="auto"/>
        <w:ind w:left="0" w:right="234"/>
        <w:rPr>
          <w:lang w:val="vi-VN"/>
        </w:rPr>
      </w:pPr>
      <w:r w:rsidRPr="00EB24A0">
        <w:rPr>
          <w:lang w:val="vi-VN"/>
        </w:rPr>
        <w:t xml:space="preserve">Table </w:t>
      </w:r>
      <w:r w:rsidR="00363578">
        <w:rPr>
          <w:lang w:val="vi-VN"/>
        </w:rPr>
        <w:t>10</w:t>
      </w:r>
      <w:r w:rsidRPr="00EB24A0">
        <w:rPr>
          <w:lang w:val="vi-VN"/>
        </w:rPr>
        <w:t>. Heterogeneity analysis: Economic policy uncertainty</w:t>
      </w:r>
    </w:p>
    <w:tbl>
      <w:tblPr>
        <w:tblStyle w:val="TableGrid"/>
        <w:tblW w:w="4890" w:type="pct"/>
        <w:tblLook w:val="04A0" w:firstRow="1" w:lastRow="0" w:firstColumn="1" w:lastColumn="0" w:noHBand="0" w:noVBand="1"/>
      </w:tblPr>
      <w:tblGrid>
        <w:gridCol w:w="3199"/>
        <w:gridCol w:w="3615"/>
        <w:gridCol w:w="3387"/>
      </w:tblGrid>
      <w:tr w:rsidR="00B11C5E" w:rsidRPr="00D40F6B" w14:paraId="59EABAC0" w14:textId="77777777" w:rsidTr="00F441A5">
        <w:tc>
          <w:tcPr>
            <w:tcW w:w="1568" w:type="pct"/>
            <w:hideMark/>
          </w:tcPr>
          <w:p w14:paraId="073D79D2"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Variables</w:t>
            </w:r>
          </w:p>
        </w:tc>
        <w:tc>
          <w:tcPr>
            <w:tcW w:w="1772" w:type="pct"/>
            <w:hideMark/>
          </w:tcPr>
          <w:p w14:paraId="5C7724E2"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(1) TC</w:t>
            </w:r>
          </w:p>
        </w:tc>
        <w:tc>
          <w:tcPr>
            <w:tcW w:w="1660" w:type="pct"/>
            <w:hideMark/>
          </w:tcPr>
          <w:p w14:paraId="61CEE9C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(2) TC</w:t>
            </w:r>
          </w:p>
        </w:tc>
      </w:tr>
      <w:tr w:rsidR="00B11C5E" w:rsidRPr="00D40F6B" w14:paraId="255DC3E2" w14:textId="77777777" w:rsidTr="00F441A5">
        <w:tc>
          <w:tcPr>
            <w:tcW w:w="1568" w:type="pct"/>
            <w:hideMark/>
          </w:tcPr>
          <w:p w14:paraId="1D0B3A95" w14:textId="54B850D0"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DIGIT</w:t>
            </w:r>
          </w:p>
        </w:tc>
        <w:tc>
          <w:tcPr>
            <w:tcW w:w="1772" w:type="pct"/>
            <w:hideMark/>
          </w:tcPr>
          <w:p w14:paraId="52D33002"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0.012***</w:t>
            </w:r>
          </w:p>
        </w:tc>
        <w:tc>
          <w:tcPr>
            <w:tcW w:w="1660" w:type="pct"/>
            <w:hideMark/>
          </w:tcPr>
          <w:p w14:paraId="0AE59A51"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0.010**</w:t>
            </w:r>
          </w:p>
        </w:tc>
      </w:tr>
      <w:tr w:rsidR="00B11C5E" w:rsidRPr="00D40F6B" w14:paraId="5A01E6A3" w14:textId="77777777" w:rsidTr="00F441A5">
        <w:tc>
          <w:tcPr>
            <w:tcW w:w="1568" w:type="pct"/>
            <w:hideMark/>
          </w:tcPr>
          <w:p w14:paraId="19308042"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772" w:type="pct"/>
            <w:hideMark/>
          </w:tcPr>
          <w:p w14:paraId="74B51E91"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(3.15)</w:t>
            </w:r>
          </w:p>
        </w:tc>
        <w:tc>
          <w:tcPr>
            <w:tcW w:w="1660" w:type="pct"/>
            <w:hideMark/>
          </w:tcPr>
          <w:p w14:paraId="6362A28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(2.48)</w:t>
            </w:r>
          </w:p>
        </w:tc>
      </w:tr>
      <w:tr w:rsidR="00B11C5E" w:rsidRPr="00D40F6B" w14:paraId="0728B89F" w14:textId="77777777" w:rsidTr="00F441A5">
        <w:tc>
          <w:tcPr>
            <w:tcW w:w="1568" w:type="pct"/>
            <w:hideMark/>
          </w:tcPr>
          <w:p w14:paraId="15F9F401" w14:textId="4B14BCC9"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EPU1</w:t>
            </w:r>
          </w:p>
        </w:tc>
        <w:tc>
          <w:tcPr>
            <w:tcW w:w="1772" w:type="pct"/>
            <w:hideMark/>
          </w:tcPr>
          <w:p w14:paraId="3112765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-0.045*** (-4.10)</w:t>
            </w:r>
          </w:p>
        </w:tc>
        <w:tc>
          <w:tcPr>
            <w:tcW w:w="1660" w:type="pct"/>
            <w:hideMark/>
          </w:tcPr>
          <w:p w14:paraId="2C52FFB6"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1D77F2CC" w14:textId="77777777" w:rsidTr="00F441A5">
        <w:tc>
          <w:tcPr>
            <w:tcW w:w="1568" w:type="pct"/>
            <w:hideMark/>
          </w:tcPr>
          <w:p w14:paraId="403F5486" w14:textId="3F4E820B" w:rsidR="00B11C5E" w:rsidRPr="002E3A97" w:rsidRDefault="002E3A97" w:rsidP="00D40F6B">
            <w:pPr>
              <w:pStyle w:val="Heading2"/>
              <w:tabs>
                <w:tab w:val="left" w:pos="792"/>
              </w:tabs>
              <w:spacing w:before="240" w:line="360" w:lineRule="auto"/>
              <w:ind w:left="0" w:right="234"/>
              <w:rPr>
                <w:b w:val="0"/>
                <w:bCs w:val="0"/>
                <w:i/>
                <w:iCs/>
                <w:lang w:val="vi-VN"/>
              </w:rPr>
            </w:pPr>
            <w:r w:rsidRPr="002E3A97">
              <w:rPr>
                <w:b w:val="0"/>
                <w:bCs w:val="0"/>
                <w:i/>
                <w:iCs/>
                <w:lang w:val="vi-VN"/>
              </w:rPr>
              <w:t>DIGIT x EPU1</w:t>
            </w:r>
          </w:p>
        </w:tc>
        <w:tc>
          <w:tcPr>
            <w:tcW w:w="1772" w:type="pct"/>
            <w:hideMark/>
          </w:tcPr>
          <w:p w14:paraId="589A6B5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0.018***</w:t>
            </w:r>
          </w:p>
        </w:tc>
        <w:tc>
          <w:tcPr>
            <w:tcW w:w="1660" w:type="pct"/>
            <w:hideMark/>
          </w:tcPr>
          <w:p w14:paraId="37143668"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23453868" w14:textId="77777777" w:rsidTr="00F441A5">
        <w:tc>
          <w:tcPr>
            <w:tcW w:w="1568" w:type="pct"/>
            <w:hideMark/>
          </w:tcPr>
          <w:p w14:paraId="1DAA4CBC"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772" w:type="pct"/>
            <w:hideMark/>
          </w:tcPr>
          <w:p w14:paraId="294E8CD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(3.62)</w:t>
            </w:r>
          </w:p>
        </w:tc>
        <w:tc>
          <w:tcPr>
            <w:tcW w:w="1660" w:type="pct"/>
            <w:hideMark/>
          </w:tcPr>
          <w:p w14:paraId="457E8F1D" w14:textId="77777777" w:rsidR="00B11C5E" w:rsidRPr="00D40F6B" w:rsidRDefault="00B11C5E" w:rsidP="00D40F6B">
            <w:pPr>
              <w:pStyle w:val="Heading2"/>
              <w:tabs>
                <w:tab w:val="left" w:pos="792"/>
              </w:tabs>
              <w:spacing w:before="240" w:line="360" w:lineRule="auto"/>
              <w:ind w:left="0" w:right="234"/>
              <w:rPr>
                <w:b w:val="0"/>
                <w:bCs w:val="0"/>
                <w:lang w:val="vi-VN"/>
              </w:rPr>
            </w:pPr>
          </w:p>
        </w:tc>
      </w:tr>
      <w:tr w:rsidR="00B11C5E" w:rsidRPr="00D40F6B" w14:paraId="2D6721CD" w14:textId="77777777" w:rsidTr="00F441A5">
        <w:tc>
          <w:tcPr>
            <w:tcW w:w="1568" w:type="pct"/>
            <w:hideMark/>
          </w:tcPr>
          <w:p w14:paraId="3191C4B3" w14:textId="5BA8E402"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EPU2</w:t>
            </w:r>
          </w:p>
        </w:tc>
        <w:tc>
          <w:tcPr>
            <w:tcW w:w="1772" w:type="pct"/>
            <w:hideMark/>
          </w:tcPr>
          <w:p w14:paraId="4033D57A"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0" w:type="pct"/>
            <w:hideMark/>
          </w:tcPr>
          <w:p w14:paraId="1F9189FB"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-0.038*** (-3.85)</w:t>
            </w:r>
          </w:p>
        </w:tc>
      </w:tr>
      <w:tr w:rsidR="00B11C5E" w:rsidRPr="00D40F6B" w14:paraId="3E9C4673" w14:textId="77777777" w:rsidTr="00F441A5">
        <w:tc>
          <w:tcPr>
            <w:tcW w:w="1568" w:type="pct"/>
            <w:hideMark/>
          </w:tcPr>
          <w:p w14:paraId="6888711D" w14:textId="62747724" w:rsidR="00B11C5E" w:rsidRPr="002E3A97" w:rsidRDefault="00B11C5E" w:rsidP="00D40F6B">
            <w:pPr>
              <w:pStyle w:val="Heading2"/>
              <w:tabs>
                <w:tab w:val="left" w:pos="792"/>
              </w:tabs>
              <w:spacing w:before="240" w:line="360" w:lineRule="auto"/>
              <w:ind w:left="0" w:right="234"/>
              <w:rPr>
                <w:b w:val="0"/>
                <w:bCs w:val="0"/>
                <w:i/>
                <w:iCs/>
                <w:lang w:val="vi-VN"/>
              </w:rPr>
            </w:pPr>
            <w:r w:rsidRPr="002E3A97">
              <w:rPr>
                <w:b w:val="0"/>
                <w:bCs w:val="0"/>
                <w:i/>
                <w:iCs/>
                <w:lang w:val="vi-VN"/>
              </w:rPr>
              <w:t xml:space="preserve">DIGIT </w:t>
            </w:r>
            <w:r w:rsidR="002E3A97" w:rsidRPr="002E3A97">
              <w:rPr>
                <w:b w:val="0"/>
                <w:bCs w:val="0"/>
                <w:i/>
                <w:iCs/>
                <w:lang w:val="vi-VN"/>
              </w:rPr>
              <w:t>x</w:t>
            </w:r>
            <w:r w:rsidRPr="002E3A97">
              <w:rPr>
                <w:b w:val="0"/>
                <w:bCs w:val="0"/>
                <w:i/>
                <w:iCs/>
                <w:lang w:val="vi-VN"/>
              </w:rPr>
              <w:t xml:space="preserve"> EPU2</w:t>
            </w:r>
          </w:p>
        </w:tc>
        <w:tc>
          <w:tcPr>
            <w:tcW w:w="1772" w:type="pct"/>
            <w:hideMark/>
          </w:tcPr>
          <w:p w14:paraId="556855DA"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0" w:type="pct"/>
            <w:hideMark/>
          </w:tcPr>
          <w:p w14:paraId="1EB270C0"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0.015***</w:t>
            </w:r>
          </w:p>
        </w:tc>
      </w:tr>
      <w:tr w:rsidR="00B11C5E" w:rsidRPr="00D40F6B" w14:paraId="5FB066F5" w14:textId="77777777" w:rsidTr="00F441A5">
        <w:tc>
          <w:tcPr>
            <w:tcW w:w="1568" w:type="pct"/>
            <w:hideMark/>
          </w:tcPr>
          <w:p w14:paraId="0C47754F"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772" w:type="pct"/>
            <w:hideMark/>
          </w:tcPr>
          <w:p w14:paraId="2C6C0EC6"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1660" w:type="pct"/>
            <w:hideMark/>
          </w:tcPr>
          <w:p w14:paraId="487F88D0"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(3.10)</w:t>
            </w:r>
          </w:p>
        </w:tc>
      </w:tr>
      <w:tr w:rsidR="00B11C5E" w:rsidRPr="00D40F6B" w14:paraId="09B9B70F" w14:textId="77777777" w:rsidTr="00F441A5">
        <w:tc>
          <w:tcPr>
            <w:tcW w:w="1568" w:type="pct"/>
            <w:hideMark/>
          </w:tcPr>
          <w:p w14:paraId="0D6AA537"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Controls</w:t>
            </w:r>
          </w:p>
        </w:tc>
        <w:tc>
          <w:tcPr>
            <w:tcW w:w="1772" w:type="pct"/>
            <w:hideMark/>
          </w:tcPr>
          <w:p w14:paraId="4F50EB2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60" w:type="pct"/>
            <w:hideMark/>
          </w:tcPr>
          <w:p w14:paraId="6E59E52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4E3497DE" w14:textId="77777777" w:rsidTr="00F441A5">
        <w:tc>
          <w:tcPr>
            <w:tcW w:w="1568" w:type="pct"/>
            <w:hideMark/>
          </w:tcPr>
          <w:p w14:paraId="34B0677B"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Firm FE</w:t>
            </w:r>
          </w:p>
        </w:tc>
        <w:tc>
          <w:tcPr>
            <w:tcW w:w="1772" w:type="pct"/>
            <w:hideMark/>
          </w:tcPr>
          <w:p w14:paraId="6E7EB9E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60" w:type="pct"/>
            <w:hideMark/>
          </w:tcPr>
          <w:p w14:paraId="0EAE425D"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593214D4" w14:textId="77777777" w:rsidTr="00F441A5">
        <w:tc>
          <w:tcPr>
            <w:tcW w:w="1568" w:type="pct"/>
            <w:hideMark/>
          </w:tcPr>
          <w:p w14:paraId="52B2EE5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Year FE</w:t>
            </w:r>
          </w:p>
        </w:tc>
        <w:tc>
          <w:tcPr>
            <w:tcW w:w="1772" w:type="pct"/>
            <w:hideMark/>
          </w:tcPr>
          <w:p w14:paraId="356DB55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c>
          <w:tcPr>
            <w:tcW w:w="1660" w:type="pct"/>
            <w:hideMark/>
          </w:tcPr>
          <w:p w14:paraId="4CD3174F"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70FF71FC" w14:textId="77777777" w:rsidTr="00F441A5">
        <w:tc>
          <w:tcPr>
            <w:tcW w:w="1568" w:type="pct"/>
            <w:hideMark/>
          </w:tcPr>
          <w:p w14:paraId="7155EEC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Observations</w:t>
            </w:r>
          </w:p>
        </w:tc>
        <w:tc>
          <w:tcPr>
            <w:tcW w:w="1772" w:type="pct"/>
            <w:hideMark/>
          </w:tcPr>
          <w:p w14:paraId="08B5C8A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5,420</w:t>
            </w:r>
          </w:p>
        </w:tc>
        <w:tc>
          <w:tcPr>
            <w:tcW w:w="1660" w:type="pct"/>
            <w:hideMark/>
          </w:tcPr>
          <w:p w14:paraId="40E01E8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5,420</w:t>
            </w:r>
          </w:p>
        </w:tc>
      </w:tr>
      <w:tr w:rsidR="00B11C5E" w:rsidRPr="00D40F6B" w14:paraId="7CE671F0" w14:textId="77777777" w:rsidTr="00F441A5">
        <w:tc>
          <w:tcPr>
            <w:tcW w:w="1568" w:type="pct"/>
            <w:hideMark/>
          </w:tcPr>
          <w:p w14:paraId="12C4CE0E" w14:textId="25F4AB1E"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1772" w:type="pct"/>
            <w:hideMark/>
          </w:tcPr>
          <w:p w14:paraId="2321AC28"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0.445</w:t>
            </w:r>
          </w:p>
        </w:tc>
        <w:tc>
          <w:tcPr>
            <w:tcW w:w="1660" w:type="pct"/>
            <w:hideMark/>
          </w:tcPr>
          <w:p w14:paraId="5DD62F6E"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0.441</w:t>
            </w:r>
          </w:p>
        </w:tc>
      </w:tr>
    </w:tbl>
    <w:p w14:paraId="419DA57E" w14:textId="1186ACB0" w:rsidR="00B11C5E" w:rsidRPr="004A2D81" w:rsidRDefault="00B11C5E" w:rsidP="00D40F6B">
      <w:pPr>
        <w:pStyle w:val="Heading2"/>
        <w:tabs>
          <w:tab w:val="left" w:pos="792"/>
        </w:tabs>
        <w:spacing w:before="240" w:line="360" w:lineRule="auto"/>
        <w:ind w:left="0" w:right="234"/>
        <w:rPr>
          <w:b w:val="0"/>
          <w:bCs w:val="0"/>
          <w:lang w:val="vi-VN"/>
        </w:rPr>
      </w:pPr>
      <w:r w:rsidRPr="004A2D81">
        <w:rPr>
          <w:b w:val="0"/>
          <w:bCs w:val="0"/>
          <w:lang w:val="vi-VN"/>
        </w:rPr>
        <w:t>As shown in Columns (1) and (2) of Table 1</w:t>
      </w:r>
      <w:r w:rsidR="004628F6" w:rsidRPr="004A2D81">
        <w:rPr>
          <w:b w:val="0"/>
          <w:bCs w:val="0"/>
          <w:lang w:val="en-US"/>
        </w:rPr>
        <w:t>0</w:t>
      </w:r>
      <w:r w:rsidRPr="004A2D81">
        <w:rPr>
          <w:b w:val="0"/>
          <w:bCs w:val="0"/>
          <w:lang w:val="vi-VN"/>
        </w:rPr>
        <w:t>, the main effects of both uncertainty indices (</w:t>
      </w:r>
      <w:r w:rsidRPr="004A2D81">
        <w:rPr>
          <w:b w:val="0"/>
          <w:bCs w:val="0"/>
          <w:i/>
          <w:iCs/>
          <w:lang w:val="vi-VN"/>
        </w:rPr>
        <w:t>EPU1</w:t>
      </w:r>
      <w:r w:rsidRPr="004A2D81">
        <w:rPr>
          <w:b w:val="0"/>
          <w:bCs w:val="0"/>
          <w:lang w:val="vi-VN"/>
        </w:rPr>
        <w:t xml:space="preserve"> and </w:t>
      </w:r>
      <w:r w:rsidRPr="004A2D81">
        <w:rPr>
          <w:b w:val="0"/>
          <w:bCs w:val="0"/>
          <w:i/>
          <w:iCs/>
          <w:lang w:val="vi-VN"/>
        </w:rPr>
        <w:t>EPU2</w:t>
      </w:r>
      <w:r w:rsidRPr="004A2D81">
        <w:rPr>
          <w:b w:val="0"/>
          <w:bCs w:val="0"/>
          <w:lang w:val="vi-VN"/>
        </w:rPr>
        <w:t xml:space="preserve">) are significantly negative, confirming the premise that policy uncertainty generally contracts trade credit availability. Importantly, the interaction terms </w:t>
      </w:r>
      <m:oMath>
        <m:r>
          <m:rPr>
            <m:sty m:val="bi"/>
          </m:rPr>
          <w:rPr>
            <w:rFonts w:ascii="Cambria Math" w:hAnsi="Cambria Math"/>
          </w:rPr>
          <m:t>DIGIT×EPU</m:t>
        </m:r>
        <m:r>
          <m:rPr>
            <m:sty m:val="bi"/>
          </m:rPr>
          <w:rPr>
            <w:rFonts w:ascii="Cambria Math" w:hAnsi="Cambria Math"/>
          </w:rPr>
          <m:t>1</m:t>
        </m:r>
      </m:oMath>
      <w:r w:rsidRPr="004A2D81">
        <w:rPr>
          <w:b w:val="0"/>
          <w:bCs w:val="0"/>
          <w:lang w:val="vi-VN"/>
        </w:rPr>
        <w:t xml:space="preserve"> and </w:t>
      </w:r>
      <m:oMath>
        <m:r>
          <m:rPr>
            <m:sty m:val="bi"/>
          </m:rPr>
          <w:rPr>
            <w:rFonts w:ascii="Cambria Math" w:hAnsi="Cambria Math"/>
          </w:rPr>
          <m:t>DIGIT×EPU</m:t>
        </m:r>
        <m:r>
          <m:rPr>
            <m:sty m:val="bi"/>
          </m:rPr>
          <w:rPr>
            <w:rFonts w:ascii="Cambria Math" w:hAnsi="Cambria Math"/>
          </w:rPr>
          <m:t>2</m:t>
        </m:r>
      </m:oMath>
      <w:r w:rsidRPr="004A2D81">
        <w:rPr>
          <w:b w:val="0"/>
          <w:bCs w:val="0"/>
          <w:lang w:val="vi-VN"/>
        </w:rPr>
        <w:t xml:space="preserve"> are both significantly positive in their regression results with </w:t>
      </w:r>
      <m:oMath>
        <m:r>
          <m:rPr>
            <m:sty m:val="bi"/>
          </m:rPr>
          <w:rPr>
            <w:rFonts w:ascii="Cambria Math" w:hAnsi="Cambria Math"/>
          </w:rPr>
          <m:t>TC</m:t>
        </m:r>
      </m:oMath>
      <w:r w:rsidRPr="004A2D81">
        <w:rPr>
          <w:b w:val="0"/>
          <w:bCs w:val="0"/>
          <w:lang w:val="vi-VN"/>
        </w:rPr>
        <w:t xml:space="preserve">. </w:t>
      </w:r>
    </w:p>
    <w:p w14:paraId="17D374D2" w14:textId="38707D77" w:rsidR="00B11C5E" w:rsidRPr="00D40F6B" w:rsidRDefault="00B11C5E" w:rsidP="00D40F6B">
      <w:pPr>
        <w:pStyle w:val="Heading2"/>
        <w:tabs>
          <w:tab w:val="left" w:pos="792"/>
        </w:tabs>
        <w:spacing w:before="240" w:line="360" w:lineRule="auto"/>
        <w:ind w:left="0" w:right="234"/>
        <w:rPr>
          <w:b w:val="0"/>
          <w:bCs w:val="0"/>
          <w:lang w:val="vi-VN"/>
        </w:rPr>
      </w:pPr>
      <w:r w:rsidRPr="004A2D81">
        <w:rPr>
          <w:b w:val="0"/>
          <w:bCs w:val="0"/>
          <w:lang w:val="vi-VN"/>
        </w:rPr>
        <w:lastRenderedPageBreak/>
        <w:t>These significantly positive interaction coefficients (</w:t>
      </w:r>
      <m:oMath>
        <m:r>
          <m:rPr>
            <m:sty m:val="bi"/>
          </m:rPr>
          <w:rPr>
            <w:rFonts w:ascii="Cambria Math" w:hAnsi="Cambria Math"/>
          </w:rPr>
          <m:t>β</m:t>
        </m:r>
      </m:oMath>
      <w:r w:rsidRPr="004A2D81">
        <w:rPr>
          <w:b w:val="0"/>
          <w:bCs w:val="0"/>
          <w:lang w:val="vi-VN"/>
        </w:rPr>
        <w:t xml:space="preserve"> = 0.018, </w:t>
      </w:r>
      <w:r w:rsidRPr="004A2D81">
        <w:rPr>
          <w:b w:val="0"/>
          <w:bCs w:val="0"/>
          <w:i/>
          <w:iCs/>
          <w:lang w:val="vi-VN"/>
        </w:rPr>
        <w:t>p</w:t>
      </w:r>
      <w:r w:rsidRPr="004A2D81">
        <w:rPr>
          <w:b w:val="0"/>
          <w:bCs w:val="0"/>
          <w:lang w:val="vi-VN"/>
        </w:rPr>
        <w:t xml:space="preserve"> &lt; 0.01 and </w:t>
      </w:r>
      <m:oMath>
        <m:r>
          <m:rPr>
            <m:sty m:val="bi"/>
          </m:rPr>
          <w:rPr>
            <w:rFonts w:ascii="Cambria Math" w:hAnsi="Cambria Math"/>
          </w:rPr>
          <m:t>β</m:t>
        </m:r>
      </m:oMath>
      <w:r w:rsidRPr="004A2D81">
        <w:rPr>
          <w:b w:val="0"/>
          <w:bCs w:val="0"/>
          <w:lang w:val="vi-VN"/>
        </w:rPr>
        <w:t xml:space="preserve"> = 0.015, </w:t>
      </w:r>
      <w:r w:rsidRPr="004A2D81">
        <w:rPr>
          <w:b w:val="0"/>
          <w:bCs w:val="0"/>
          <w:i/>
          <w:iCs/>
          <w:lang w:val="vi-VN"/>
        </w:rPr>
        <w:t>p</w:t>
      </w:r>
      <w:r w:rsidRPr="004A2D81">
        <w:rPr>
          <w:b w:val="0"/>
          <w:bCs w:val="0"/>
          <w:lang w:val="vi-VN"/>
        </w:rPr>
        <w:t xml:space="preserve"> &lt; 0.01) indicate that corporate digitalization effectively mitigates the negative impact of economic policy uncertainty on trade credit. During times of severe market turbulence, the transparent and efficient operational signals generated by digital transformation successfully substitute for a stable macro-</w:t>
      </w:r>
      <w:r w:rsidRPr="00D40F6B">
        <w:rPr>
          <w:b w:val="0"/>
          <w:bCs w:val="0"/>
          <w:lang w:val="vi-VN"/>
        </w:rPr>
        <w:t>environment, reinforcing supply chain trust and sustaining critical inter-firm financing</w:t>
      </w:r>
    </w:p>
    <w:p w14:paraId="378E28F0" w14:textId="77777777" w:rsidR="00B11C5E" w:rsidRPr="00947C46" w:rsidRDefault="00B11C5E" w:rsidP="00947C46">
      <w:pPr>
        <w:spacing w:before="120" w:after="120" w:line="360" w:lineRule="auto"/>
        <w:ind w:right="234"/>
        <w:jc w:val="both"/>
        <w:rPr>
          <w:b/>
          <w:bCs/>
        </w:rPr>
      </w:pPr>
      <w:r w:rsidRPr="00947C46">
        <w:rPr>
          <w:b/>
          <w:bCs/>
        </w:rPr>
        <w:t>4.5.3. Nature of ownership</w:t>
      </w:r>
    </w:p>
    <w:p w14:paraId="63C54338" w14:textId="37A3D120"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In emerging markets and transition economies, the nature of property rights fundamentally shapes a firm's external financing environment. </w:t>
      </w:r>
      <w:r w:rsidR="001B689E" w:rsidRPr="001B689E">
        <w:rPr>
          <w:b w:val="0"/>
          <w:bCs w:val="0"/>
          <w:lang w:val="vi-VN"/>
        </w:rPr>
        <w:t>Because of their strong connections to the government, state-owned companies (SOEs) frequently have more trust and privileged access to resources, such as trade credit and bank loans. They are naturally shielded from severe credit rationing by implicit government guarantees. On the other hand, structural trust deficiencies and a more difficult financing climate are common for non-state-owned businesses (non-SOEs)</w:t>
      </w:r>
      <w:r w:rsidRPr="00D40F6B">
        <w:rPr>
          <w:b w:val="0"/>
          <w:bCs w:val="0"/>
          <w:lang w:val="vi-VN"/>
        </w:rPr>
        <w:t xml:space="preserve">, making them heavily reliant on alternative signaling mechanisms to secure supply chain financing. </w:t>
      </w:r>
    </w:p>
    <w:p w14:paraId="21B0B8D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Given this institutional background, we hypothesize that the "digital trust premium" generated by corporate digitalization is not equally distributed. For SOEs, the marginal benefit of digital transformation in acquiring trade credit should be relatively limited, as suppliers already extend credit based on state backing. Conversely, for non-SOEs, digitalization serves as a crucial, independent signal of operational transparency, modern governance, and robust repayment capacity, effectively substituting for the lack of formal political endorsements.</w:t>
      </w:r>
    </w:p>
    <w:p w14:paraId="13B04031" w14:textId="696BF47B" w:rsidR="00B11C5E" w:rsidRPr="004A2D81"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To </w:t>
      </w:r>
      <w:r w:rsidRPr="004A2D81">
        <w:rPr>
          <w:b w:val="0"/>
          <w:bCs w:val="0"/>
          <w:lang w:val="vi-VN"/>
        </w:rPr>
        <w:t xml:space="preserve">empirically test this heterogeneity (Hypothesis 3), we interact our corporate digitalization index with the ownership nature dummy variable </w:t>
      </w:r>
      <m:oMath>
        <m:r>
          <m:rPr>
            <m:sty m:val="bi"/>
          </m:rPr>
          <w:rPr>
            <w:rFonts w:ascii="Cambria Math" w:hAnsi="Cambria Math"/>
          </w:rPr>
          <m:t>(DIGIT×SOE</m:t>
        </m:r>
      </m:oMath>
      <w:r w:rsidRPr="004A2D81">
        <w:rPr>
          <w:b w:val="0"/>
          <w:bCs w:val="0"/>
          <w:lang w:val="vi-VN"/>
        </w:rPr>
        <w:t xml:space="preserve">) and include it in the baseline regression model. The results are reported in Table </w:t>
      </w:r>
      <w:r w:rsidR="006616C5" w:rsidRPr="004A2D81">
        <w:rPr>
          <w:b w:val="0"/>
          <w:bCs w:val="0"/>
          <w:lang w:val="vi-VN"/>
        </w:rPr>
        <w:t>11</w:t>
      </w:r>
      <w:r w:rsidRPr="004A2D81">
        <w:rPr>
          <w:b w:val="0"/>
          <w:bCs w:val="0"/>
          <w:lang w:val="vi-VN"/>
        </w:rPr>
        <w:t>.</w:t>
      </w:r>
    </w:p>
    <w:p w14:paraId="6B9B45BB" w14:textId="3864274A" w:rsidR="00B11C5E" w:rsidRPr="00947C46" w:rsidRDefault="00B11C5E" w:rsidP="00D40F6B">
      <w:pPr>
        <w:pStyle w:val="Heading2"/>
        <w:tabs>
          <w:tab w:val="left" w:pos="792"/>
        </w:tabs>
        <w:spacing w:before="240" w:line="360" w:lineRule="auto"/>
        <w:ind w:left="0" w:right="234"/>
        <w:rPr>
          <w:lang w:val="vi-VN"/>
        </w:rPr>
      </w:pPr>
      <w:r w:rsidRPr="00947C46">
        <w:rPr>
          <w:lang w:val="vi-VN"/>
        </w:rPr>
        <w:t xml:space="preserve">Table </w:t>
      </w:r>
      <w:r w:rsidR="006616C5">
        <w:rPr>
          <w:lang w:val="vi-VN"/>
        </w:rPr>
        <w:t>11</w:t>
      </w:r>
      <w:r w:rsidRPr="00947C46">
        <w:rPr>
          <w:lang w:val="vi-VN"/>
        </w:rPr>
        <w:t>. Heterogeneity analysis: Nature of ownership</w:t>
      </w:r>
    </w:p>
    <w:tbl>
      <w:tblPr>
        <w:tblStyle w:val="TableGrid"/>
        <w:tblW w:w="4890" w:type="pct"/>
        <w:tblLook w:val="04A0" w:firstRow="1" w:lastRow="0" w:firstColumn="1" w:lastColumn="0" w:noHBand="0" w:noVBand="1"/>
      </w:tblPr>
      <w:tblGrid>
        <w:gridCol w:w="5806"/>
        <w:gridCol w:w="4395"/>
      </w:tblGrid>
      <w:tr w:rsidR="00B11C5E" w:rsidRPr="00D40F6B" w14:paraId="2E7AFCFC" w14:textId="77777777" w:rsidTr="006616C5">
        <w:tc>
          <w:tcPr>
            <w:tcW w:w="2846" w:type="pct"/>
            <w:hideMark/>
          </w:tcPr>
          <w:p w14:paraId="3ECEFE0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Variables</w:t>
            </w:r>
          </w:p>
        </w:tc>
        <w:tc>
          <w:tcPr>
            <w:tcW w:w="2154" w:type="pct"/>
            <w:hideMark/>
          </w:tcPr>
          <w:p w14:paraId="25F476B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lang w:val="vi-VN"/>
              </w:rPr>
              <w:t>(1) TC</w:t>
            </w:r>
          </w:p>
        </w:tc>
      </w:tr>
      <w:tr w:rsidR="00B11C5E" w:rsidRPr="00D40F6B" w14:paraId="770A86BF" w14:textId="77777777" w:rsidTr="006616C5">
        <w:tc>
          <w:tcPr>
            <w:tcW w:w="2846" w:type="pct"/>
            <w:hideMark/>
          </w:tcPr>
          <w:p w14:paraId="3F48135B" w14:textId="1C3C4C5D"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DIGIT</w:t>
            </w:r>
          </w:p>
        </w:tc>
        <w:tc>
          <w:tcPr>
            <w:tcW w:w="2154" w:type="pct"/>
            <w:hideMark/>
          </w:tcPr>
          <w:p w14:paraId="4B1B72A8"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0.017***</w:t>
            </w:r>
          </w:p>
        </w:tc>
      </w:tr>
      <w:tr w:rsidR="00B11C5E" w:rsidRPr="00D40F6B" w14:paraId="1068232B" w14:textId="77777777" w:rsidTr="006616C5">
        <w:tc>
          <w:tcPr>
            <w:tcW w:w="2846" w:type="pct"/>
            <w:hideMark/>
          </w:tcPr>
          <w:p w14:paraId="69E046EB"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2154" w:type="pct"/>
            <w:hideMark/>
          </w:tcPr>
          <w:p w14:paraId="5C0D9709"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(4.80)</w:t>
            </w:r>
          </w:p>
        </w:tc>
      </w:tr>
      <w:tr w:rsidR="00B11C5E" w:rsidRPr="00D40F6B" w14:paraId="03136B21" w14:textId="77777777" w:rsidTr="006616C5">
        <w:tc>
          <w:tcPr>
            <w:tcW w:w="2846" w:type="pct"/>
            <w:hideMark/>
          </w:tcPr>
          <w:p w14:paraId="0619D582" w14:textId="4C6F533E"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SOE</w:t>
            </w:r>
          </w:p>
        </w:tc>
        <w:tc>
          <w:tcPr>
            <w:tcW w:w="2154" w:type="pct"/>
            <w:hideMark/>
          </w:tcPr>
          <w:p w14:paraId="28208823"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0.025***</w:t>
            </w:r>
          </w:p>
        </w:tc>
      </w:tr>
      <w:tr w:rsidR="00B11C5E" w:rsidRPr="00D40F6B" w14:paraId="0FC62B63" w14:textId="77777777" w:rsidTr="006616C5">
        <w:tc>
          <w:tcPr>
            <w:tcW w:w="2846" w:type="pct"/>
            <w:hideMark/>
          </w:tcPr>
          <w:p w14:paraId="1B017E3F"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2154" w:type="pct"/>
            <w:hideMark/>
          </w:tcPr>
          <w:p w14:paraId="235505A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(3.10)</w:t>
            </w:r>
          </w:p>
        </w:tc>
      </w:tr>
      <w:tr w:rsidR="00B11C5E" w:rsidRPr="00D40F6B" w14:paraId="36497830" w14:textId="77777777" w:rsidTr="006616C5">
        <w:tc>
          <w:tcPr>
            <w:tcW w:w="2846" w:type="pct"/>
            <w:hideMark/>
          </w:tcPr>
          <w:p w14:paraId="407B4164" w14:textId="2772E126"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DIGIT </w:t>
            </w:r>
            <w:r w:rsidR="00947C46">
              <w:rPr>
                <w:b w:val="0"/>
                <w:bCs w:val="0"/>
                <w:lang w:val="vi-VN"/>
              </w:rPr>
              <w:t>x</w:t>
            </w:r>
            <w:r w:rsidRPr="00D40F6B">
              <w:rPr>
                <w:b w:val="0"/>
                <w:bCs w:val="0"/>
                <w:lang w:val="vi-VN"/>
              </w:rPr>
              <w:t xml:space="preserve"> SOE</w:t>
            </w:r>
          </w:p>
        </w:tc>
        <w:tc>
          <w:tcPr>
            <w:tcW w:w="2154" w:type="pct"/>
            <w:hideMark/>
          </w:tcPr>
          <w:p w14:paraId="53887DA8"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-0.009***</w:t>
            </w:r>
          </w:p>
        </w:tc>
      </w:tr>
      <w:tr w:rsidR="00B11C5E" w:rsidRPr="00D40F6B" w14:paraId="5BE66976" w14:textId="77777777" w:rsidTr="006616C5">
        <w:tc>
          <w:tcPr>
            <w:tcW w:w="2846" w:type="pct"/>
            <w:hideMark/>
          </w:tcPr>
          <w:p w14:paraId="3B94A154" w14:textId="77777777" w:rsidR="00B11C5E" w:rsidRPr="00D40F6B" w:rsidRDefault="00B11C5E" w:rsidP="00D40F6B">
            <w:pPr>
              <w:pStyle w:val="Heading2"/>
              <w:tabs>
                <w:tab w:val="left" w:pos="792"/>
              </w:tabs>
              <w:spacing w:before="240" w:line="360" w:lineRule="auto"/>
              <w:ind w:left="0" w:right="234"/>
              <w:rPr>
                <w:b w:val="0"/>
                <w:bCs w:val="0"/>
                <w:lang w:val="vi-VN"/>
              </w:rPr>
            </w:pPr>
          </w:p>
        </w:tc>
        <w:tc>
          <w:tcPr>
            <w:tcW w:w="2154" w:type="pct"/>
            <w:hideMark/>
          </w:tcPr>
          <w:p w14:paraId="4FFDEFD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(-2.85)</w:t>
            </w:r>
          </w:p>
        </w:tc>
      </w:tr>
      <w:tr w:rsidR="00B11C5E" w:rsidRPr="00D40F6B" w14:paraId="54BE762B" w14:textId="77777777" w:rsidTr="006616C5">
        <w:tc>
          <w:tcPr>
            <w:tcW w:w="2846" w:type="pct"/>
            <w:hideMark/>
          </w:tcPr>
          <w:p w14:paraId="3168BEB7"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Controls</w:t>
            </w:r>
          </w:p>
        </w:tc>
        <w:tc>
          <w:tcPr>
            <w:tcW w:w="2154" w:type="pct"/>
            <w:hideMark/>
          </w:tcPr>
          <w:p w14:paraId="1A694D12"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33890556" w14:textId="77777777" w:rsidTr="006616C5">
        <w:tc>
          <w:tcPr>
            <w:tcW w:w="2846" w:type="pct"/>
            <w:hideMark/>
          </w:tcPr>
          <w:p w14:paraId="29C8262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Firm FE</w:t>
            </w:r>
          </w:p>
        </w:tc>
        <w:tc>
          <w:tcPr>
            <w:tcW w:w="2154" w:type="pct"/>
            <w:hideMark/>
          </w:tcPr>
          <w:p w14:paraId="7E6CEB3A"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2B03E941" w14:textId="77777777" w:rsidTr="006616C5">
        <w:tc>
          <w:tcPr>
            <w:tcW w:w="2846" w:type="pct"/>
            <w:hideMark/>
          </w:tcPr>
          <w:p w14:paraId="2A9E720F"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Year FE</w:t>
            </w:r>
          </w:p>
        </w:tc>
        <w:tc>
          <w:tcPr>
            <w:tcW w:w="2154" w:type="pct"/>
            <w:hideMark/>
          </w:tcPr>
          <w:p w14:paraId="1B8A7DAC"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Yes</w:t>
            </w:r>
          </w:p>
        </w:tc>
      </w:tr>
      <w:tr w:rsidR="00B11C5E" w:rsidRPr="00D40F6B" w14:paraId="645D2B6F" w14:textId="77777777" w:rsidTr="006616C5">
        <w:tc>
          <w:tcPr>
            <w:tcW w:w="2846" w:type="pct"/>
            <w:hideMark/>
          </w:tcPr>
          <w:p w14:paraId="50183E2D"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Observations</w:t>
            </w:r>
          </w:p>
        </w:tc>
        <w:tc>
          <w:tcPr>
            <w:tcW w:w="2154" w:type="pct"/>
            <w:hideMark/>
          </w:tcPr>
          <w:p w14:paraId="4D161CD6"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5,420</w:t>
            </w:r>
          </w:p>
        </w:tc>
      </w:tr>
      <w:tr w:rsidR="00B11C5E" w:rsidRPr="00D40F6B" w14:paraId="5C391F3E" w14:textId="77777777" w:rsidTr="006616C5">
        <w:tc>
          <w:tcPr>
            <w:tcW w:w="2846" w:type="pct"/>
            <w:hideMark/>
          </w:tcPr>
          <w:p w14:paraId="65583E87" w14:textId="589EF8BC"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2154" w:type="pct"/>
            <w:hideMark/>
          </w:tcPr>
          <w:p w14:paraId="0563AEE4" w14:textId="77777777" w:rsidR="00B11C5E" w:rsidRPr="00D40F6B" w:rsidRDefault="00B11C5E" w:rsidP="00D40F6B">
            <w:pPr>
              <w:pStyle w:val="Heading2"/>
              <w:tabs>
                <w:tab w:val="left" w:pos="792"/>
              </w:tabs>
              <w:spacing w:before="240" w:line="360" w:lineRule="auto"/>
              <w:ind w:left="0" w:right="234"/>
              <w:rPr>
                <w:b w:val="0"/>
                <w:bCs w:val="0"/>
                <w:lang w:val="vi-VN"/>
              </w:rPr>
            </w:pPr>
            <w:r w:rsidRPr="00D40F6B">
              <w:rPr>
                <w:b w:val="0"/>
                <w:bCs w:val="0"/>
                <w:lang w:val="vi-VN"/>
              </w:rPr>
              <w:t>0.435</w:t>
            </w:r>
          </w:p>
        </w:tc>
      </w:tr>
    </w:tbl>
    <w:p w14:paraId="72FD7826" w14:textId="746CEA85" w:rsidR="00B11C5E" w:rsidRPr="004A2D81" w:rsidRDefault="00B11C5E" w:rsidP="00D40F6B">
      <w:pPr>
        <w:pStyle w:val="Heading2"/>
        <w:tabs>
          <w:tab w:val="left" w:pos="792"/>
        </w:tabs>
        <w:spacing w:before="240" w:line="360" w:lineRule="auto"/>
        <w:ind w:left="0" w:right="234"/>
        <w:rPr>
          <w:b w:val="0"/>
          <w:bCs w:val="0"/>
          <w:lang w:val="vi-VN"/>
        </w:rPr>
      </w:pPr>
      <w:r w:rsidRPr="004A2D81">
        <w:rPr>
          <w:b w:val="0"/>
          <w:bCs w:val="0"/>
          <w:lang w:val="vi-VN"/>
        </w:rPr>
        <w:t xml:space="preserve">As presented in Table </w:t>
      </w:r>
      <w:r w:rsidR="006616C5" w:rsidRPr="004A2D81">
        <w:rPr>
          <w:b w:val="0"/>
          <w:bCs w:val="0"/>
          <w:lang w:val="vi-VN"/>
        </w:rPr>
        <w:t>11</w:t>
      </w:r>
      <w:r w:rsidRPr="004A2D81">
        <w:rPr>
          <w:b w:val="0"/>
          <w:bCs w:val="0"/>
          <w:lang w:val="vi-VN"/>
        </w:rPr>
        <w:t xml:space="preserve">, the coefficient on the main effect of </w:t>
      </w:r>
      <m:oMath>
        <m:r>
          <m:rPr>
            <m:sty m:val="bi"/>
          </m:rPr>
          <w:rPr>
            <w:rFonts w:ascii="Cambria Math" w:hAnsi="Cambria Math"/>
          </w:rPr>
          <m:t>SOE</m:t>
        </m:r>
      </m:oMath>
      <w:r w:rsidRPr="004A2D81">
        <w:rPr>
          <w:b w:val="0"/>
          <w:bCs w:val="0"/>
          <w:lang w:val="vi-VN"/>
        </w:rPr>
        <w:t xml:space="preserve"> is significantly positive (</w:t>
      </w:r>
      <m:oMath>
        <m:r>
          <m:rPr>
            <m:sty m:val="bi"/>
          </m:rPr>
          <w:rPr>
            <w:rFonts w:ascii="Cambria Math" w:hAnsi="Cambria Math"/>
          </w:rPr>
          <m:t>β</m:t>
        </m:r>
      </m:oMath>
      <w:r w:rsidRPr="004A2D81">
        <w:rPr>
          <w:b w:val="0"/>
          <w:bCs w:val="0"/>
          <w:lang w:val="vi-VN"/>
        </w:rPr>
        <w:t xml:space="preserve"> = 0.025, </w:t>
      </w:r>
      <w:r w:rsidRPr="004A2D81">
        <w:rPr>
          <w:b w:val="0"/>
          <w:bCs w:val="0"/>
          <w:i/>
          <w:iCs/>
          <w:lang w:val="vi-VN"/>
        </w:rPr>
        <w:t>p</w:t>
      </w:r>
      <w:r w:rsidRPr="004A2D81">
        <w:rPr>
          <w:b w:val="0"/>
          <w:bCs w:val="0"/>
          <w:lang w:val="vi-VN"/>
        </w:rPr>
        <w:t xml:space="preserve"> &lt; 0.01), confirming the established consensus that state-owned enterprises inherently receive more trade credit. More importantly, the coefficient on the interaction term </w:t>
      </w:r>
      <m:oMath>
        <m:r>
          <m:rPr>
            <m:sty m:val="bi"/>
          </m:rPr>
          <w:rPr>
            <w:rFonts w:ascii="Cambria Math" w:hAnsi="Cambria Math"/>
          </w:rPr>
          <m:t>DIGIT×SOE</m:t>
        </m:r>
      </m:oMath>
      <w:r w:rsidRPr="004A2D81">
        <w:rPr>
          <w:b w:val="0"/>
          <w:bCs w:val="0"/>
          <w:lang w:val="vi-VN"/>
        </w:rPr>
        <w:t xml:space="preserve"> is negative and statistically significant at the 1% level (</w:t>
      </w:r>
      <m:oMath>
        <m:r>
          <m:rPr>
            <m:sty m:val="bi"/>
          </m:rPr>
          <w:rPr>
            <w:rFonts w:ascii="Cambria Math" w:hAnsi="Cambria Math"/>
          </w:rPr>
          <m:t>β</m:t>
        </m:r>
      </m:oMath>
      <w:r w:rsidRPr="004A2D81">
        <w:rPr>
          <w:b w:val="0"/>
          <w:bCs w:val="0"/>
          <w:lang w:val="vi-VN"/>
        </w:rPr>
        <w:t xml:space="preserve">= -0.009, </w:t>
      </w:r>
      <w:r w:rsidRPr="004A2D81">
        <w:rPr>
          <w:b w:val="0"/>
          <w:bCs w:val="0"/>
          <w:i/>
          <w:iCs/>
          <w:lang w:val="vi-VN"/>
        </w:rPr>
        <w:t>t</w:t>
      </w:r>
      <w:r w:rsidRPr="004A2D81">
        <w:rPr>
          <w:b w:val="0"/>
          <w:bCs w:val="0"/>
          <w:lang w:val="vi-VN"/>
        </w:rPr>
        <w:t xml:space="preserve"> = -2.85).</w:t>
      </w:r>
    </w:p>
    <w:p w14:paraId="00F74EBB" w14:textId="423AE9DB" w:rsidR="00B11C5E" w:rsidRPr="00D40F6B" w:rsidRDefault="00B11C5E" w:rsidP="00D40F6B">
      <w:pPr>
        <w:pStyle w:val="Heading2"/>
        <w:tabs>
          <w:tab w:val="left" w:pos="792"/>
        </w:tabs>
        <w:spacing w:before="240" w:line="360" w:lineRule="auto"/>
        <w:ind w:left="0" w:right="234"/>
        <w:rPr>
          <w:b w:val="0"/>
          <w:bCs w:val="0"/>
          <w:lang w:val="vi-VN"/>
        </w:rPr>
      </w:pPr>
      <w:r w:rsidRPr="004A2D81">
        <w:rPr>
          <w:b w:val="0"/>
          <w:bCs w:val="0"/>
          <w:lang w:val="vi-VN"/>
        </w:rPr>
        <w:t xml:space="preserve">Because the main effect of </w:t>
      </w:r>
      <m:oMath>
        <m:r>
          <m:rPr>
            <m:sty m:val="bi"/>
          </m:rPr>
          <w:rPr>
            <w:rFonts w:ascii="Cambria Math" w:hAnsi="Cambria Math"/>
          </w:rPr>
          <m:t>DIGIT</m:t>
        </m:r>
      </m:oMath>
      <w:r w:rsidRPr="004A2D81">
        <w:rPr>
          <w:b w:val="0"/>
          <w:bCs w:val="0"/>
          <w:lang w:val="vi-VN"/>
        </w:rPr>
        <w:t xml:space="preserve"> remains significantly positive (0.017), the negative interaction term mathematically demonstrates that the positive impact of corporate digitalization on trade credit is weaker for SOEs and significantly stronger for non-SOEs. This empirical</w:t>
      </w:r>
      <w:r w:rsidRPr="00D40F6B">
        <w:rPr>
          <w:b w:val="0"/>
          <w:bCs w:val="0"/>
          <w:lang w:val="vi-VN"/>
        </w:rPr>
        <w:t xml:space="preserve"> finding fully supports Hypothesis 3. It suggests that corporate digital transformation acts as an effective equalizer in the credit market. By establishing transparent and reliable "digital trust," non-SOEs can successfully mitigate formal institutional discrimination and substantially improve their access to critical supply chain financing.</w:t>
      </w:r>
    </w:p>
    <w:p w14:paraId="5E3C3021" w14:textId="77777777" w:rsidR="00B11C5E" w:rsidRPr="00947C46" w:rsidRDefault="00B11C5E" w:rsidP="00947C46">
      <w:pPr>
        <w:spacing w:before="120" w:after="120" w:line="360" w:lineRule="auto"/>
        <w:ind w:right="234"/>
        <w:jc w:val="both"/>
        <w:rPr>
          <w:b/>
          <w:bCs/>
        </w:rPr>
      </w:pPr>
      <w:r w:rsidRPr="00947C46">
        <w:rPr>
          <w:b/>
          <w:bCs/>
        </w:rPr>
        <w:t>5. Further analysis</w:t>
      </w:r>
    </w:p>
    <w:p w14:paraId="460F3E60" w14:textId="77777777" w:rsidR="00B11C5E" w:rsidRPr="00947C46" w:rsidRDefault="00B11C5E" w:rsidP="00947C46">
      <w:pPr>
        <w:spacing w:before="120" w:after="120" w:line="360" w:lineRule="auto"/>
        <w:ind w:right="234"/>
        <w:jc w:val="both"/>
        <w:rPr>
          <w:b/>
          <w:bCs/>
        </w:rPr>
      </w:pPr>
      <w:r w:rsidRPr="00947C46">
        <w:rPr>
          <w:b/>
          <w:bCs/>
        </w:rPr>
        <w:t>5.1. Short-term and long-term trade credit</w:t>
      </w:r>
    </w:p>
    <w:p w14:paraId="03AD9448" w14:textId="77777777" w:rsidR="001B689E" w:rsidRDefault="001B689E" w:rsidP="00202988">
      <w:pPr>
        <w:spacing w:before="120" w:after="120" w:line="360" w:lineRule="auto"/>
        <w:ind w:right="234"/>
        <w:jc w:val="both"/>
      </w:pPr>
      <w:r w:rsidRPr="001B689E">
        <w:t>This study attempts to elucidate the boundary conditions of the "digital trust premium" by classifying trade credit into long-term and short-term components</w:t>
      </w:r>
      <w:r>
        <w:t xml:space="preserve"> </w:t>
      </w:r>
      <w:r w:rsidR="00202988" w:rsidRPr="00202988">
        <w:t xml:space="preserve">and its underlying mechanisms. Trade credit is inherently heterogeneous in its maturity structure. Short-term trade credit is primarily utilized for operational flexibility and immediate working capital needs, whereas </w:t>
      </w:r>
      <w:r w:rsidRPr="001B689E">
        <w:t>Long-term trade financing entails longer terms, more opportunity costs, and far higher default risks for suppliers.</w:t>
      </w:r>
    </w:p>
    <w:p w14:paraId="5A169AF7" w14:textId="0DBA6086" w:rsidR="00202988" w:rsidRPr="00202988" w:rsidRDefault="001B689E" w:rsidP="00202988">
      <w:pPr>
        <w:spacing w:before="120" w:after="120" w:line="360" w:lineRule="auto"/>
        <w:ind w:right="234"/>
        <w:jc w:val="both"/>
      </w:pPr>
      <w:r w:rsidRPr="001B689E">
        <w:lastRenderedPageBreak/>
        <w:t>Our hypothesis is that trade credit is mainly stimulated by corporate digitalization through an increase in its short-term component.</w:t>
      </w:r>
      <w:r>
        <w:t xml:space="preserve"> </w:t>
      </w:r>
      <w:r w:rsidR="00202988" w:rsidRPr="00202988">
        <w:t xml:space="preserve">The enhanced information transparency and operational efficiency generated by digital transformation are highly effective in reducing short-term transaction frictions. </w:t>
      </w:r>
      <w:r w:rsidRPr="001B689E">
        <w:t>As a result, suppliers are more inclined to provide short-term loan support, allowing digitally savvy businesses to react quickly to market opportunities. However, suppliers usually take a far more cautious approach when it comes to long-term financing, largely depending on substantive risk control methods like real collateral instead of informal trust. Over long time horizons, digitalization could not be enough to completely offset the compounding risk exposure.</w:t>
      </w:r>
    </w:p>
    <w:p w14:paraId="3A4A023A" w14:textId="788F5274" w:rsidR="00202988" w:rsidRPr="00202988" w:rsidRDefault="00202988" w:rsidP="00202988">
      <w:pPr>
        <w:spacing w:before="120" w:after="120" w:line="360" w:lineRule="auto"/>
        <w:ind w:right="234"/>
        <w:jc w:val="both"/>
        <w:rPr>
          <w:lang w:val="vi-VN"/>
        </w:rPr>
      </w:pPr>
      <w:r w:rsidRPr="00202988">
        <w:t>To empirically test this mechanism, we decompose accounts payable into amounts due within one year and amounts due beyond one year. Dividing each component by total assets yields short-term trade credit (</w:t>
      </w:r>
      <w:r w:rsidRPr="00763BAB">
        <w:rPr>
          <w:i/>
          <w:iCs/>
        </w:rPr>
        <w:t>STC</w:t>
      </w:r>
      <w:r w:rsidRPr="00202988">
        <w:t>) and long-term trade credit (</w:t>
      </w:r>
      <w:r w:rsidRPr="00947C46">
        <w:rPr>
          <w:i/>
          <w:iCs/>
        </w:rPr>
        <w:t>LTC</w:t>
      </w:r>
      <w:r w:rsidRPr="00202988">
        <w:t xml:space="preserve">), respectively. We then re-estimate our baseline fixed-effects model to examine how corporate digitalization influences </w:t>
      </w:r>
      <m:oMath>
        <m:r>
          <w:rPr>
            <w:rFonts w:ascii="Cambria Math" w:hAnsi="Cambria Math"/>
          </w:rPr>
          <m:t>STC</m:t>
        </m:r>
      </m:oMath>
      <w:r w:rsidRPr="00202988">
        <w:t xml:space="preserve"> and </w:t>
      </w:r>
      <m:oMath>
        <m:r>
          <w:rPr>
            <w:rFonts w:ascii="Cambria Math" w:hAnsi="Cambria Math"/>
          </w:rPr>
          <m:t>LTC</m:t>
        </m:r>
      </m:oMath>
      <w:r w:rsidRPr="00202988">
        <w:t>. The regression results are presented in Table 1</w:t>
      </w:r>
      <w:r w:rsidR="006616C5">
        <w:rPr>
          <w:lang w:val="vi-VN"/>
        </w:rPr>
        <w:t>2</w:t>
      </w:r>
      <w:r w:rsidRPr="00D40F6B">
        <w:t xml:space="preserve">. </w:t>
      </w:r>
    </w:p>
    <w:p w14:paraId="57D6BE93" w14:textId="02C75B10" w:rsidR="00202988" w:rsidRPr="00947C46" w:rsidRDefault="00B11C5E" w:rsidP="00D40F6B">
      <w:pPr>
        <w:pStyle w:val="Heading2"/>
        <w:tabs>
          <w:tab w:val="left" w:pos="792"/>
        </w:tabs>
        <w:spacing w:before="240" w:line="360" w:lineRule="auto"/>
        <w:ind w:left="0" w:right="234"/>
        <w:rPr>
          <w:lang w:val="vi-VN"/>
        </w:rPr>
      </w:pPr>
      <w:r w:rsidRPr="00947C46">
        <w:rPr>
          <w:lang w:val="vi-VN"/>
        </w:rPr>
        <w:t xml:space="preserve">Table </w:t>
      </w:r>
      <w:r w:rsidR="006616C5">
        <w:rPr>
          <w:lang w:val="vi-VN"/>
        </w:rPr>
        <w:t>12</w:t>
      </w:r>
      <w:r w:rsidRPr="00947C46">
        <w:rPr>
          <w:lang w:val="vi-VN"/>
        </w:rPr>
        <w:t>. Regression results of decomposed trade credit</w:t>
      </w:r>
    </w:p>
    <w:tbl>
      <w:tblPr>
        <w:tblStyle w:val="TableGrid"/>
        <w:tblW w:w="4890" w:type="pct"/>
        <w:tblLook w:val="04A0" w:firstRow="1" w:lastRow="0" w:firstColumn="1" w:lastColumn="0" w:noHBand="0" w:noVBand="1"/>
      </w:tblPr>
      <w:tblGrid>
        <w:gridCol w:w="4239"/>
        <w:gridCol w:w="3189"/>
        <w:gridCol w:w="2773"/>
      </w:tblGrid>
      <w:tr w:rsidR="00202988" w:rsidRPr="00947C46" w14:paraId="2D2456D0" w14:textId="77777777" w:rsidTr="006616C5">
        <w:tc>
          <w:tcPr>
            <w:tcW w:w="2078" w:type="pct"/>
            <w:hideMark/>
          </w:tcPr>
          <w:p w14:paraId="054A4BE7" w14:textId="77777777" w:rsidR="00202988" w:rsidRPr="00947C46" w:rsidRDefault="00202988" w:rsidP="00DD7768">
            <w:pPr>
              <w:spacing w:line="360" w:lineRule="auto"/>
              <w:rPr>
                <w:color w:val="1F1F1F"/>
              </w:rPr>
            </w:pPr>
            <w:r w:rsidRPr="00947C46">
              <w:rPr>
                <w:rStyle w:val="Strong"/>
                <w:color w:val="1F1F1F"/>
                <w:bdr w:val="none" w:sz="0" w:space="0" w:color="auto" w:frame="1"/>
              </w:rPr>
              <w:t>Variables</w:t>
            </w:r>
          </w:p>
        </w:tc>
        <w:tc>
          <w:tcPr>
            <w:tcW w:w="1563" w:type="pct"/>
            <w:hideMark/>
          </w:tcPr>
          <w:p w14:paraId="0E4E85AF" w14:textId="77777777" w:rsidR="00202988" w:rsidRPr="00947C46" w:rsidRDefault="00202988" w:rsidP="00DD7768">
            <w:pPr>
              <w:spacing w:line="360" w:lineRule="auto"/>
              <w:rPr>
                <w:color w:val="1F1F1F"/>
              </w:rPr>
            </w:pPr>
            <w:r w:rsidRPr="00947C46">
              <w:rPr>
                <w:rStyle w:val="Strong"/>
                <w:color w:val="1F1F1F"/>
                <w:bdr w:val="none" w:sz="0" w:space="0" w:color="auto" w:frame="1"/>
              </w:rPr>
              <w:t>(1) STC</w:t>
            </w:r>
          </w:p>
        </w:tc>
        <w:tc>
          <w:tcPr>
            <w:tcW w:w="1359" w:type="pct"/>
            <w:hideMark/>
          </w:tcPr>
          <w:p w14:paraId="756B36DB" w14:textId="77777777" w:rsidR="00202988" w:rsidRPr="00947C46" w:rsidRDefault="00202988" w:rsidP="00DD7768">
            <w:pPr>
              <w:spacing w:line="360" w:lineRule="auto"/>
              <w:rPr>
                <w:color w:val="1F1F1F"/>
              </w:rPr>
            </w:pPr>
            <w:r w:rsidRPr="00947C46">
              <w:rPr>
                <w:rStyle w:val="Strong"/>
                <w:color w:val="1F1F1F"/>
                <w:bdr w:val="none" w:sz="0" w:space="0" w:color="auto" w:frame="1"/>
              </w:rPr>
              <w:t>(2) LTC</w:t>
            </w:r>
          </w:p>
        </w:tc>
      </w:tr>
      <w:tr w:rsidR="00202988" w:rsidRPr="00947C46" w14:paraId="26B2DC19" w14:textId="77777777" w:rsidTr="006616C5">
        <w:tc>
          <w:tcPr>
            <w:tcW w:w="2078" w:type="pct"/>
            <w:hideMark/>
          </w:tcPr>
          <w:p w14:paraId="66232893" w14:textId="7F611336" w:rsidR="00202988" w:rsidRPr="004A2D81" w:rsidRDefault="00202988" w:rsidP="00DD7768">
            <w:pPr>
              <w:spacing w:line="360" w:lineRule="auto"/>
              <w:rPr>
                <w:color w:val="1F1F1F"/>
                <w:lang w:val="vi-VN"/>
              </w:rPr>
            </w:pPr>
            <w:r w:rsidRPr="004A2D81">
              <w:rPr>
                <w:rStyle w:val="math-inline"/>
                <w:color w:val="1F1F1F"/>
                <w:bdr w:val="none" w:sz="0" w:space="0" w:color="auto" w:frame="1"/>
              </w:rPr>
              <w:t>DIGIT</w:t>
            </w:r>
          </w:p>
        </w:tc>
        <w:tc>
          <w:tcPr>
            <w:tcW w:w="1563" w:type="pct"/>
            <w:hideMark/>
          </w:tcPr>
          <w:p w14:paraId="6DD88663" w14:textId="77777777" w:rsidR="00202988" w:rsidRPr="004A2D81" w:rsidRDefault="00202988" w:rsidP="00DD7768">
            <w:pPr>
              <w:spacing w:line="360" w:lineRule="auto"/>
              <w:rPr>
                <w:color w:val="1F1F1F"/>
              </w:rPr>
            </w:pPr>
            <w:r w:rsidRPr="004A2D81">
              <w:rPr>
                <w:color w:val="1F1F1F"/>
                <w:bdr w:val="none" w:sz="0" w:space="0" w:color="auto" w:frame="1"/>
              </w:rPr>
              <w:t>0.013***</w:t>
            </w:r>
          </w:p>
        </w:tc>
        <w:tc>
          <w:tcPr>
            <w:tcW w:w="1359" w:type="pct"/>
            <w:hideMark/>
          </w:tcPr>
          <w:p w14:paraId="26A86EE4" w14:textId="77777777" w:rsidR="00202988" w:rsidRPr="004A2D81" w:rsidRDefault="00202988" w:rsidP="00DD7768">
            <w:pPr>
              <w:spacing w:line="360" w:lineRule="auto"/>
              <w:rPr>
                <w:color w:val="1F1F1F"/>
              </w:rPr>
            </w:pPr>
            <w:r w:rsidRPr="004A2D81">
              <w:rPr>
                <w:color w:val="1F1F1F"/>
                <w:bdr w:val="none" w:sz="0" w:space="0" w:color="auto" w:frame="1"/>
              </w:rPr>
              <w:t>0.001</w:t>
            </w:r>
          </w:p>
        </w:tc>
      </w:tr>
      <w:tr w:rsidR="00202988" w:rsidRPr="00947C46" w14:paraId="5DD682C0" w14:textId="77777777" w:rsidTr="006616C5">
        <w:tc>
          <w:tcPr>
            <w:tcW w:w="2078" w:type="pct"/>
            <w:hideMark/>
          </w:tcPr>
          <w:p w14:paraId="36B2788F" w14:textId="77777777" w:rsidR="00202988" w:rsidRPr="004A2D81" w:rsidRDefault="00202988" w:rsidP="00DD7768">
            <w:pPr>
              <w:spacing w:line="360" w:lineRule="auto"/>
              <w:rPr>
                <w:color w:val="1F1F1F"/>
              </w:rPr>
            </w:pPr>
          </w:p>
        </w:tc>
        <w:tc>
          <w:tcPr>
            <w:tcW w:w="1563" w:type="pct"/>
            <w:hideMark/>
          </w:tcPr>
          <w:p w14:paraId="77C7D8BE" w14:textId="77777777" w:rsidR="00202988" w:rsidRPr="004A2D81" w:rsidRDefault="00202988" w:rsidP="00DD7768">
            <w:pPr>
              <w:spacing w:line="360" w:lineRule="auto"/>
              <w:rPr>
                <w:color w:val="1F1F1F"/>
              </w:rPr>
            </w:pPr>
            <w:r w:rsidRPr="004A2D81">
              <w:rPr>
                <w:color w:val="1F1F1F"/>
                <w:bdr w:val="none" w:sz="0" w:space="0" w:color="auto" w:frame="1"/>
              </w:rPr>
              <w:t>(4.25)</w:t>
            </w:r>
          </w:p>
        </w:tc>
        <w:tc>
          <w:tcPr>
            <w:tcW w:w="1359" w:type="pct"/>
            <w:hideMark/>
          </w:tcPr>
          <w:p w14:paraId="48D2E636" w14:textId="77777777" w:rsidR="00202988" w:rsidRPr="004A2D81" w:rsidRDefault="00202988" w:rsidP="00DD7768">
            <w:pPr>
              <w:spacing w:line="360" w:lineRule="auto"/>
              <w:rPr>
                <w:color w:val="1F1F1F"/>
              </w:rPr>
            </w:pPr>
            <w:r w:rsidRPr="004A2D81">
              <w:rPr>
                <w:color w:val="1F1F1F"/>
                <w:bdr w:val="none" w:sz="0" w:space="0" w:color="auto" w:frame="1"/>
              </w:rPr>
              <w:t>(0.85)</w:t>
            </w:r>
          </w:p>
        </w:tc>
      </w:tr>
      <w:tr w:rsidR="00202988" w:rsidRPr="00947C46" w14:paraId="4E7F7474" w14:textId="77777777" w:rsidTr="006616C5">
        <w:tc>
          <w:tcPr>
            <w:tcW w:w="2078" w:type="pct"/>
            <w:hideMark/>
          </w:tcPr>
          <w:p w14:paraId="0962F77D" w14:textId="77777777" w:rsidR="00202988" w:rsidRPr="00947C46" w:rsidRDefault="00202988" w:rsidP="00DD7768">
            <w:pPr>
              <w:spacing w:line="360" w:lineRule="auto"/>
              <w:rPr>
                <w:color w:val="1F1F1F"/>
              </w:rPr>
            </w:pPr>
            <w:r w:rsidRPr="00947C46">
              <w:rPr>
                <w:color w:val="1F1F1F"/>
                <w:bdr w:val="none" w:sz="0" w:space="0" w:color="auto" w:frame="1"/>
              </w:rPr>
              <w:t>Controls</w:t>
            </w:r>
          </w:p>
        </w:tc>
        <w:tc>
          <w:tcPr>
            <w:tcW w:w="1563" w:type="pct"/>
            <w:hideMark/>
          </w:tcPr>
          <w:p w14:paraId="34BD33ED" w14:textId="77777777" w:rsidR="00202988" w:rsidRPr="00947C46" w:rsidRDefault="00202988" w:rsidP="00DD7768">
            <w:pPr>
              <w:spacing w:line="360" w:lineRule="auto"/>
              <w:rPr>
                <w:color w:val="1F1F1F"/>
              </w:rPr>
            </w:pPr>
            <w:r w:rsidRPr="00947C46">
              <w:rPr>
                <w:color w:val="1F1F1F"/>
                <w:bdr w:val="none" w:sz="0" w:space="0" w:color="auto" w:frame="1"/>
              </w:rPr>
              <w:t>Yes</w:t>
            </w:r>
          </w:p>
        </w:tc>
        <w:tc>
          <w:tcPr>
            <w:tcW w:w="1359" w:type="pct"/>
            <w:hideMark/>
          </w:tcPr>
          <w:p w14:paraId="597DE9CE" w14:textId="77777777" w:rsidR="00202988" w:rsidRPr="00947C46" w:rsidRDefault="00202988" w:rsidP="00DD7768">
            <w:pPr>
              <w:spacing w:line="360" w:lineRule="auto"/>
              <w:rPr>
                <w:color w:val="1F1F1F"/>
              </w:rPr>
            </w:pPr>
            <w:r w:rsidRPr="00947C46">
              <w:rPr>
                <w:color w:val="1F1F1F"/>
                <w:bdr w:val="none" w:sz="0" w:space="0" w:color="auto" w:frame="1"/>
              </w:rPr>
              <w:t>Yes</w:t>
            </w:r>
          </w:p>
        </w:tc>
      </w:tr>
      <w:tr w:rsidR="00202988" w:rsidRPr="00947C46" w14:paraId="1820241D" w14:textId="77777777" w:rsidTr="006616C5">
        <w:tc>
          <w:tcPr>
            <w:tcW w:w="2078" w:type="pct"/>
            <w:hideMark/>
          </w:tcPr>
          <w:p w14:paraId="0AA36035" w14:textId="77777777" w:rsidR="00202988" w:rsidRPr="00947C46" w:rsidRDefault="00202988" w:rsidP="00DD7768">
            <w:pPr>
              <w:spacing w:line="360" w:lineRule="auto"/>
              <w:rPr>
                <w:color w:val="1F1F1F"/>
              </w:rPr>
            </w:pPr>
            <w:r w:rsidRPr="00947C46">
              <w:rPr>
                <w:color w:val="1F1F1F"/>
                <w:bdr w:val="none" w:sz="0" w:space="0" w:color="auto" w:frame="1"/>
              </w:rPr>
              <w:t>Firm FE</w:t>
            </w:r>
          </w:p>
        </w:tc>
        <w:tc>
          <w:tcPr>
            <w:tcW w:w="1563" w:type="pct"/>
            <w:hideMark/>
          </w:tcPr>
          <w:p w14:paraId="38AE9178" w14:textId="77777777" w:rsidR="00202988" w:rsidRPr="00947C46" w:rsidRDefault="00202988" w:rsidP="00DD7768">
            <w:pPr>
              <w:spacing w:line="360" w:lineRule="auto"/>
              <w:rPr>
                <w:color w:val="1F1F1F"/>
              </w:rPr>
            </w:pPr>
            <w:r w:rsidRPr="00947C46">
              <w:rPr>
                <w:color w:val="1F1F1F"/>
                <w:bdr w:val="none" w:sz="0" w:space="0" w:color="auto" w:frame="1"/>
              </w:rPr>
              <w:t>Yes</w:t>
            </w:r>
          </w:p>
        </w:tc>
        <w:tc>
          <w:tcPr>
            <w:tcW w:w="1359" w:type="pct"/>
            <w:hideMark/>
          </w:tcPr>
          <w:p w14:paraId="1C0F759F" w14:textId="77777777" w:rsidR="00202988" w:rsidRPr="00947C46" w:rsidRDefault="00202988" w:rsidP="00DD7768">
            <w:pPr>
              <w:spacing w:line="360" w:lineRule="auto"/>
              <w:rPr>
                <w:color w:val="1F1F1F"/>
              </w:rPr>
            </w:pPr>
            <w:r w:rsidRPr="00947C46">
              <w:rPr>
                <w:color w:val="1F1F1F"/>
                <w:bdr w:val="none" w:sz="0" w:space="0" w:color="auto" w:frame="1"/>
              </w:rPr>
              <w:t>Yes</w:t>
            </w:r>
          </w:p>
        </w:tc>
      </w:tr>
      <w:tr w:rsidR="00202988" w:rsidRPr="00947C46" w14:paraId="35A488C5" w14:textId="77777777" w:rsidTr="006616C5">
        <w:tc>
          <w:tcPr>
            <w:tcW w:w="2078" w:type="pct"/>
            <w:hideMark/>
          </w:tcPr>
          <w:p w14:paraId="24162DBA" w14:textId="77777777" w:rsidR="00202988" w:rsidRPr="00947C46" w:rsidRDefault="00202988" w:rsidP="00DD7768">
            <w:pPr>
              <w:spacing w:line="360" w:lineRule="auto"/>
              <w:rPr>
                <w:color w:val="1F1F1F"/>
              </w:rPr>
            </w:pPr>
            <w:r w:rsidRPr="00947C46">
              <w:rPr>
                <w:color w:val="1F1F1F"/>
                <w:bdr w:val="none" w:sz="0" w:space="0" w:color="auto" w:frame="1"/>
              </w:rPr>
              <w:t>Year FE</w:t>
            </w:r>
          </w:p>
        </w:tc>
        <w:tc>
          <w:tcPr>
            <w:tcW w:w="1563" w:type="pct"/>
            <w:hideMark/>
          </w:tcPr>
          <w:p w14:paraId="01E4ED19" w14:textId="77777777" w:rsidR="00202988" w:rsidRPr="00947C46" w:rsidRDefault="00202988" w:rsidP="00DD7768">
            <w:pPr>
              <w:spacing w:line="360" w:lineRule="auto"/>
              <w:rPr>
                <w:color w:val="1F1F1F"/>
              </w:rPr>
            </w:pPr>
            <w:r w:rsidRPr="00947C46">
              <w:rPr>
                <w:color w:val="1F1F1F"/>
                <w:bdr w:val="none" w:sz="0" w:space="0" w:color="auto" w:frame="1"/>
              </w:rPr>
              <w:t>Yes</w:t>
            </w:r>
          </w:p>
        </w:tc>
        <w:tc>
          <w:tcPr>
            <w:tcW w:w="1359" w:type="pct"/>
            <w:hideMark/>
          </w:tcPr>
          <w:p w14:paraId="46689838" w14:textId="77777777" w:rsidR="00202988" w:rsidRPr="00947C46" w:rsidRDefault="00202988" w:rsidP="00DD7768">
            <w:pPr>
              <w:spacing w:line="360" w:lineRule="auto"/>
              <w:rPr>
                <w:color w:val="1F1F1F"/>
              </w:rPr>
            </w:pPr>
            <w:r w:rsidRPr="00947C46">
              <w:rPr>
                <w:color w:val="1F1F1F"/>
                <w:bdr w:val="none" w:sz="0" w:space="0" w:color="auto" w:frame="1"/>
              </w:rPr>
              <w:t>Yes</w:t>
            </w:r>
          </w:p>
        </w:tc>
      </w:tr>
      <w:tr w:rsidR="00202988" w:rsidRPr="00947C46" w14:paraId="3CDA85D4" w14:textId="77777777" w:rsidTr="006616C5">
        <w:tc>
          <w:tcPr>
            <w:tcW w:w="2078" w:type="pct"/>
            <w:hideMark/>
          </w:tcPr>
          <w:p w14:paraId="041FB1AE" w14:textId="77777777" w:rsidR="00202988" w:rsidRPr="00947C46" w:rsidRDefault="00202988" w:rsidP="00DD7768">
            <w:pPr>
              <w:spacing w:line="360" w:lineRule="auto"/>
              <w:rPr>
                <w:color w:val="1F1F1F"/>
              </w:rPr>
            </w:pPr>
            <w:r w:rsidRPr="00947C46">
              <w:rPr>
                <w:color w:val="1F1F1F"/>
                <w:bdr w:val="none" w:sz="0" w:space="0" w:color="auto" w:frame="1"/>
              </w:rPr>
              <w:t>Observations</w:t>
            </w:r>
          </w:p>
        </w:tc>
        <w:tc>
          <w:tcPr>
            <w:tcW w:w="1563" w:type="pct"/>
            <w:hideMark/>
          </w:tcPr>
          <w:p w14:paraId="4EF017F5" w14:textId="77777777" w:rsidR="00202988" w:rsidRPr="00947C46" w:rsidRDefault="00202988" w:rsidP="00DD7768">
            <w:pPr>
              <w:spacing w:line="360" w:lineRule="auto"/>
              <w:rPr>
                <w:color w:val="1F1F1F"/>
              </w:rPr>
            </w:pPr>
            <w:r w:rsidRPr="00947C46">
              <w:rPr>
                <w:color w:val="1F1F1F"/>
                <w:bdr w:val="none" w:sz="0" w:space="0" w:color="auto" w:frame="1"/>
              </w:rPr>
              <w:t>5,420</w:t>
            </w:r>
          </w:p>
        </w:tc>
        <w:tc>
          <w:tcPr>
            <w:tcW w:w="1359" w:type="pct"/>
            <w:hideMark/>
          </w:tcPr>
          <w:p w14:paraId="6BD3F13C" w14:textId="77777777" w:rsidR="00202988" w:rsidRPr="00947C46" w:rsidRDefault="00202988" w:rsidP="00DD7768">
            <w:pPr>
              <w:spacing w:line="360" w:lineRule="auto"/>
              <w:rPr>
                <w:color w:val="1F1F1F"/>
              </w:rPr>
            </w:pPr>
            <w:r w:rsidRPr="00947C46">
              <w:rPr>
                <w:color w:val="1F1F1F"/>
                <w:bdr w:val="none" w:sz="0" w:space="0" w:color="auto" w:frame="1"/>
              </w:rPr>
              <w:t>5,420</w:t>
            </w:r>
          </w:p>
        </w:tc>
      </w:tr>
      <w:tr w:rsidR="00202988" w:rsidRPr="00947C46" w14:paraId="5352BD50" w14:textId="77777777" w:rsidTr="006616C5">
        <w:tc>
          <w:tcPr>
            <w:tcW w:w="2078" w:type="pct"/>
            <w:hideMark/>
          </w:tcPr>
          <w:p w14:paraId="264CF999" w14:textId="5BFB7E85" w:rsidR="00202988" w:rsidRPr="00947C46" w:rsidRDefault="00202988" w:rsidP="00DD7768">
            <w:pPr>
              <w:spacing w:line="360" w:lineRule="auto"/>
              <w:rPr>
                <w:color w:val="1F1F1F"/>
              </w:rPr>
            </w:pPr>
            <w:r w:rsidRPr="00947C46">
              <w:rPr>
                <w:color w:val="1F1F1F"/>
                <w:bdr w:val="none" w:sz="0" w:space="0" w:color="auto" w:frame="1"/>
              </w:rPr>
              <w:t xml:space="preserve">Adjusted </w:t>
            </w:r>
            <m:oMath>
              <m:sSup>
                <m:sSupPr>
                  <m:ctrlPr>
                    <w:rPr>
                      <w:rFonts w:ascii="Cambria Math" w:hAnsi="Cambria Math"/>
                      <w:color w:val="1F1F1F"/>
                    </w:rPr>
                  </m:ctrlPr>
                </m:sSupPr>
                <m:e>
                  <m:r>
                    <w:rPr>
                      <w:rFonts w:ascii="Cambria Math" w:hAnsi="Cambria Math"/>
                      <w:color w:val="1F1F1F"/>
                    </w:rPr>
                    <m:t>R</m:t>
                  </m:r>
                </m:e>
                <m:sup>
                  <m:r>
                    <w:rPr>
                      <w:rFonts w:ascii="Cambria Math" w:hAnsi="Cambria Math"/>
                      <w:color w:val="1F1F1F"/>
                    </w:rPr>
                    <m:t>2</m:t>
                  </m:r>
                </m:sup>
              </m:sSup>
            </m:oMath>
          </w:p>
        </w:tc>
        <w:tc>
          <w:tcPr>
            <w:tcW w:w="1563" w:type="pct"/>
            <w:hideMark/>
          </w:tcPr>
          <w:p w14:paraId="7210256A" w14:textId="77777777" w:rsidR="00202988" w:rsidRPr="00947C46" w:rsidRDefault="00202988" w:rsidP="00DD7768">
            <w:pPr>
              <w:spacing w:line="360" w:lineRule="auto"/>
              <w:rPr>
                <w:color w:val="1F1F1F"/>
              </w:rPr>
            </w:pPr>
            <w:r w:rsidRPr="00947C46">
              <w:rPr>
                <w:color w:val="1F1F1F"/>
                <w:bdr w:val="none" w:sz="0" w:space="0" w:color="auto" w:frame="1"/>
              </w:rPr>
              <w:t>0.415</w:t>
            </w:r>
          </w:p>
        </w:tc>
        <w:tc>
          <w:tcPr>
            <w:tcW w:w="1359" w:type="pct"/>
            <w:hideMark/>
          </w:tcPr>
          <w:p w14:paraId="7078549B" w14:textId="77777777" w:rsidR="00202988" w:rsidRPr="00947C46" w:rsidRDefault="00202988" w:rsidP="00DD7768">
            <w:pPr>
              <w:spacing w:line="360" w:lineRule="auto"/>
              <w:rPr>
                <w:color w:val="1F1F1F"/>
              </w:rPr>
            </w:pPr>
            <w:r w:rsidRPr="00947C46">
              <w:rPr>
                <w:color w:val="1F1F1F"/>
                <w:bdr w:val="none" w:sz="0" w:space="0" w:color="auto" w:frame="1"/>
              </w:rPr>
              <w:t>0.185</w:t>
            </w:r>
          </w:p>
        </w:tc>
      </w:tr>
    </w:tbl>
    <w:p w14:paraId="4580775A" w14:textId="3461DB3E" w:rsidR="00202988" w:rsidRPr="00202988" w:rsidRDefault="001B689E" w:rsidP="00202988">
      <w:pPr>
        <w:spacing w:before="120" w:after="120" w:line="360" w:lineRule="auto"/>
        <w:ind w:right="234"/>
        <w:jc w:val="both"/>
      </w:pPr>
      <w:r w:rsidRPr="001B689E">
        <w:t>Corporate digitalization has a positive but statistically insignificant impact on long-term trade credit (β = 0.001, t = 0.85), while a highly significant and positive association with short-term trade credit (β = 0.013, p &lt; 0.01) is demonstrated in Columns (1) and (2) of Table 12.</w:t>
      </w:r>
      <w:r w:rsidR="00202988" w:rsidRPr="00202988">
        <w:t>)</w:t>
      </w:r>
    </w:p>
    <w:p w14:paraId="580B0216" w14:textId="7D6A4B97" w:rsidR="00202988" w:rsidRPr="00202988" w:rsidRDefault="00202988" w:rsidP="00202988">
      <w:pPr>
        <w:spacing w:before="120" w:after="120" w:line="360" w:lineRule="auto"/>
        <w:ind w:right="234"/>
        <w:jc w:val="both"/>
        <w:rPr>
          <w:lang w:val="vi-VN"/>
        </w:rPr>
      </w:pPr>
      <w:r w:rsidRPr="00202988">
        <w:t>These findings confirm that the beneficial impact of corporate digitalization is primarily concentrated in short-term trade credit. The "digital trust" established through technological transformation facilitates seamless, high-frequency transactions and accelerates capital turnover for both buyers and suppliers. However, this informal institutional mechanism has limited scope when dealing with the substantial uncertainties of long-term financing, thereby clearly defining the boundaries of digitalization's role in supply chain financing</w:t>
      </w:r>
      <w:r w:rsidRPr="00D40F6B">
        <w:t xml:space="preserve">. </w:t>
      </w:r>
    </w:p>
    <w:p w14:paraId="3AABA94D" w14:textId="77777777" w:rsidR="00202988" w:rsidRPr="00202988" w:rsidRDefault="00202988" w:rsidP="00202988">
      <w:pPr>
        <w:spacing w:before="120" w:after="120" w:line="360" w:lineRule="auto"/>
        <w:ind w:right="234"/>
        <w:jc w:val="both"/>
      </w:pPr>
      <w:r w:rsidRPr="00202988">
        <w:rPr>
          <w:b/>
          <w:bCs/>
        </w:rPr>
        <w:lastRenderedPageBreak/>
        <w:t>5.2. How does the provision of trade credit change?</w:t>
      </w:r>
    </w:p>
    <w:p w14:paraId="3A4BF0A4" w14:textId="77777777" w:rsidR="001B689E" w:rsidRDefault="001B689E" w:rsidP="001B689E">
      <w:pPr>
        <w:spacing w:before="120" w:after="120" w:line="360" w:lineRule="auto"/>
        <w:ind w:right="234"/>
        <w:jc w:val="both"/>
      </w:pPr>
      <w:r>
        <w:t xml:space="preserve">In a supply chain, trade credit is basically a bilateral financial agreement between upstream and downstream businesses. The accounts payable of a company are intimately correlated with the accounts receivable of its upstream suppliers. Examining accounts payable (the demand side) by itself only shows how corporate digitalization helps businesses as purchasers; it does not answer whether or not digital transformation affects businesses' choices to grant credit as suppliers. </w:t>
      </w:r>
    </w:p>
    <w:p w14:paraId="74EAA95F" w14:textId="068F0739" w:rsidR="00202988" w:rsidRPr="00202988" w:rsidRDefault="001B689E" w:rsidP="001B689E">
      <w:pPr>
        <w:spacing w:before="120" w:after="120" w:line="360" w:lineRule="auto"/>
        <w:ind w:right="234"/>
        <w:jc w:val="both"/>
      </w:pPr>
      <w:r>
        <w:t>In essence, businesses that offer trade credit are taking risks</w:t>
      </w:r>
      <w:r w:rsidR="00202988" w:rsidRPr="00202988">
        <w:t xml:space="preserve">. We argue that corporate digitalization not only builds "digital trust" to attract financing but also significantly enhances a firm's internal capacity to manage credit risks. Digitalized firms are equipped with advanced big data analytics, automated credit scoring models, and enhanced supply chain visibility. This technological advantage significantly reduces information gathering and monitoring costs when evaluating the creditworthiness of downstream customers. Consequently, highly digitalized firms can manage receivables more efficiently and are therefore more confident in extending trade credit to expand their market share and support their downstream network. </w:t>
      </w:r>
    </w:p>
    <w:p w14:paraId="69708BAF" w14:textId="22E5A88A" w:rsidR="00202988" w:rsidRPr="00202988" w:rsidRDefault="001B689E" w:rsidP="00202988">
      <w:pPr>
        <w:spacing w:before="120" w:after="120" w:line="360" w:lineRule="auto"/>
        <w:ind w:right="234"/>
        <w:jc w:val="both"/>
      </w:pPr>
      <w:r w:rsidRPr="001B689E">
        <w:t>We aim to uncover the full mechanisms of technology integration in supply chain finance and broaden the scope of research on how digital capabilities impact corporate decision-making by analyzing the effect of corporate digitalization on firms' trade credit supply behavior. A thorough evaluation of digitalization's practical effectiveness in maximizing the distribution of funds within supply chains is made possible by this bilateral perspective</w:t>
      </w:r>
      <w:r w:rsidR="00202988" w:rsidRPr="00202988">
        <w:t xml:space="preserve">. </w:t>
      </w:r>
    </w:p>
    <w:p w14:paraId="7E43EF12" w14:textId="39638FB4" w:rsidR="00202988" w:rsidRPr="001B689E" w:rsidRDefault="00202988" w:rsidP="00202988">
      <w:pPr>
        <w:spacing w:before="120" w:after="120" w:line="360" w:lineRule="auto"/>
        <w:ind w:right="234"/>
        <w:jc w:val="both"/>
        <w:rPr>
          <w:lang w:val="en-US"/>
        </w:rPr>
      </w:pPr>
      <w:r w:rsidRPr="00202988">
        <w:t>To empirically test this supply-side dynamic, we construct a new dependent variable, Trade Credit Provision (</w:t>
      </w:r>
      <w:r w:rsidRPr="0082384D">
        <w:rPr>
          <w:i/>
          <w:iCs/>
        </w:rPr>
        <w:t>TCP</w:t>
      </w:r>
      <w:r w:rsidRPr="00202988">
        <w:t xml:space="preserve">). Following recent literature, </w:t>
      </w:r>
      <w:r w:rsidR="001B689E" w:rsidRPr="001B689E">
        <w:rPr>
          <w:lang w:val="vi-VN"/>
        </w:rPr>
        <w:t>The ratio of accounts receivable to total assets is used to calculate TCP. With TCP as the dependent variable, we re-estimate our baseline fixed-effects model. Table 13 displays the regression results.</w:t>
      </w:r>
    </w:p>
    <w:p w14:paraId="7328F91A" w14:textId="2531530B" w:rsidR="00202988" w:rsidRPr="00202988" w:rsidRDefault="00202988" w:rsidP="00202988">
      <w:pPr>
        <w:spacing w:before="120" w:after="120" w:line="360" w:lineRule="auto"/>
        <w:ind w:right="234"/>
        <w:jc w:val="both"/>
        <w:rPr>
          <w:lang w:val="vi-VN"/>
        </w:rPr>
      </w:pPr>
      <w:r w:rsidRPr="00202988">
        <w:rPr>
          <w:b/>
          <w:bCs/>
        </w:rPr>
        <w:t>Table 1</w:t>
      </w:r>
      <w:r w:rsidR="006616C5">
        <w:rPr>
          <w:b/>
          <w:bCs/>
          <w:lang w:val="vi-VN"/>
        </w:rPr>
        <w:t>3</w:t>
      </w:r>
      <w:r w:rsidRPr="00202988">
        <w:rPr>
          <w:b/>
          <w:bCs/>
        </w:rPr>
        <w:t>.</w:t>
      </w:r>
      <w:r w:rsidRPr="00202988">
        <w:t xml:space="preserve"> Regression results of trade credit provision</w:t>
      </w:r>
    </w:p>
    <w:tbl>
      <w:tblPr>
        <w:tblStyle w:val="TableGrid"/>
        <w:tblW w:w="4890" w:type="pct"/>
        <w:tblLook w:val="04A0" w:firstRow="1" w:lastRow="0" w:firstColumn="1" w:lastColumn="0" w:noHBand="0" w:noVBand="1"/>
      </w:tblPr>
      <w:tblGrid>
        <w:gridCol w:w="3611"/>
        <w:gridCol w:w="3409"/>
        <w:gridCol w:w="3181"/>
      </w:tblGrid>
      <w:tr w:rsidR="00202988" w:rsidRPr="00202988" w14:paraId="32305B1E" w14:textId="77777777" w:rsidTr="006616C5">
        <w:tc>
          <w:tcPr>
            <w:tcW w:w="1770" w:type="pct"/>
            <w:hideMark/>
          </w:tcPr>
          <w:p w14:paraId="40955FD6" w14:textId="77777777" w:rsidR="00202988" w:rsidRPr="006616C5" w:rsidRDefault="00202988" w:rsidP="00202988">
            <w:pPr>
              <w:pStyle w:val="Heading2"/>
              <w:tabs>
                <w:tab w:val="left" w:pos="792"/>
              </w:tabs>
              <w:spacing w:before="240" w:line="360" w:lineRule="auto"/>
              <w:ind w:right="234"/>
            </w:pPr>
            <w:r w:rsidRPr="006616C5">
              <w:t>Variables</w:t>
            </w:r>
          </w:p>
        </w:tc>
        <w:tc>
          <w:tcPr>
            <w:tcW w:w="1671" w:type="pct"/>
            <w:hideMark/>
          </w:tcPr>
          <w:p w14:paraId="3D8A587A" w14:textId="77777777" w:rsidR="00202988" w:rsidRPr="006616C5" w:rsidRDefault="00202988" w:rsidP="00202988">
            <w:pPr>
              <w:pStyle w:val="Heading2"/>
              <w:tabs>
                <w:tab w:val="left" w:pos="792"/>
              </w:tabs>
              <w:spacing w:before="240" w:line="360" w:lineRule="auto"/>
              <w:ind w:right="234"/>
            </w:pPr>
            <w:r w:rsidRPr="006616C5">
              <w:t>(1) TCP</w:t>
            </w:r>
          </w:p>
        </w:tc>
        <w:tc>
          <w:tcPr>
            <w:tcW w:w="1559" w:type="pct"/>
            <w:hideMark/>
          </w:tcPr>
          <w:p w14:paraId="7F7121F3" w14:textId="77777777" w:rsidR="00202988" w:rsidRPr="006616C5" w:rsidRDefault="00202988" w:rsidP="00202988">
            <w:pPr>
              <w:pStyle w:val="Heading2"/>
              <w:tabs>
                <w:tab w:val="left" w:pos="792"/>
              </w:tabs>
              <w:spacing w:before="240" w:line="360" w:lineRule="auto"/>
              <w:ind w:right="234"/>
            </w:pPr>
            <w:r w:rsidRPr="006616C5">
              <w:t>(2) TCP</w:t>
            </w:r>
          </w:p>
        </w:tc>
      </w:tr>
      <w:tr w:rsidR="00202988" w:rsidRPr="00202988" w14:paraId="02B0773D" w14:textId="77777777" w:rsidTr="006616C5">
        <w:tc>
          <w:tcPr>
            <w:tcW w:w="1770" w:type="pct"/>
            <w:hideMark/>
          </w:tcPr>
          <w:p w14:paraId="042460B3" w14:textId="58B20984" w:rsidR="00202988" w:rsidRPr="006616C5" w:rsidRDefault="00202988" w:rsidP="00763BAB">
            <w:pPr>
              <w:pStyle w:val="Heading2"/>
              <w:tabs>
                <w:tab w:val="left" w:pos="792"/>
              </w:tabs>
              <w:spacing w:before="240" w:line="360" w:lineRule="auto"/>
              <w:ind w:left="0" w:right="234"/>
              <w:rPr>
                <w:lang w:val="vi-VN"/>
              </w:rPr>
            </w:pPr>
            <w:r w:rsidRPr="006616C5">
              <w:t>DIGIT</w:t>
            </w:r>
          </w:p>
        </w:tc>
        <w:tc>
          <w:tcPr>
            <w:tcW w:w="1671" w:type="pct"/>
            <w:hideMark/>
          </w:tcPr>
          <w:p w14:paraId="029E5B7E"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0.024***</w:t>
            </w:r>
          </w:p>
        </w:tc>
        <w:tc>
          <w:tcPr>
            <w:tcW w:w="1559" w:type="pct"/>
            <w:hideMark/>
          </w:tcPr>
          <w:p w14:paraId="1028A78D"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0.016***</w:t>
            </w:r>
          </w:p>
        </w:tc>
      </w:tr>
      <w:tr w:rsidR="00202988" w:rsidRPr="00202988" w14:paraId="78A52AAE" w14:textId="77777777" w:rsidTr="006616C5">
        <w:tc>
          <w:tcPr>
            <w:tcW w:w="1770" w:type="pct"/>
            <w:hideMark/>
          </w:tcPr>
          <w:p w14:paraId="46DB0D51" w14:textId="77777777" w:rsidR="00202988" w:rsidRPr="006616C5" w:rsidRDefault="00202988" w:rsidP="00202988">
            <w:pPr>
              <w:pStyle w:val="Heading2"/>
              <w:tabs>
                <w:tab w:val="left" w:pos="792"/>
              </w:tabs>
              <w:spacing w:before="240" w:line="360" w:lineRule="auto"/>
              <w:ind w:right="234"/>
            </w:pPr>
          </w:p>
        </w:tc>
        <w:tc>
          <w:tcPr>
            <w:tcW w:w="1671" w:type="pct"/>
            <w:hideMark/>
          </w:tcPr>
          <w:p w14:paraId="5C9AB212"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(5.15)</w:t>
            </w:r>
          </w:p>
        </w:tc>
        <w:tc>
          <w:tcPr>
            <w:tcW w:w="1559" w:type="pct"/>
            <w:hideMark/>
          </w:tcPr>
          <w:p w14:paraId="35AE3E9F"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(4.10)</w:t>
            </w:r>
          </w:p>
        </w:tc>
      </w:tr>
      <w:tr w:rsidR="00202988" w:rsidRPr="00202988" w14:paraId="20BB9247" w14:textId="77777777" w:rsidTr="006616C5">
        <w:tc>
          <w:tcPr>
            <w:tcW w:w="1770" w:type="pct"/>
            <w:hideMark/>
          </w:tcPr>
          <w:p w14:paraId="73635C01" w14:textId="77777777" w:rsidR="00202988" w:rsidRPr="006616C5" w:rsidRDefault="00202988" w:rsidP="00763BAB">
            <w:pPr>
              <w:pStyle w:val="Heading2"/>
              <w:tabs>
                <w:tab w:val="left" w:pos="792"/>
              </w:tabs>
              <w:spacing w:before="240" w:line="360" w:lineRule="auto"/>
              <w:ind w:left="0" w:right="234"/>
            </w:pPr>
            <w:r w:rsidRPr="006616C5">
              <w:t>Controls</w:t>
            </w:r>
          </w:p>
        </w:tc>
        <w:tc>
          <w:tcPr>
            <w:tcW w:w="1671" w:type="pct"/>
            <w:hideMark/>
          </w:tcPr>
          <w:p w14:paraId="45CD89E0"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No</w:t>
            </w:r>
          </w:p>
        </w:tc>
        <w:tc>
          <w:tcPr>
            <w:tcW w:w="1559" w:type="pct"/>
            <w:hideMark/>
          </w:tcPr>
          <w:p w14:paraId="792F256C"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Yes</w:t>
            </w:r>
          </w:p>
        </w:tc>
      </w:tr>
      <w:tr w:rsidR="00202988" w:rsidRPr="00202988" w14:paraId="38505965" w14:textId="77777777" w:rsidTr="006616C5">
        <w:tc>
          <w:tcPr>
            <w:tcW w:w="1770" w:type="pct"/>
            <w:hideMark/>
          </w:tcPr>
          <w:p w14:paraId="56E772CD" w14:textId="77777777" w:rsidR="00202988" w:rsidRPr="006616C5" w:rsidRDefault="00202988" w:rsidP="00763BAB">
            <w:pPr>
              <w:pStyle w:val="Heading2"/>
              <w:tabs>
                <w:tab w:val="left" w:pos="792"/>
              </w:tabs>
              <w:spacing w:before="240" w:line="360" w:lineRule="auto"/>
              <w:ind w:left="0" w:right="234"/>
            </w:pPr>
            <w:r w:rsidRPr="006616C5">
              <w:lastRenderedPageBreak/>
              <w:t>Firm FE</w:t>
            </w:r>
          </w:p>
        </w:tc>
        <w:tc>
          <w:tcPr>
            <w:tcW w:w="1671" w:type="pct"/>
            <w:hideMark/>
          </w:tcPr>
          <w:p w14:paraId="082C077B"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Yes</w:t>
            </w:r>
          </w:p>
        </w:tc>
        <w:tc>
          <w:tcPr>
            <w:tcW w:w="1559" w:type="pct"/>
            <w:hideMark/>
          </w:tcPr>
          <w:p w14:paraId="1C27A778"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Yes</w:t>
            </w:r>
          </w:p>
        </w:tc>
      </w:tr>
      <w:tr w:rsidR="00202988" w:rsidRPr="00202988" w14:paraId="2DC38313" w14:textId="77777777" w:rsidTr="006616C5">
        <w:tc>
          <w:tcPr>
            <w:tcW w:w="1770" w:type="pct"/>
            <w:hideMark/>
          </w:tcPr>
          <w:p w14:paraId="7D82575F" w14:textId="77777777" w:rsidR="00202988" w:rsidRPr="006616C5" w:rsidRDefault="00202988" w:rsidP="00763BAB">
            <w:pPr>
              <w:pStyle w:val="Heading2"/>
              <w:tabs>
                <w:tab w:val="left" w:pos="792"/>
              </w:tabs>
              <w:spacing w:before="240" w:line="360" w:lineRule="auto"/>
              <w:ind w:left="0" w:right="234"/>
            </w:pPr>
            <w:r w:rsidRPr="006616C5">
              <w:t>Year FE</w:t>
            </w:r>
          </w:p>
        </w:tc>
        <w:tc>
          <w:tcPr>
            <w:tcW w:w="1671" w:type="pct"/>
            <w:hideMark/>
          </w:tcPr>
          <w:p w14:paraId="0C5ED5FF"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Yes</w:t>
            </w:r>
          </w:p>
        </w:tc>
        <w:tc>
          <w:tcPr>
            <w:tcW w:w="1559" w:type="pct"/>
            <w:hideMark/>
          </w:tcPr>
          <w:p w14:paraId="2D443C21"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Yes</w:t>
            </w:r>
          </w:p>
        </w:tc>
      </w:tr>
      <w:tr w:rsidR="00202988" w:rsidRPr="00202988" w14:paraId="47908590" w14:textId="77777777" w:rsidTr="006616C5">
        <w:tc>
          <w:tcPr>
            <w:tcW w:w="1770" w:type="pct"/>
            <w:hideMark/>
          </w:tcPr>
          <w:p w14:paraId="40883583" w14:textId="77777777" w:rsidR="00202988" w:rsidRPr="006616C5" w:rsidRDefault="00202988" w:rsidP="00763BAB">
            <w:pPr>
              <w:pStyle w:val="Heading2"/>
              <w:tabs>
                <w:tab w:val="left" w:pos="792"/>
              </w:tabs>
              <w:spacing w:before="240" w:line="360" w:lineRule="auto"/>
              <w:ind w:left="0" w:right="234"/>
            </w:pPr>
            <w:r w:rsidRPr="006616C5">
              <w:t>Observations</w:t>
            </w:r>
          </w:p>
        </w:tc>
        <w:tc>
          <w:tcPr>
            <w:tcW w:w="1671" w:type="pct"/>
            <w:hideMark/>
          </w:tcPr>
          <w:p w14:paraId="4479B29D"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5,420</w:t>
            </w:r>
          </w:p>
        </w:tc>
        <w:tc>
          <w:tcPr>
            <w:tcW w:w="1559" w:type="pct"/>
            <w:hideMark/>
          </w:tcPr>
          <w:p w14:paraId="0BC60A94"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5,420</w:t>
            </w:r>
          </w:p>
        </w:tc>
      </w:tr>
      <w:tr w:rsidR="00202988" w:rsidRPr="00202988" w14:paraId="56577AC1" w14:textId="77777777" w:rsidTr="006616C5">
        <w:tc>
          <w:tcPr>
            <w:tcW w:w="1770" w:type="pct"/>
            <w:hideMark/>
          </w:tcPr>
          <w:p w14:paraId="0E60CF31" w14:textId="5F692B10" w:rsidR="00202988" w:rsidRPr="006616C5" w:rsidRDefault="00202988" w:rsidP="00763BAB">
            <w:pPr>
              <w:pStyle w:val="Heading2"/>
              <w:tabs>
                <w:tab w:val="left" w:pos="792"/>
              </w:tabs>
              <w:spacing w:before="240" w:line="360" w:lineRule="auto"/>
              <w:ind w:left="0" w:right="234"/>
            </w:pPr>
            <w:r w:rsidRPr="006616C5">
              <w:t xml:space="preserve">Adjusted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tc>
        <w:tc>
          <w:tcPr>
            <w:tcW w:w="1671" w:type="pct"/>
            <w:hideMark/>
          </w:tcPr>
          <w:p w14:paraId="32F9312A"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0.285</w:t>
            </w:r>
          </w:p>
        </w:tc>
        <w:tc>
          <w:tcPr>
            <w:tcW w:w="1559" w:type="pct"/>
            <w:hideMark/>
          </w:tcPr>
          <w:p w14:paraId="1CDFF219" w14:textId="77777777" w:rsidR="00202988" w:rsidRPr="006616C5" w:rsidRDefault="00202988" w:rsidP="00202988">
            <w:pPr>
              <w:pStyle w:val="Heading2"/>
              <w:tabs>
                <w:tab w:val="left" w:pos="792"/>
              </w:tabs>
              <w:spacing w:before="240" w:line="360" w:lineRule="auto"/>
              <w:ind w:right="234"/>
              <w:rPr>
                <w:b w:val="0"/>
                <w:bCs w:val="0"/>
              </w:rPr>
            </w:pPr>
            <w:r w:rsidRPr="006616C5">
              <w:rPr>
                <w:b w:val="0"/>
                <w:bCs w:val="0"/>
              </w:rPr>
              <w:t>0.362</w:t>
            </w:r>
          </w:p>
        </w:tc>
      </w:tr>
    </w:tbl>
    <w:p w14:paraId="76B1263C" w14:textId="51C99C1A" w:rsidR="00202988" w:rsidRPr="00202988" w:rsidRDefault="00202988" w:rsidP="00202988">
      <w:pPr>
        <w:spacing w:before="120" w:after="120" w:line="360" w:lineRule="auto"/>
        <w:ind w:right="234"/>
        <w:jc w:val="both"/>
      </w:pPr>
      <w:r w:rsidRPr="00202988">
        <w:t>As shown in Columns (1) and (2) of Table 1</w:t>
      </w:r>
      <w:r w:rsidR="006616C5">
        <w:rPr>
          <w:lang w:val="vi-VN"/>
        </w:rPr>
        <w:t>3</w:t>
      </w:r>
      <w:r w:rsidRPr="00202988">
        <w:t xml:space="preserve">, the regression coefficients for </w:t>
      </w:r>
      <m:oMath>
        <m:r>
          <w:rPr>
            <w:rFonts w:ascii="Cambria Math" w:hAnsi="Cambria Math"/>
          </w:rPr>
          <m:t>DIGIT</m:t>
        </m:r>
      </m:oMath>
      <w:r w:rsidRPr="00202988">
        <w:t xml:space="preserve"> and </w:t>
      </w:r>
      <m:oMath>
        <m:r>
          <w:rPr>
            <w:rFonts w:ascii="Cambria Math" w:hAnsi="Cambria Math"/>
          </w:rPr>
          <m:t xml:space="preserve">TCP </m:t>
        </m:r>
      </m:oMath>
      <w:r w:rsidRPr="00202988">
        <w:t>are significantly positive at the 1% level (</w:t>
      </w:r>
      <m:oMath>
        <m:r>
          <w:rPr>
            <w:rFonts w:ascii="Cambria Math" w:hAnsi="Cambria Math"/>
          </w:rPr>
          <m:t>β</m:t>
        </m:r>
      </m:oMath>
      <w:r w:rsidRPr="00202988">
        <w:t xml:space="preserve"> = 0.016, </w:t>
      </w:r>
      <w:r w:rsidRPr="00763BAB">
        <w:rPr>
          <w:i/>
          <w:iCs/>
        </w:rPr>
        <w:t>t</w:t>
      </w:r>
      <w:r w:rsidRPr="00202988">
        <w:t xml:space="preserve"> = 4.10 in the full model). This indicates that enterprises with higher levels of corporate digitalization extend greater amounts of trade credit to their customers. </w:t>
      </w:r>
    </w:p>
    <w:p w14:paraId="4DE62DBE" w14:textId="0AE1F522" w:rsidR="00202988" w:rsidRPr="00202988" w:rsidRDefault="00202988" w:rsidP="00202988">
      <w:pPr>
        <w:spacing w:before="120" w:after="120" w:line="360" w:lineRule="auto"/>
        <w:ind w:right="234"/>
        <w:jc w:val="both"/>
        <w:rPr>
          <w:lang w:val="vi-VN"/>
        </w:rPr>
      </w:pPr>
      <w:r w:rsidRPr="00202988">
        <w:t>This finding confirms that digital transformation exerts a dual effect on supply chain financing. On one hand, it signals reliability to upstream suppliers, unlocking trade credit access. On the other hand, it bolsters internal risk management capabilities, generally prompting firms to increase their trade credit provision. Ultimately, digitalization acts as a comprehensive catalyst for optimizing capital allocation and alleviating financing constraints across the entire supply chain network</w:t>
      </w:r>
      <w:r w:rsidRPr="00D40F6B">
        <w:t xml:space="preserve">. </w:t>
      </w:r>
    </w:p>
    <w:p w14:paraId="033DE34B" w14:textId="77777777" w:rsidR="00202988" w:rsidRPr="00202988" w:rsidRDefault="00202988" w:rsidP="00202988">
      <w:pPr>
        <w:spacing w:before="120" w:after="120" w:line="360" w:lineRule="auto"/>
        <w:ind w:right="234"/>
        <w:jc w:val="both"/>
      </w:pPr>
      <w:r w:rsidRPr="00202988">
        <w:rPr>
          <w:b/>
          <w:bCs/>
        </w:rPr>
        <w:t>5.3. Does the role of corporate digitalization weaken over time?</w:t>
      </w:r>
    </w:p>
    <w:p w14:paraId="51D0708E" w14:textId="0237C8DC" w:rsidR="001B689E" w:rsidRDefault="001B689E" w:rsidP="001B689E">
      <w:pPr>
        <w:spacing w:before="120" w:after="120" w:line="360" w:lineRule="auto"/>
        <w:ind w:right="234"/>
        <w:jc w:val="both"/>
      </w:pPr>
      <w:r w:rsidRPr="001B689E">
        <w:t>Corporate digitalization functions in a quickly changing technical environment and is intrinsically dynamic</w:t>
      </w:r>
      <w:r w:rsidR="00202988" w:rsidRPr="00202988">
        <w:t xml:space="preserve">. While early adopters of digital technologies may secure a strong initial signaling advantage, one might question whether this "digital trust premium" diminishes over time. As digital tools become market standards and competitors catch up, the competitive advantage of transparency and efficiency might theoretically fade. Furthermore, intensified market competition, rapid technology obsolescence, and </w:t>
      </w:r>
      <w:r>
        <w:t xml:space="preserve">The role of digitization in promoting trade credit may be impacted by changes in the institutional environment throughout time. Thus, this study investigates whether business digitalization's beneficial impact on trade credit availability diminishes with time. </w:t>
      </w:r>
    </w:p>
    <w:p w14:paraId="11C4D764" w14:textId="447AD4DF" w:rsidR="00297474" w:rsidRPr="00297474" w:rsidRDefault="001B689E" w:rsidP="001B689E">
      <w:pPr>
        <w:spacing w:before="120" w:after="120" w:line="360" w:lineRule="auto"/>
        <w:ind w:right="234"/>
        <w:jc w:val="both"/>
      </w:pPr>
      <w:r>
        <w:t xml:space="preserve">In panel data econometrics, year dummies are constructed according to conventional procedures in order to examine this dynamic effect. We develop an indicator variable for every year in our sample from 2015 to 2024. For instance, Year_dummy1 takes 1 if the year is 2015 and 0 otherwise; Year_dummy2 takes 1 if the year is 2016 and 0 otherwise; and so on. To find the dynamic impacts across time, we use interaction terms between the key independent variable (DIGIT) and these year dummies in accordance with modern methodological </w:t>
      </w:r>
      <w:proofErr w:type="spellStart"/>
      <w:r>
        <w:t>frameworks.</w:t>
      </w:r>
      <w:r w:rsidR="00297474" w:rsidRPr="00297474">
        <w:t>We</w:t>
      </w:r>
      <w:proofErr w:type="spellEnd"/>
      <w:r w:rsidR="00297474" w:rsidRPr="00297474">
        <w:t xml:space="preserve"> estimate the following model, omitting the first year as the base category to avoid perfect multicollinearity:</w:t>
      </w:r>
    </w:p>
    <w:p w14:paraId="4234D9A2" w14:textId="1AA43345" w:rsidR="00202988" w:rsidRPr="00297474" w:rsidRDefault="0018079E" w:rsidP="00202988">
      <w:pPr>
        <w:spacing w:before="120" w:after="120" w:line="360" w:lineRule="auto"/>
        <w:ind w:right="234"/>
        <w:jc w:val="both"/>
      </w:pPr>
      <m:oMathPara>
        <m:oMath>
          <m:r>
            <w:rPr>
              <w:rFonts w:ascii="Cambria Math" w:hAnsi="Cambria Math"/>
            </w:rPr>
            <w:lastRenderedPageBreak/>
            <m:t>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DIGI</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nary>
            <m:naryPr>
              <m:chr m:val="∑"/>
              <m:limLoc m:val="undOvr"/>
              <m:ctrlPr>
                <w:rPr>
                  <w:rFonts w:ascii="Cambria Math" w:hAnsi="Cambria Math"/>
                </w:rPr>
              </m:ctrlPr>
            </m:naryPr>
            <m:sub>
              <m:r>
                <w:rPr>
                  <w:rFonts w:ascii="Cambria Math" w:hAnsi="Cambria Math"/>
                </w:rPr>
                <m:t>k=2</m:t>
              </m:r>
            </m:sub>
            <m:sup>
              <m:r>
                <w:rPr>
                  <w:rFonts w:ascii="Cambria Math" w:hAnsi="Cambria Math"/>
                </w:rPr>
                <m:t>10</m:t>
              </m:r>
            </m:sup>
            <m:e>
              <m:sSub>
                <m:sSubPr>
                  <m:ctrlPr>
                    <w:rPr>
                      <w:rFonts w:ascii="Cambria Math" w:hAnsi="Cambria Math"/>
                    </w:rPr>
                  </m:ctrlPr>
                </m:sSubPr>
                <m:e>
                  <m:r>
                    <w:rPr>
                      <w:rFonts w:ascii="Cambria Math" w:hAnsi="Cambria Math"/>
                    </w:rPr>
                    <m:t>λ</m:t>
                  </m:r>
                </m:e>
                <m:sub>
                  <m:r>
                    <w:rPr>
                      <w:rFonts w:ascii="Cambria Math" w:hAnsi="Cambria Math"/>
                    </w:rPr>
                    <m:t>k</m:t>
                  </m:r>
                </m:sub>
              </m:sSub>
            </m:e>
          </m:nary>
          <m:d>
            <m:dPr>
              <m:ctrlPr>
                <w:rPr>
                  <w:rFonts w:ascii="Cambria Math" w:hAnsi="Cambria Math"/>
                </w:rPr>
              </m:ctrlPr>
            </m:dPr>
            <m:e>
              <m:r>
                <w:rPr>
                  <w:rFonts w:ascii="Cambria Math" w:hAnsi="Cambria Math"/>
                </w:rPr>
                <m:t>DIGI</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×Year_dumm</m:t>
              </m:r>
              <m:sSub>
                <m:sSubPr>
                  <m:ctrlPr>
                    <w:rPr>
                      <w:rFonts w:ascii="Cambria Math" w:hAnsi="Cambria Math"/>
                    </w:rPr>
                  </m:ctrlPr>
                </m:sSubPr>
                <m:e>
                  <m:r>
                    <w:rPr>
                      <w:rFonts w:ascii="Cambria Math" w:hAnsi="Cambria Math"/>
                    </w:rPr>
                    <m:t>y</m:t>
                  </m:r>
                </m:e>
                <m:sub>
                  <m:r>
                    <w:rPr>
                      <w:rFonts w:ascii="Cambria Math" w:hAnsi="Cambria Math"/>
                    </w:rPr>
                    <m:t>k</m:t>
                  </m:r>
                </m:sub>
              </m:sSub>
            </m:e>
          </m:d>
          <m:r>
            <w:rPr>
              <w:rFonts w:ascii="Cambria Math" w:hAnsi="Cambria Math"/>
            </w:rPr>
            <m:t>+γControl</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+FirmF</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+YearF</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5</m:t>
              </m:r>
            </m:e>
          </m:d>
          <m:r>
            <m:rPr>
              <m:sty m:val="p"/>
            </m:rPr>
            <w:rPr>
              <w:rFonts w:ascii="Cambria Math" w:hAnsi="Cambria Math"/>
            </w:rPr>
            <w:br/>
          </m:r>
        </m:oMath>
      </m:oMathPara>
      <w:r w:rsidR="00202988" w:rsidRPr="00202988">
        <w:t>The regression results are presented in Table 1</w:t>
      </w:r>
      <w:r w:rsidR="006616C5">
        <w:rPr>
          <w:lang w:val="vi-VN"/>
        </w:rPr>
        <w:t>4</w:t>
      </w:r>
    </w:p>
    <w:p w14:paraId="2BCE747D" w14:textId="1B87135F" w:rsidR="00202988" w:rsidRPr="00202988" w:rsidRDefault="00202988" w:rsidP="00202988">
      <w:pPr>
        <w:spacing w:before="120" w:after="120" w:line="360" w:lineRule="auto"/>
        <w:ind w:right="234"/>
        <w:jc w:val="both"/>
      </w:pPr>
      <w:r w:rsidRPr="00202988">
        <w:rPr>
          <w:b/>
          <w:bCs/>
        </w:rPr>
        <w:t>Table 1</w:t>
      </w:r>
      <w:r w:rsidR="009136E5">
        <w:rPr>
          <w:b/>
          <w:bCs/>
          <w:lang w:val="vi-VN"/>
        </w:rPr>
        <w:t>4</w:t>
      </w:r>
      <w:r w:rsidRPr="00202988">
        <w:rPr>
          <w:b/>
          <w:bCs/>
        </w:rPr>
        <w:t>.</w:t>
      </w:r>
      <w:r w:rsidRPr="00202988">
        <w:t xml:space="preserve"> Regression results over time</w:t>
      </w:r>
    </w:p>
    <w:tbl>
      <w:tblPr>
        <w:tblStyle w:val="TableGrid"/>
        <w:tblW w:w="4890" w:type="pct"/>
        <w:tblLook w:val="04A0" w:firstRow="1" w:lastRow="0" w:firstColumn="1" w:lastColumn="0" w:noHBand="0" w:noVBand="1"/>
      </w:tblPr>
      <w:tblGrid>
        <w:gridCol w:w="3962"/>
        <w:gridCol w:w="2789"/>
        <w:gridCol w:w="3450"/>
      </w:tblGrid>
      <w:tr w:rsidR="00202988" w:rsidRPr="00202988" w14:paraId="1D45BC1F" w14:textId="77777777" w:rsidTr="006616C5">
        <w:tc>
          <w:tcPr>
            <w:tcW w:w="1942" w:type="pct"/>
            <w:hideMark/>
          </w:tcPr>
          <w:p w14:paraId="59BA413F" w14:textId="77777777" w:rsidR="00202988" w:rsidRPr="00202988" w:rsidRDefault="00202988" w:rsidP="00202988">
            <w:pPr>
              <w:spacing w:before="120" w:after="120" w:line="360" w:lineRule="auto"/>
              <w:ind w:right="234"/>
              <w:jc w:val="both"/>
            </w:pPr>
            <w:r w:rsidRPr="00202988">
              <w:rPr>
                <w:b/>
                <w:bCs/>
              </w:rPr>
              <w:t>Variables</w:t>
            </w:r>
          </w:p>
        </w:tc>
        <w:tc>
          <w:tcPr>
            <w:tcW w:w="1367" w:type="pct"/>
            <w:hideMark/>
          </w:tcPr>
          <w:p w14:paraId="5965EBB2" w14:textId="77777777" w:rsidR="00202988" w:rsidRPr="00202988" w:rsidRDefault="00202988" w:rsidP="00202988">
            <w:pPr>
              <w:spacing w:before="120" w:after="120" w:line="360" w:lineRule="auto"/>
              <w:ind w:right="234"/>
              <w:jc w:val="both"/>
            </w:pPr>
            <w:r w:rsidRPr="00202988">
              <w:rPr>
                <w:b/>
                <w:bCs/>
              </w:rPr>
              <w:t>(1) TC</w:t>
            </w:r>
          </w:p>
        </w:tc>
        <w:tc>
          <w:tcPr>
            <w:tcW w:w="1691" w:type="pct"/>
            <w:hideMark/>
          </w:tcPr>
          <w:p w14:paraId="360FF564" w14:textId="77777777" w:rsidR="00202988" w:rsidRPr="00202988" w:rsidRDefault="00202988" w:rsidP="00202988">
            <w:pPr>
              <w:spacing w:before="120" w:after="120" w:line="360" w:lineRule="auto"/>
              <w:ind w:right="234"/>
              <w:jc w:val="both"/>
            </w:pPr>
            <w:r w:rsidRPr="00202988">
              <w:rPr>
                <w:b/>
                <w:bCs/>
              </w:rPr>
              <w:t>(2) STC (Short-term)</w:t>
            </w:r>
          </w:p>
        </w:tc>
      </w:tr>
      <w:tr w:rsidR="00202988" w:rsidRPr="00202988" w14:paraId="49FB9198" w14:textId="77777777" w:rsidTr="006616C5">
        <w:tc>
          <w:tcPr>
            <w:tcW w:w="1942" w:type="pct"/>
            <w:hideMark/>
          </w:tcPr>
          <w:p w14:paraId="174EACFB" w14:textId="55E01A4F" w:rsidR="00202988" w:rsidRPr="006616C5" w:rsidRDefault="0082384D" w:rsidP="00202988">
            <w:pPr>
              <w:spacing w:before="120" w:after="120" w:line="360" w:lineRule="auto"/>
              <w:ind w:right="234"/>
              <w:jc w:val="both"/>
            </w:pPr>
            <m:oMathPara>
              <m:oMathParaPr>
                <m:jc m:val="left"/>
              </m:oMathParaPr>
              <m:oMath>
                <m:r>
                  <w:rPr>
                    <w:rFonts w:ascii="Cambria Math" w:hAnsi="Cambria Math"/>
                  </w:rPr>
                  <m:t>DIGIT×Year_dummy2</m:t>
                </m:r>
              </m:oMath>
            </m:oMathPara>
          </w:p>
        </w:tc>
        <w:tc>
          <w:tcPr>
            <w:tcW w:w="1367" w:type="pct"/>
            <w:hideMark/>
          </w:tcPr>
          <w:p w14:paraId="404EEA1B" w14:textId="77777777" w:rsidR="00202988" w:rsidRPr="00202988" w:rsidRDefault="00202988" w:rsidP="00202988">
            <w:pPr>
              <w:spacing w:before="120" w:after="120" w:line="360" w:lineRule="auto"/>
              <w:ind w:right="234"/>
              <w:jc w:val="both"/>
            </w:pPr>
            <w:r w:rsidRPr="00202988">
              <w:rPr>
                <w:b/>
                <w:bCs/>
              </w:rPr>
              <w:t>0.011**</w:t>
            </w:r>
            <w:r w:rsidRPr="00202988">
              <w:t xml:space="preserve"> (2.15)</w:t>
            </w:r>
          </w:p>
        </w:tc>
        <w:tc>
          <w:tcPr>
            <w:tcW w:w="1691" w:type="pct"/>
            <w:hideMark/>
          </w:tcPr>
          <w:p w14:paraId="2E77EE3E" w14:textId="77777777" w:rsidR="00202988" w:rsidRPr="00202988" w:rsidRDefault="00202988" w:rsidP="00202988">
            <w:pPr>
              <w:spacing w:before="120" w:after="120" w:line="360" w:lineRule="auto"/>
              <w:ind w:right="234"/>
              <w:jc w:val="both"/>
            </w:pPr>
            <w:r w:rsidRPr="00202988">
              <w:rPr>
                <w:b/>
                <w:bCs/>
              </w:rPr>
              <w:t>0.010**</w:t>
            </w:r>
            <w:r w:rsidRPr="00202988">
              <w:t xml:space="preserve"> (2.05)</w:t>
            </w:r>
          </w:p>
        </w:tc>
      </w:tr>
      <w:tr w:rsidR="00202988" w:rsidRPr="00202988" w14:paraId="6C765173" w14:textId="77777777" w:rsidTr="006616C5">
        <w:tc>
          <w:tcPr>
            <w:tcW w:w="1942" w:type="pct"/>
            <w:hideMark/>
          </w:tcPr>
          <w:p w14:paraId="530D6296" w14:textId="63DAEFBE"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DIGIT×Year_dummy3</m:t>
                </m:r>
              </m:oMath>
            </m:oMathPara>
          </w:p>
        </w:tc>
        <w:tc>
          <w:tcPr>
            <w:tcW w:w="1367" w:type="pct"/>
            <w:hideMark/>
          </w:tcPr>
          <w:p w14:paraId="438C03B0" w14:textId="77777777" w:rsidR="00202988" w:rsidRPr="00202988" w:rsidRDefault="00202988" w:rsidP="00202988">
            <w:pPr>
              <w:spacing w:before="120" w:after="120" w:line="360" w:lineRule="auto"/>
              <w:ind w:right="234"/>
              <w:jc w:val="both"/>
            </w:pPr>
            <w:r w:rsidRPr="00202988">
              <w:rPr>
                <w:b/>
                <w:bCs/>
              </w:rPr>
              <w:t>0.012***</w:t>
            </w:r>
            <w:r w:rsidRPr="00202988">
              <w:t xml:space="preserve"> (2.64)</w:t>
            </w:r>
          </w:p>
        </w:tc>
        <w:tc>
          <w:tcPr>
            <w:tcW w:w="1691" w:type="pct"/>
            <w:hideMark/>
          </w:tcPr>
          <w:p w14:paraId="6D763FB1" w14:textId="77777777" w:rsidR="00202988" w:rsidRPr="00202988" w:rsidRDefault="00202988" w:rsidP="00202988">
            <w:pPr>
              <w:spacing w:before="120" w:after="120" w:line="360" w:lineRule="auto"/>
              <w:ind w:right="234"/>
              <w:jc w:val="both"/>
            </w:pPr>
            <w:r w:rsidRPr="00202988">
              <w:rPr>
                <w:b/>
                <w:bCs/>
              </w:rPr>
              <w:t>0.011**</w:t>
            </w:r>
            <w:r w:rsidRPr="00202988">
              <w:t xml:space="preserve"> (2.42)</w:t>
            </w:r>
          </w:p>
        </w:tc>
      </w:tr>
      <w:tr w:rsidR="00202988" w:rsidRPr="00202988" w14:paraId="78ABB474" w14:textId="77777777" w:rsidTr="006616C5">
        <w:tc>
          <w:tcPr>
            <w:tcW w:w="1942" w:type="pct"/>
            <w:hideMark/>
          </w:tcPr>
          <w:p w14:paraId="121F950D" w14:textId="5567F1F9"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DIGIT×Year_dummy4</m:t>
                </m:r>
              </m:oMath>
            </m:oMathPara>
          </w:p>
        </w:tc>
        <w:tc>
          <w:tcPr>
            <w:tcW w:w="1367" w:type="pct"/>
            <w:hideMark/>
          </w:tcPr>
          <w:p w14:paraId="60A5D954" w14:textId="77777777" w:rsidR="00202988" w:rsidRPr="00202988" w:rsidRDefault="00202988" w:rsidP="00202988">
            <w:pPr>
              <w:spacing w:before="120" w:after="120" w:line="360" w:lineRule="auto"/>
              <w:ind w:right="234"/>
              <w:jc w:val="both"/>
            </w:pPr>
            <w:r w:rsidRPr="00202988">
              <w:rPr>
                <w:b/>
                <w:bCs/>
              </w:rPr>
              <w:t>0.013***</w:t>
            </w:r>
            <w:r w:rsidRPr="00202988">
              <w:t xml:space="preserve"> (3.40)</w:t>
            </w:r>
          </w:p>
        </w:tc>
        <w:tc>
          <w:tcPr>
            <w:tcW w:w="1691" w:type="pct"/>
            <w:hideMark/>
          </w:tcPr>
          <w:p w14:paraId="558F61E7" w14:textId="77777777" w:rsidR="00202988" w:rsidRPr="00202988" w:rsidRDefault="00202988" w:rsidP="00202988">
            <w:pPr>
              <w:spacing w:before="120" w:after="120" w:line="360" w:lineRule="auto"/>
              <w:ind w:right="234"/>
              <w:jc w:val="both"/>
            </w:pPr>
            <w:r w:rsidRPr="00202988">
              <w:rPr>
                <w:b/>
                <w:bCs/>
              </w:rPr>
              <w:t>0.012***</w:t>
            </w:r>
            <w:r w:rsidRPr="00202988">
              <w:t xml:space="preserve"> (3.15)</w:t>
            </w:r>
          </w:p>
        </w:tc>
      </w:tr>
      <w:tr w:rsidR="00202988" w:rsidRPr="00202988" w14:paraId="48FC717A" w14:textId="77777777" w:rsidTr="006616C5">
        <w:tc>
          <w:tcPr>
            <w:tcW w:w="1942" w:type="pct"/>
            <w:hideMark/>
          </w:tcPr>
          <w:p w14:paraId="6E36C8AA" w14:textId="2697059F"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DIGIT×Year_dummy5</m:t>
                </m:r>
              </m:oMath>
            </m:oMathPara>
          </w:p>
        </w:tc>
        <w:tc>
          <w:tcPr>
            <w:tcW w:w="1367" w:type="pct"/>
            <w:hideMark/>
          </w:tcPr>
          <w:p w14:paraId="46BD0BA2" w14:textId="77777777" w:rsidR="00202988" w:rsidRPr="00202988" w:rsidRDefault="00202988" w:rsidP="00202988">
            <w:pPr>
              <w:spacing w:before="120" w:after="120" w:line="360" w:lineRule="auto"/>
              <w:ind w:right="234"/>
              <w:jc w:val="both"/>
            </w:pPr>
            <w:r w:rsidRPr="00202988">
              <w:rPr>
                <w:b/>
                <w:bCs/>
              </w:rPr>
              <w:t>0.014***</w:t>
            </w:r>
            <w:r w:rsidRPr="00202988">
              <w:t xml:space="preserve"> (3.68)</w:t>
            </w:r>
          </w:p>
        </w:tc>
        <w:tc>
          <w:tcPr>
            <w:tcW w:w="1691" w:type="pct"/>
            <w:hideMark/>
          </w:tcPr>
          <w:p w14:paraId="5D7412A7" w14:textId="77777777" w:rsidR="00202988" w:rsidRPr="00202988" w:rsidRDefault="00202988" w:rsidP="00202988">
            <w:pPr>
              <w:spacing w:before="120" w:after="120" w:line="360" w:lineRule="auto"/>
              <w:ind w:right="234"/>
              <w:jc w:val="both"/>
            </w:pPr>
            <w:r w:rsidRPr="00202988">
              <w:rPr>
                <w:b/>
                <w:bCs/>
              </w:rPr>
              <w:t>0.014***</w:t>
            </w:r>
            <w:r w:rsidRPr="00202988">
              <w:t xml:space="preserve"> (3.50)</w:t>
            </w:r>
          </w:p>
        </w:tc>
      </w:tr>
      <w:tr w:rsidR="00202988" w:rsidRPr="00202988" w14:paraId="6EEFCE25" w14:textId="77777777" w:rsidTr="006616C5">
        <w:tc>
          <w:tcPr>
            <w:tcW w:w="1942" w:type="pct"/>
            <w:hideMark/>
          </w:tcPr>
          <w:p w14:paraId="179A22E0" w14:textId="5359F9B2"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DIGIT×Year_dummy6</m:t>
                </m:r>
              </m:oMath>
            </m:oMathPara>
          </w:p>
        </w:tc>
        <w:tc>
          <w:tcPr>
            <w:tcW w:w="1367" w:type="pct"/>
            <w:hideMark/>
          </w:tcPr>
          <w:p w14:paraId="0F389EC7" w14:textId="77777777" w:rsidR="00202988" w:rsidRPr="00202988" w:rsidRDefault="00202988" w:rsidP="00202988">
            <w:pPr>
              <w:spacing w:before="120" w:after="120" w:line="360" w:lineRule="auto"/>
              <w:ind w:right="234"/>
              <w:jc w:val="both"/>
            </w:pPr>
            <w:r w:rsidRPr="00202988">
              <w:rPr>
                <w:b/>
                <w:bCs/>
              </w:rPr>
              <w:t>0.014***</w:t>
            </w:r>
            <w:r w:rsidRPr="00202988">
              <w:t xml:space="preserve"> (3.85)</w:t>
            </w:r>
          </w:p>
        </w:tc>
        <w:tc>
          <w:tcPr>
            <w:tcW w:w="1691" w:type="pct"/>
            <w:hideMark/>
          </w:tcPr>
          <w:p w14:paraId="0A300300" w14:textId="77777777" w:rsidR="00202988" w:rsidRPr="00202988" w:rsidRDefault="00202988" w:rsidP="00202988">
            <w:pPr>
              <w:spacing w:before="120" w:after="120" w:line="360" w:lineRule="auto"/>
              <w:ind w:right="234"/>
              <w:jc w:val="both"/>
            </w:pPr>
            <w:r w:rsidRPr="00202988">
              <w:rPr>
                <w:b/>
                <w:bCs/>
              </w:rPr>
              <w:t>0.013***</w:t>
            </w:r>
            <w:r w:rsidRPr="00202988">
              <w:t xml:space="preserve"> (3.62)</w:t>
            </w:r>
          </w:p>
        </w:tc>
      </w:tr>
      <w:tr w:rsidR="00202988" w:rsidRPr="00202988" w14:paraId="5BDF60C5" w14:textId="77777777" w:rsidTr="006616C5">
        <w:tc>
          <w:tcPr>
            <w:tcW w:w="1942" w:type="pct"/>
            <w:hideMark/>
          </w:tcPr>
          <w:p w14:paraId="00C455A9" w14:textId="13F821CE"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DIGIT×Year_dummy7</m:t>
                </m:r>
              </m:oMath>
            </m:oMathPara>
          </w:p>
        </w:tc>
        <w:tc>
          <w:tcPr>
            <w:tcW w:w="1367" w:type="pct"/>
            <w:hideMark/>
          </w:tcPr>
          <w:p w14:paraId="0716DD62" w14:textId="77777777" w:rsidR="00202988" w:rsidRPr="00202988" w:rsidRDefault="00202988" w:rsidP="00202988">
            <w:pPr>
              <w:spacing w:before="120" w:after="120" w:line="360" w:lineRule="auto"/>
              <w:ind w:right="234"/>
              <w:jc w:val="both"/>
            </w:pPr>
            <w:r w:rsidRPr="00202988">
              <w:rPr>
                <w:b/>
                <w:bCs/>
              </w:rPr>
              <w:t>0.015***</w:t>
            </w:r>
            <w:r w:rsidRPr="00202988">
              <w:t xml:space="preserve"> (4.12)</w:t>
            </w:r>
          </w:p>
        </w:tc>
        <w:tc>
          <w:tcPr>
            <w:tcW w:w="1691" w:type="pct"/>
            <w:hideMark/>
          </w:tcPr>
          <w:p w14:paraId="1337B9CB" w14:textId="77777777" w:rsidR="00202988" w:rsidRPr="00202988" w:rsidRDefault="00202988" w:rsidP="00202988">
            <w:pPr>
              <w:spacing w:before="120" w:after="120" w:line="360" w:lineRule="auto"/>
              <w:ind w:right="234"/>
              <w:jc w:val="both"/>
            </w:pPr>
            <w:r w:rsidRPr="00202988">
              <w:rPr>
                <w:b/>
                <w:bCs/>
              </w:rPr>
              <w:t>0.014***</w:t>
            </w:r>
            <w:r w:rsidRPr="00202988">
              <w:t xml:space="preserve"> (3.95)</w:t>
            </w:r>
          </w:p>
        </w:tc>
      </w:tr>
      <w:tr w:rsidR="00202988" w:rsidRPr="00202988" w14:paraId="058B1F7D" w14:textId="77777777" w:rsidTr="006616C5">
        <w:tc>
          <w:tcPr>
            <w:tcW w:w="1942" w:type="pct"/>
            <w:hideMark/>
          </w:tcPr>
          <w:p w14:paraId="23905AB8" w14:textId="7DF529EC"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DIGIT×Year_dummy8</m:t>
                </m:r>
              </m:oMath>
            </m:oMathPara>
          </w:p>
        </w:tc>
        <w:tc>
          <w:tcPr>
            <w:tcW w:w="1367" w:type="pct"/>
            <w:hideMark/>
          </w:tcPr>
          <w:p w14:paraId="73F50B59" w14:textId="77777777" w:rsidR="00202988" w:rsidRPr="00202988" w:rsidRDefault="00202988" w:rsidP="00202988">
            <w:pPr>
              <w:spacing w:before="120" w:after="120" w:line="360" w:lineRule="auto"/>
              <w:ind w:right="234"/>
              <w:jc w:val="both"/>
            </w:pPr>
            <w:r w:rsidRPr="00202988">
              <w:rPr>
                <w:b/>
                <w:bCs/>
              </w:rPr>
              <w:t>0.015***</w:t>
            </w:r>
            <w:r w:rsidRPr="00202988">
              <w:t xml:space="preserve"> (4.30)</w:t>
            </w:r>
          </w:p>
        </w:tc>
        <w:tc>
          <w:tcPr>
            <w:tcW w:w="1691" w:type="pct"/>
            <w:hideMark/>
          </w:tcPr>
          <w:p w14:paraId="1AC1529D" w14:textId="77777777" w:rsidR="00202988" w:rsidRPr="00202988" w:rsidRDefault="00202988" w:rsidP="00202988">
            <w:pPr>
              <w:spacing w:before="120" w:after="120" w:line="360" w:lineRule="auto"/>
              <w:ind w:right="234"/>
              <w:jc w:val="both"/>
            </w:pPr>
            <w:r w:rsidRPr="00202988">
              <w:rPr>
                <w:b/>
                <w:bCs/>
              </w:rPr>
              <w:t>0.015***</w:t>
            </w:r>
            <w:r w:rsidRPr="00202988">
              <w:t xml:space="preserve"> (4.10)</w:t>
            </w:r>
          </w:p>
        </w:tc>
      </w:tr>
      <w:tr w:rsidR="00202988" w:rsidRPr="00202988" w14:paraId="01B28F7D" w14:textId="77777777" w:rsidTr="006616C5">
        <w:tc>
          <w:tcPr>
            <w:tcW w:w="1942" w:type="pct"/>
            <w:hideMark/>
          </w:tcPr>
          <w:p w14:paraId="4543B8B4" w14:textId="3DAA5628"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DIGIT×Year_dummy9</m:t>
                </m:r>
              </m:oMath>
            </m:oMathPara>
          </w:p>
        </w:tc>
        <w:tc>
          <w:tcPr>
            <w:tcW w:w="1367" w:type="pct"/>
            <w:hideMark/>
          </w:tcPr>
          <w:p w14:paraId="5211B75E" w14:textId="77777777" w:rsidR="00202988" w:rsidRPr="00202988" w:rsidRDefault="00202988" w:rsidP="00202988">
            <w:pPr>
              <w:spacing w:before="120" w:after="120" w:line="360" w:lineRule="auto"/>
              <w:ind w:right="234"/>
              <w:jc w:val="both"/>
            </w:pPr>
            <w:r w:rsidRPr="00202988">
              <w:rPr>
                <w:b/>
                <w:bCs/>
              </w:rPr>
              <w:t>0.016***</w:t>
            </w:r>
            <w:r w:rsidRPr="00202988">
              <w:t xml:space="preserve"> (4.65)</w:t>
            </w:r>
          </w:p>
        </w:tc>
        <w:tc>
          <w:tcPr>
            <w:tcW w:w="1691" w:type="pct"/>
            <w:hideMark/>
          </w:tcPr>
          <w:p w14:paraId="0CB47328" w14:textId="77777777" w:rsidR="00202988" w:rsidRPr="00202988" w:rsidRDefault="00202988" w:rsidP="00202988">
            <w:pPr>
              <w:spacing w:before="120" w:after="120" w:line="360" w:lineRule="auto"/>
              <w:ind w:right="234"/>
              <w:jc w:val="both"/>
            </w:pPr>
            <w:r w:rsidRPr="00202988">
              <w:rPr>
                <w:b/>
                <w:bCs/>
              </w:rPr>
              <w:t>0.015***</w:t>
            </w:r>
            <w:r w:rsidRPr="00202988">
              <w:t xml:space="preserve"> (4.45)</w:t>
            </w:r>
          </w:p>
        </w:tc>
      </w:tr>
      <w:tr w:rsidR="00202988" w:rsidRPr="00202988" w14:paraId="6AE7C266" w14:textId="77777777" w:rsidTr="006616C5">
        <w:tc>
          <w:tcPr>
            <w:tcW w:w="1942" w:type="pct"/>
            <w:hideMark/>
          </w:tcPr>
          <w:p w14:paraId="3A376C9A" w14:textId="315CBCAC" w:rsidR="00202988" w:rsidRPr="006616C5" w:rsidRDefault="0082384D" w:rsidP="006616C5">
            <w:pPr>
              <w:spacing w:before="120" w:after="120" w:line="360" w:lineRule="auto"/>
              <w:ind w:right="234"/>
            </w:pPr>
            <m:oMathPara>
              <m:oMathParaPr>
                <m:jc m:val="left"/>
              </m:oMathParaPr>
              <m:oMath>
                <m:r>
                  <w:rPr>
                    <w:rFonts w:ascii="Cambria Math" w:hAnsi="Cambria Math"/>
                  </w:rPr>
                  <m:t>DIGIT×Year_dummy10</m:t>
                </m:r>
              </m:oMath>
            </m:oMathPara>
          </w:p>
        </w:tc>
        <w:tc>
          <w:tcPr>
            <w:tcW w:w="1367" w:type="pct"/>
            <w:hideMark/>
          </w:tcPr>
          <w:p w14:paraId="7B4E20A4" w14:textId="77777777" w:rsidR="00202988" w:rsidRPr="00202988" w:rsidRDefault="00202988" w:rsidP="00202988">
            <w:pPr>
              <w:spacing w:before="120" w:after="120" w:line="360" w:lineRule="auto"/>
              <w:ind w:right="234"/>
              <w:jc w:val="both"/>
            </w:pPr>
            <w:r w:rsidRPr="00202988">
              <w:rPr>
                <w:b/>
                <w:bCs/>
              </w:rPr>
              <w:t>0.017***</w:t>
            </w:r>
            <w:r w:rsidRPr="00202988">
              <w:t xml:space="preserve"> (5.10)</w:t>
            </w:r>
          </w:p>
        </w:tc>
        <w:tc>
          <w:tcPr>
            <w:tcW w:w="1691" w:type="pct"/>
            <w:hideMark/>
          </w:tcPr>
          <w:p w14:paraId="7F473C78" w14:textId="77777777" w:rsidR="00202988" w:rsidRPr="00202988" w:rsidRDefault="00202988" w:rsidP="00202988">
            <w:pPr>
              <w:spacing w:before="120" w:after="120" w:line="360" w:lineRule="auto"/>
              <w:ind w:right="234"/>
              <w:jc w:val="both"/>
            </w:pPr>
            <w:r w:rsidRPr="00202988">
              <w:rPr>
                <w:b/>
                <w:bCs/>
              </w:rPr>
              <w:t>0.016***</w:t>
            </w:r>
            <w:r w:rsidRPr="00202988">
              <w:t xml:space="preserve"> (4.80)</w:t>
            </w:r>
          </w:p>
        </w:tc>
      </w:tr>
      <w:tr w:rsidR="00202988" w:rsidRPr="00202988" w14:paraId="3CC7A7C5" w14:textId="77777777" w:rsidTr="006616C5">
        <w:tc>
          <w:tcPr>
            <w:tcW w:w="1942" w:type="pct"/>
            <w:hideMark/>
          </w:tcPr>
          <w:p w14:paraId="5819B82B" w14:textId="77777777" w:rsidR="00202988" w:rsidRPr="00202988" w:rsidRDefault="00202988" w:rsidP="00202988">
            <w:pPr>
              <w:spacing w:before="120" w:after="120" w:line="360" w:lineRule="auto"/>
              <w:ind w:right="234"/>
              <w:jc w:val="both"/>
            </w:pPr>
            <w:r w:rsidRPr="00202988">
              <w:t>Controls</w:t>
            </w:r>
          </w:p>
        </w:tc>
        <w:tc>
          <w:tcPr>
            <w:tcW w:w="1367" w:type="pct"/>
            <w:hideMark/>
          </w:tcPr>
          <w:p w14:paraId="6DBB1FDC" w14:textId="77777777" w:rsidR="00202988" w:rsidRPr="00202988" w:rsidRDefault="00202988" w:rsidP="00202988">
            <w:pPr>
              <w:spacing w:before="120" w:after="120" w:line="360" w:lineRule="auto"/>
              <w:ind w:right="234"/>
              <w:jc w:val="both"/>
            </w:pPr>
            <w:r w:rsidRPr="00202988">
              <w:t>Yes</w:t>
            </w:r>
          </w:p>
        </w:tc>
        <w:tc>
          <w:tcPr>
            <w:tcW w:w="1691" w:type="pct"/>
            <w:hideMark/>
          </w:tcPr>
          <w:p w14:paraId="3EC23DBF" w14:textId="77777777" w:rsidR="00202988" w:rsidRPr="00202988" w:rsidRDefault="00202988" w:rsidP="00202988">
            <w:pPr>
              <w:spacing w:before="120" w:after="120" w:line="360" w:lineRule="auto"/>
              <w:ind w:right="234"/>
              <w:jc w:val="both"/>
            </w:pPr>
            <w:r w:rsidRPr="00202988">
              <w:t>Yes</w:t>
            </w:r>
          </w:p>
        </w:tc>
      </w:tr>
      <w:tr w:rsidR="00202988" w:rsidRPr="00202988" w14:paraId="5053575B" w14:textId="77777777" w:rsidTr="006616C5">
        <w:tc>
          <w:tcPr>
            <w:tcW w:w="1942" w:type="pct"/>
            <w:hideMark/>
          </w:tcPr>
          <w:p w14:paraId="527C132C" w14:textId="77777777" w:rsidR="00202988" w:rsidRPr="00202988" w:rsidRDefault="00202988" w:rsidP="00202988">
            <w:pPr>
              <w:spacing w:before="120" w:after="120" w:line="360" w:lineRule="auto"/>
              <w:ind w:right="234"/>
              <w:jc w:val="both"/>
            </w:pPr>
            <w:r w:rsidRPr="00202988">
              <w:t>Firm FE</w:t>
            </w:r>
          </w:p>
        </w:tc>
        <w:tc>
          <w:tcPr>
            <w:tcW w:w="1367" w:type="pct"/>
            <w:hideMark/>
          </w:tcPr>
          <w:p w14:paraId="7CF85A52" w14:textId="77777777" w:rsidR="00202988" w:rsidRPr="00202988" w:rsidRDefault="00202988" w:rsidP="00202988">
            <w:pPr>
              <w:spacing w:before="120" w:after="120" w:line="360" w:lineRule="auto"/>
              <w:ind w:right="234"/>
              <w:jc w:val="both"/>
            </w:pPr>
            <w:r w:rsidRPr="00202988">
              <w:t>Yes</w:t>
            </w:r>
          </w:p>
        </w:tc>
        <w:tc>
          <w:tcPr>
            <w:tcW w:w="1691" w:type="pct"/>
            <w:hideMark/>
          </w:tcPr>
          <w:p w14:paraId="5EADE5BC" w14:textId="77777777" w:rsidR="00202988" w:rsidRPr="00202988" w:rsidRDefault="00202988" w:rsidP="00202988">
            <w:pPr>
              <w:spacing w:before="120" w:after="120" w:line="360" w:lineRule="auto"/>
              <w:ind w:right="234"/>
              <w:jc w:val="both"/>
            </w:pPr>
            <w:r w:rsidRPr="00202988">
              <w:t>Yes</w:t>
            </w:r>
          </w:p>
        </w:tc>
      </w:tr>
      <w:tr w:rsidR="00202988" w:rsidRPr="00202988" w14:paraId="0F7D27F2" w14:textId="77777777" w:rsidTr="006616C5">
        <w:tc>
          <w:tcPr>
            <w:tcW w:w="1942" w:type="pct"/>
            <w:hideMark/>
          </w:tcPr>
          <w:p w14:paraId="284B13C7" w14:textId="77777777" w:rsidR="00202988" w:rsidRPr="00202988" w:rsidRDefault="00202988" w:rsidP="00202988">
            <w:pPr>
              <w:spacing w:before="120" w:after="120" w:line="360" w:lineRule="auto"/>
              <w:ind w:right="234"/>
              <w:jc w:val="both"/>
            </w:pPr>
            <w:r w:rsidRPr="00202988">
              <w:t>Observations</w:t>
            </w:r>
          </w:p>
        </w:tc>
        <w:tc>
          <w:tcPr>
            <w:tcW w:w="1367" w:type="pct"/>
            <w:hideMark/>
          </w:tcPr>
          <w:p w14:paraId="63428B56" w14:textId="77777777" w:rsidR="00202988" w:rsidRPr="00202988" w:rsidRDefault="00202988" w:rsidP="00202988">
            <w:pPr>
              <w:spacing w:before="120" w:after="120" w:line="360" w:lineRule="auto"/>
              <w:ind w:right="234"/>
              <w:jc w:val="both"/>
            </w:pPr>
            <w:r w:rsidRPr="00202988">
              <w:t>5,420</w:t>
            </w:r>
          </w:p>
        </w:tc>
        <w:tc>
          <w:tcPr>
            <w:tcW w:w="1691" w:type="pct"/>
            <w:hideMark/>
          </w:tcPr>
          <w:p w14:paraId="0AE85E7A" w14:textId="77777777" w:rsidR="00202988" w:rsidRPr="00202988" w:rsidRDefault="00202988" w:rsidP="00202988">
            <w:pPr>
              <w:spacing w:before="120" w:after="120" w:line="360" w:lineRule="auto"/>
              <w:ind w:right="234"/>
              <w:jc w:val="both"/>
            </w:pPr>
            <w:r w:rsidRPr="00202988">
              <w:t>5,420</w:t>
            </w:r>
          </w:p>
        </w:tc>
      </w:tr>
      <w:tr w:rsidR="00202988" w:rsidRPr="00202988" w14:paraId="7D1AF680" w14:textId="77777777" w:rsidTr="006616C5">
        <w:tc>
          <w:tcPr>
            <w:tcW w:w="1942" w:type="pct"/>
            <w:hideMark/>
          </w:tcPr>
          <w:p w14:paraId="4F72162D" w14:textId="080E75BF" w:rsidR="00202988" w:rsidRPr="00202988" w:rsidRDefault="00202988" w:rsidP="00202988">
            <w:pPr>
              <w:spacing w:before="120" w:after="120" w:line="360" w:lineRule="auto"/>
              <w:ind w:right="234"/>
              <w:jc w:val="both"/>
            </w:pPr>
            <w:r w:rsidRPr="00202988">
              <w:t xml:space="preserve">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1367" w:type="pct"/>
            <w:hideMark/>
          </w:tcPr>
          <w:p w14:paraId="66C99D14" w14:textId="77777777" w:rsidR="00202988" w:rsidRPr="00202988" w:rsidRDefault="00202988" w:rsidP="00202988">
            <w:pPr>
              <w:spacing w:before="120" w:after="120" w:line="360" w:lineRule="auto"/>
              <w:ind w:right="234"/>
              <w:jc w:val="both"/>
            </w:pPr>
            <w:r w:rsidRPr="00202988">
              <w:t>0.435</w:t>
            </w:r>
          </w:p>
        </w:tc>
        <w:tc>
          <w:tcPr>
            <w:tcW w:w="1691" w:type="pct"/>
            <w:hideMark/>
          </w:tcPr>
          <w:p w14:paraId="5F9BF536" w14:textId="77777777" w:rsidR="00202988" w:rsidRPr="00202988" w:rsidRDefault="00202988" w:rsidP="00202988">
            <w:pPr>
              <w:spacing w:before="120" w:after="120" w:line="360" w:lineRule="auto"/>
              <w:ind w:right="234"/>
              <w:jc w:val="both"/>
            </w:pPr>
            <w:r w:rsidRPr="00202988">
              <w:t>0.428</w:t>
            </w:r>
          </w:p>
        </w:tc>
      </w:tr>
    </w:tbl>
    <w:p w14:paraId="66047369" w14:textId="272AD486" w:rsidR="004F5DE4" w:rsidRDefault="004F5DE4" w:rsidP="00202988">
      <w:pPr>
        <w:spacing w:before="120" w:after="120" w:line="360" w:lineRule="auto"/>
        <w:ind w:right="234"/>
        <w:jc w:val="both"/>
        <w:rPr>
          <w:b/>
          <w:bCs/>
        </w:rPr>
      </w:pPr>
      <w:r w:rsidRPr="004F5DE4">
        <w:rPr>
          <w:b/>
          <w:bCs/>
        </w:rPr>
        <w:t>Figure 4: Persistent Effect of Digitalization Over Time</w:t>
      </w:r>
    </w:p>
    <w:p w14:paraId="5B335512" w14:textId="0CA1AF58" w:rsidR="004F5DE4" w:rsidRPr="007C4145" w:rsidRDefault="007C4145" w:rsidP="00202988">
      <w:pPr>
        <w:spacing w:before="120" w:after="120" w:line="360" w:lineRule="auto"/>
        <w:ind w:right="234"/>
        <w:jc w:val="both"/>
        <w:rPr>
          <w:b/>
          <w:bCs/>
          <w:lang w:val="en-US"/>
        </w:rPr>
      </w:pPr>
      <w:r w:rsidRPr="007C4145">
        <w:rPr>
          <w:b/>
          <w:bCs/>
          <w:noProof/>
          <w:lang w:val="vi-VN"/>
        </w:rPr>
        <w:lastRenderedPageBreak/>
        <w:drawing>
          <wp:inline distT="0" distB="0" distL="0" distR="0" wp14:anchorId="0D4662E4" wp14:editId="259296D4">
            <wp:extent cx="5465618" cy="3057396"/>
            <wp:effectExtent l="0" t="0" r="1905" b="0"/>
            <wp:docPr id="214269037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617" cy="3060752"/>
                    </a:xfrm>
                    <a:prstGeom prst="rect">
                      <a:avLst/>
                    </a:prstGeom>
                    <a:noFill/>
                    <a:ln>
                      <a:noFill/>
                    </a:ln>
                  </pic:spPr>
                </pic:pic>
              </a:graphicData>
            </a:graphic>
          </wp:inline>
        </w:drawing>
      </w:r>
    </w:p>
    <w:p w14:paraId="4F2CB03E" w14:textId="1819B59A" w:rsidR="00202988" w:rsidRPr="00297474" w:rsidRDefault="001B689E" w:rsidP="00202988">
      <w:pPr>
        <w:spacing w:before="120" w:after="120" w:line="360" w:lineRule="auto"/>
        <w:ind w:right="234"/>
        <w:jc w:val="both"/>
        <w:rPr>
          <w:lang w:val="vi-VN"/>
        </w:rPr>
      </w:pPr>
      <w:r w:rsidRPr="001B689E">
        <w:t>Corporate digitalization has a consistent and strong impact on both total trade credit and short-term trade credit, according to the regression results in Columns (1) and (2) of Table 14 and the related trend lines depicted in Figure 4. In every year that follows, the interaction terms' coefficients stay positive and extremely significant</w:t>
      </w:r>
      <w:r w:rsidR="004F5DE4" w:rsidRPr="004F5DE4">
        <w:t xml:space="preserve">. More importantly, </w:t>
      </w:r>
      <w:r w:rsidR="00B05B57" w:rsidRPr="00B05B57">
        <w:t>Figure 4</w:t>
      </w:r>
      <w:r w:rsidR="004F5DE4" w:rsidRPr="004F5DE4">
        <w:t xml:space="preserve"> visually demonstrates that the incremental effect of digitalization does not plateau or diminish over time. Instead, both total and short-term trade credit impacts exhibit a stable, upward trajectory compared to the baseline year. This finding robustly concludes that as digital integration becomes deeply embedded in supply chain operations, the signaling power of "digital trust" is compounded rather than decayed</w:t>
      </w:r>
      <w:r w:rsidR="00297474">
        <w:rPr>
          <w:lang w:val="vi-VN"/>
        </w:rPr>
        <w:t>.</w:t>
      </w:r>
    </w:p>
    <w:p w14:paraId="22524C7C" w14:textId="77777777" w:rsidR="00F27112" w:rsidRPr="00F27112" w:rsidRDefault="00F27112" w:rsidP="00F27112">
      <w:pPr>
        <w:spacing w:before="120" w:after="120" w:line="360" w:lineRule="auto"/>
        <w:ind w:right="234"/>
        <w:jc w:val="both"/>
      </w:pPr>
      <w:r w:rsidRPr="00F27112">
        <w:rPr>
          <w:b/>
          <w:bCs/>
        </w:rPr>
        <w:t>6. Conclusions and implications</w:t>
      </w:r>
    </w:p>
    <w:p w14:paraId="4A4CFBE6" w14:textId="77777777" w:rsidR="00F27112" w:rsidRPr="00F27112" w:rsidRDefault="00F27112" w:rsidP="00F27112">
      <w:pPr>
        <w:spacing w:before="120" w:after="120" w:line="360" w:lineRule="auto"/>
        <w:ind w:right="234"/>
        <w:jc w:val="both"/>
      </w:pPr>
      <w:r w:rsidRPr="00F27112">
        <w:rPr>
          <w:b/>
          <w:bCs/>
        </w:rPr>
        <w:t>6.1. Conclusions</w:t>
      </w:r>
    </w:p>
    <w:p w14:paraId="06689201" w14:textId="02FF6805" w:rsidR="00F27112" w:rsidRPr="00F27112" w:rsidRDefault="001B689E" w:rsidP="00F27112">
      <w:pPr>
        <w:spacing w:before="120" w:after="120" w:line="360" w:lineRule="auto"/>
        <w:ind w:right="234"/>
        <w:jc w:val="both"/>
      </w:pPr>
      <w:r w:rsidRPr="001B689E">
        <w:t>This study focuses on Vietnam's fast digitizing emergent market and investigates the effects of company digitalization on trade credit from an informal institutional approach. Our results, which are based on an extensive panel dataset of listed companies from 2015 to 2024, show that corporate digitization significantly improves firm trade credit. This effect is most noticeable in settings with high levels of economic policy uncertainty and low company information transparency. Additionally, for non-state-owned firms (non-SOEs) without official political support, the "digital trust premium" is even higher</w:t>
      </w:r>
      <w:r w:rsidR="00F27112" w:rsidRPr="00F27112">
        <w:t xml:space="preserve">. </w:t>
      </w:r>
    </w:p>
    <w:p w14:paraId="74B5F5F8" w14:textId="25286E94" w:rsidR="00F27112" w:rsidRPr="00F27112" w:rsidRDefault="00F27112" w:rsidP="00F27112">
      <w:pPr>
        <w:spacing w:before="120" w:after="120" w:line="360" w:lineRule="auto"/>
        <w:ind w:right="234"/>
        <w:jc w:val="both"/>
      </w:pPr>
      <w:r w:rsidRPr="00F27112">
        <w:t xml:space="preserve">To address endogeneity, we employ a staggered difference-in-differences (DID) framework based on the staggered rollout of provincial digital transformation action plans. The results confirm a robust causal relationship: exogenous digital policy shocks significantly increase trade credit access. </w:t>
      </w:r>
      <w:r w:rsidR="001B689E" w:rsidRPr="001B689E">
        <w:t xml:space="preserve">Subsequent investigation shows that short-term trade credit makes up a sizable share of the overall trade credit acquired </w:t>
      </w:r>
      <w:r w:rsidR="001B689E" w:rsidRPr="001B689E">
        <w:lastRenderedPageBreak/>
        <w:t>by digitalized businesses, most likely as a result of its adaptability and capacity to satisfy urgent finance requirements in dynamic supply chains. Importantly, corporate digitalization continues to have a favorable impact on trade credit. Lastly, businesses themselves offer more trade credit</w:t>
      </w:r>
      <w:r w:rsidR="001B689E">
        <w:t xml:space="preserve"> </w:t>
      </w:r>
      <w:r w:rsidRPr="00F27112">
        <w:t xml:space="preserve">to their downstream partners when their internal digitalization level is higher, highlighting a dual capacity to optimize working capital across the supply chain. </w:t>
      </w:r>
    </w:p>
    <w:p w14:paraId="03AA217C" w14:textId="77777777" w:rsidR="00F27112" w:rsidRPr="00F27112" w:rsidRDefault="00F27112" w:rsidP="00F27112">
      <w:pPr>
        <w:spacing w:before="120" w:after="120" w:line="360" w:lineRule="auto"/>
        <w:ind w:right="234"/>
        <w:jc w:val="both"/>
      </w:pPr>
      <w:r w:rsidRPr="00F27112">
        <w:rPr>
          <w:b/>
          <w:bCs/>
        </w:rPr>
        <w:t>6.2. Managerial implications</w:t>
      </w:r>
    </w:p>
    <w:p w14:paraId="445B5AD3" w14:textId="77777777" w:rsidR="00DF61C1" w:rsidRPr="00DF61C1" w:rsidRDefault="00DF61C1" w:rsidP="00DF61C1">
      <w:pPr>
        <w:spacing w:before="120" w:after="120" w:line="360" w:lineRule="auto"/>
        <w:ind w:right="234"/>
        <w:jc w:val="both"/>
        <w:rPr>
          <w:lang w:val="vi-VN"/>
        </w:rPr>
      </w:pPr>
      <w:r w:rsidRPr="00DF61C1">
        <w:rPr>
          <w:lang w:val="vi-VN"/>
        </w:rPr>
        <w:t>Our research findings offer significant and actionable implications for corporate executives and supply chain managers operating within the dynamic Asia-Pacific emerging markets.</w:t>
      </w:r>
    </w:p>
    <w:p w14:paraId="7FB82BFD" w14:textId="77777777" w:rsidR="00DF61C1" w:rsidRPr="00DF61C1" w:rsidRDefault="00DF61C1" w:rsidP="00DF61C1">
      <w:pPr>
        <w:spacing w:before="120" w:after="120" w:line="360" w:lineRule="auto"/>
        <w:ind w:right="234"/>
        <w:jc w:val="both"/>
        <w:rPr>
          <w:lang w:val="vi-VN"/>
        </w:rPr>
      </w:pPr>
      <w:r w:rsidRPr="00DF61C1">
        <w:rPr>
          <w:lang w:val="vi-VN"/>
        </w:rPr>
        <w:t>First, executives must reframe corporate digitalization from a mere IT operational upgrade to a strategic financial signaling tool. In emerging markets where formal institutional trust and financial systems are often underdeveloped, digital transformation functions as a powerful informal institution. For private enterprises and SMEs (non-SOEs) that traditionally face systemic credit discrimination, proactive investment in advanced digital platforms (e.g., automated workflows, big data analytics) is highly recommended. By doing so, they can establish "digital trust," actively signaling operational transparency, modern governance, and robust repayment capacity to upstream suppliers, thereby unlocking vital supply chain financing to overcome institutional voids.</w:t>
      </w:r>
    </w:p>
    <w:p w14:paraId="577C72DC" w14:textId="77777777" w:rsidR="00DF61C1" w:rsidRPr="00DF61C1" w:rsidRDefault="00DF61C1" w:rsidP="00DF61C1">
      <w:pPr>
        <w:spacing w:before="120" w:after="120" w:line="360" w:lineRule="auto"/>
        <w:ind w:right="234"/>
        <w:jc w:val="both"/>
        <w:rPr>
          <w:lang w:val="vi-VN"/>
        </w:rPr>
      </w:pPr>
      <w:r w:rsidRPr="00DF61C1">
        <w:rPr>
          <w:lang w:val="vi-VN"/>
        </w:rPr>
        <w:t>Second, managers should leverage digital transparency as a strategic buffer against macroeconomic volatility. Our findings highlight that the "digital trust premium" becomes even more valuable during periods of high information asymmetry and economic policy uncertainty. Instead of relying solely on traditional relationship-based trust—which can be fragile during economic crises—companies must demonstrate their credibility through verifiable, real-time digital transparency. By sharing integrated digital data regarding inventory, sales, and operations with partners, managers can effectively mitigate supplier risk aversion and sustain continuous, competitive credit access even in turbulent market environments.</w:t>
      </w:r>
    </w:p>
    <w:p w14:paraId="5C4F35C4" w14:textId="77777777" w:rsidR="00DF61C1" w:rsidRPr="00DF61C1" w:rsidRDefault="00DF61C1" w:rsidP="00DF61C1">
      <w:pPr>
        <w:spacing w:before="120" w:after="120" w:line="360" w:lineRule="auto"/>
        <w:ind w:right="234"/>
        <w:jc w:val="both"/>
        <w:rPr>
          <w:lang w:val="vi-VN"/>
        </w:rPr>
      </w:pPr>
      <w:r w:rsidRPr="00DF61C1">
        <w:rPr>
          <w:lang w:val="vi-VN"/>
        </w:rPr>
        <w:t>Third, from a comprehensive supply chain network perspective, executives should utilize digital capabilities to optimize bilateral inter-firm capital flows. Our analysis indicates that digitalization not only helps firms secure short-term credit from suppliers but also enhances their internal risk assessment capabilities. Managers can use data-driven insights to confidently extend trade credit to their downstream customers. By capitalizing on this dual capacity, digitalized firms can act as crucial financial anchors within their supply networks, optimizing working capital allocation and enhancing overall supply chain resilience.</w:t>
      </w:r>
    </w:p>
    <w:p w14:paraId="341377DF" w14:textId="30D45B26" w:rsidR="00F27112" w:rsidRPr="00DF61C1" w:rsidRDefault="00DF61C1" w:rsidP="00F27112">
      <w:pPr>
        <w:spacing w:before="120" w:after="120" w:line="360" w:lineRule="auto"/>
        <w:ind w:right="234"/>
        <w:jc w:val="both"/>
        <w:rPr>
          <w:lang w:val="en-US"/>
        </w:rPr>
      </w:pPr>
      <w:r w:rsidRPr="00DF61C1">
        <w:rPr>
          <w:lang w:val="vi-VN"/>
        </w:rPr>
        <w:t xml:space="preserve">Ultimately, as Asia-Pacific supply chains become increasingly complex and deeply integrated into the global economy, cultivating a robust digital infrastructure is no longer optional. It is a fundamental strategic </w:t>
      </w:r>
      <w:r w:rsidRPr="00DF61C1">
        <w:rPr>
          <w:lang w:val="vi-VN"/>
        </w:rPr>
        <w:lastRenderedPageBreak/>
        <w:t>imperative for sustaining competitive financing advantages and fostering enduring, trust-based inter-firm partnerships.</w:t>
      </w:r>
    </w:p>
    <w:p w14:paraId="69EA6985" w14:textId="77777777" w:rsidR="00F27112" w:rsidRPr="00F27112" w:rsidRDefault="00F27112" w:rsidP="00F27112">
      <w:pPr>
        <w:spacing w:before="120" w:after="120" w:line="360" w:lineRule="auto"/>
        <w:ind w:right="234"/>
        <w:jc w:val="both"/>
      </w:pPr>
      <w:r w:rsidRPr="00F27112">
        <w:rPr>
          <w:b/>
          <w:bCs/>
        </w:rPr>
        <w:t>6.3. Policy implications</w:t>
      </w:r>
    </w:p>
    <w:p w14:paraId="0945D76A" w14:textId="77777777" w:rsidR="001B689E" w:rsidRDefault="00F27112" w:rsidP="00DD7768">
      <w:pPr>
        <w:spacing w:before="120" w:after="120" w:line="360" w:lineRule="auto"/>
        <w:ind w:right="234"/>
        <w:jc w:val="both"/>
      </w:pPr>
      <w:r w:rsidRPr="00F27112">
        <w:t xml:space="preserve">For policymakers, especially in developing Asian economies transitioning towards Industry 4.0, this study underscores the broader macroeconomic benefits of digital infrastructure. </w:t>
      </w:r>
      <w:r w:rsidR="001B689E" w:rsidRPr="001B689E">
        <w:t>The long-term stability of trust's good benefits is demonstrated by the favorable impact of digitization on trade credit, which does not reduce over time. In order to boost regional economic vibrancy and sustainable development capabilities, regional governments and pertinent authorities should pledge to improve the lending environment by putting policy recommendations into practice and creating digital ecosystems.</w:t>
      </w:r>
    </w:p>
    <w:p w14:paraId="330D612F" w14:textId="35BF5C54" w:rsidR="00D34D93" w:rsidRPr="00DD7768" w:rsidRDefault="00F27112" w:rsidP="00DD7768">
      <w:pPr>
        <w:spacing w:before="120" w:after="120" w:line="360" w:lineRule="auto"/>
        <w:ind w:right="234"/>
        <w:jc w:val="both"/>
        <w:rPr>
          <w:lang w:val="vi-VN"/>
        </w:rPr>
      </w:pPr>
      <w:r w:rsidRPr="00F27112">
        <w:t>Specifically, governments should accelerate national digital transformation programs and provide targeted subsidies or tax incentives for digitalization, particularly for non-SOEs. By fostering a digitalized business environment, policymakers can indirectly alleviate the pervasive financial constraints in emerging markets, reducing corporate reliance on strained traditional banking systems. Ultimately, promoting digital transformation serves as an effective institutional equalizer, fostering a more transparent, resilient, and globally competitive Asian supply chain network</w:t>
      </w:r>
      <w:r w:rsidR="00202988" w:rsidRPr="00D40F6B">
        <w:t xml:space="preserve">. </w:t>
      </w:r>
    </w:p>
    <w:p w14:paraId="1FB0BAFB" w14:textId="63DACB2F" w:rsidR="00FD1A11" w:rsidRPr="00E8301D" w:rsidRDefault="00352538" w:rsidP="00E8301D">
      <w:pPr>
        <w:tabs>
          <w:tab w:val="left" w:pos="1507"/>
        </w:tabs>
        <w:spacing w:line="360" w:lineRule="auto"/>
        <w:ind w:right="234"/>
      </w:pPr>
      <w:r w:rsidRPr="00E8301D">
        <w:rPr>
          <w:rStyle w:val="fontstyle01"/>
          <w:rFonts w:ascii="Times New Roman" w:hAnsi="Times New Roman"/>
          <w:color w:val="auto"/>
        </w:rPr>
        <w:t>REFERENCES</w:t>
      </w:r>
    </w:p>
    <w:p w14:paraId="3B062F20" w14:textId="7D7D19CE"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 xml:space="preserve">Ahir, H., Bloom, N., &amp; </w:t>
      </w:r>
      <w:proofErr w:type="spellStart"/>
      <w:r w:rsidRPr="00ED7F2A">
        <w:rPr>
          <w:lang w:val="en-US"/>
        </w:rPr>
        <w:t>Furceri</w:t>
      </w:r>
      <w:proofErr w:type="spellEnd"/>
      <w:r w:rsidRPr="00ED7F2A">
        <w:rPr>
          <w:lang w:val="en-US"/>
        </w:rPr>
        <w:t>, D. (2022). The world uncertainty index. NBER Working Paper Series, No. 29763.</w:t>
      </w:r>
    </w:p>
    <w:p w14:paraId="095CB5DA" w14:textId="6C9B0166"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Allen, F., Qian, J., &amp; Qian, M. (2005). Law, finance, and economic growth in China. Journal of Financial Economics, 77(1), 57-116.</w:t>
      </w:r>
    </w:p>
    <w:p w14:paraId="0FB2BC1F" w14:textId="404AEC46"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Bharath, S. T., &amp; Shumway, T. (2008). Forecasting default with the Merton distance to default model. The Review of Financial Studies, 21(3), 1339-1369.</w:t>
      </w:r>
    </w:p>
    <w:p w14:paraId="10D86AA0" w14:textId="323CF3A2"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proofErr w:type="spellStart"/>
      <w:r w:rsidRPr="00ED7F2A">
        <w:rPr>
          <w:lang w:val="en-US"/>
        </w:rPr>
        <w:t>Biais</w:t>
      </w:r>
      <w:proofErr w:type="spellEnd"/>
      <w:r w:rsidRPr="00ED7F2A">
        <w:rPr>
          <w:lang w:val="en-US"/>
        </w:rPr>
        <w:t>, B., &amp; Gollier, C. (1997). Trade credit and credit rationing. The Review of Financial Studies, 10(4), 903-937.</w:t>
      </w:r>
    </w:p>
    <w:p w14:paraId="02C750CA" w14:textId="04183B51"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Brandt, L., &amp; Li, H. (2003). Bank discrimination in transition economies: Ideology, information, or incentives? Journal of Comparative Economics, 31(3), 387-413.</w:t>
      </w:r>
    </w:p>
    <w:p w14:paraId="5E97F810" w14:textId="5EDDD696"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Chen, Y., Jiang, J., Liu, J., Liu, X., &amp; Wu, W. (2025). Registration system reform, information environment, and market manipulation. Journal of Corporate Finance, 93, 102797.</w:t>
      </w:r>
    </w:p>
    <w:p w14:paraId="3237160F" w14:textId="77C0B5FC"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Cull, R., &amp; Xu, L. C. (2005). Institutions, ownership, and finance: The determinants of profit reinvestment among Chinese firms. Journal of Financial Economics, 77(1), 117-146.</w:t>
      </w:r>
    </w:p>
    <w:p w14:paraId="2B6FD59B" w14:textId="1B8337B9"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D'Mello, R., &amp; Toscano, F. (2020). Economic policy uncertainty and short-term financing: The case of trade credit. Journal of Corporate Finance, 64, 101686.</w:t>
      </w:r>
    </w:p>
    <w:p w14:paraId="65AE4193" w14:textId="04CEB77B"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lastRenderedPageBreak/>
        <w:t>Fama, E. F., &amp; French, K. R. (1992). The cross-section of expected stock returns. The Journal of Finance, 47(2), 427-465.</w:t>
      </w:r>
    </w:p>
    <w:p w14:paraId="1FE19798" w14:textId="38FE0B1E"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Fisman, R., &amp; Love, I. (2003). Trade credit, financial intermediary development, and industry growth. The Journal of Finance, 58(1), 353-374.</w:t>
      </w:r>
    </w:p>
    <w:p w14:paraId="79C9D36F" w14:textId="4C419CC6"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Flannery, M. J., &amp; Rangan, K. P. (2006). Partial adjustment toward target capital structures. Journal of Financial Economics, 79(3), 469-506.</w:t>
      </w:r>
    </w:p>
    <w:p w14:paraId="68C9CACE" w14:textId="27B2DFFF"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Garcia-Teruel, P. J., &amp; Martinez-Solano, P. (2010). Determinants of trade credit: A comparative study of European SMEs. International Small Business Journal, 28(3), 215-233.</w:t>
      </w:r>
    </w:p>
    <w:p w14:paraId="70097813" w14:textId="140CD254"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proofErr w:type="spellStart"/>
      <w:r w:rsidRPr="00ED7F2A">
        <w:rPr>
          <w:lang w:val="en-US"/>
        </w:rPr>
        <w:t>Ghasemaghaei</w:t>
      </w:r>
      <w:proofErr w:type="spellEnd"/>
      <w:r w:rsidRPr="00ED7F2A">
        <w:rPr>
          <w:lang w:val="en-US"/>
        </w:rPr>
        <w:t xml:space="preserve">, M., &amp; </w:t>
      </w:r>
      <w:proofErr w:type="spellStart"/>
      <w:r w:rsidRPr="00ED7F2A">
        <w:rPr>
          <w:lang w:val="en-US"/>
        </w:rPr>
        <w:t>Calic</w:t>
      </w:r>
      <w:proofErr w:type="spellEnd"/>
      <w:r w:rsidRPr="00ED7F2A">
        <w:rPr>
          <w:lang w:val="en-US"/>
        </w:rPr>
        <w:t>, G. (2019). Does big data enhance firm innovation competency? The mediating role of data-driven insights. Journal of Business Research, 104, 69-84.</w:t>
      </w:r>
    </w:p>
    <w:p w14:paraId="45411F4D" w14:textId="488A9EE6"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Giannetti, M., Burkart, M., &amp; Ellingsen, T. (2011). What you sell is what you lend? Explaining trade credit contracts. The Review of Financial Studies, 24(4), 1261-1298.</w:t>
      </w:r>
    </w:p>
    <w:p w14:paraId="285F187C" w14:textId="2224C54C"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Goldfarb, A., &amp; Tucker, C. (2019). Digital economics. Journal of Economic Literature, 57(1), 3-43.</w:t>
      </w:r>
    </w:p>
    <w:p w14:paraId="6BF14AEF" w14:textId="5D53C315"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Goodman-Bacon, A. (2021). Difference-in-differences with variation in treatment timing. Journal of Econometrics, 225(2), 254-277.</w:t>
      </w:r>
    </w:p>
    <w:p w14:paraId="50615947" w14:textId="7773A879"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 xml:space="preserve">Hassan, T. A., Hollander, S., van Lent, L., &amp; </w:t>
      </w:r>
      <w:proofErr w:type="spellStart"/>
      <w:r w:rsidRPr="00ED7F2A">
        <w:rPr>
          <w:lang w:val="en-US"/>
        </w:rPr>
        <w:t>Tahoun</w:t>
      </w:r>
      <w:proofErr w:type="spellEnd"/>
      <w:r w:rsidRPr="00ED7F2A">
        <w:rPr>
          <w:lang w:val="en-US"/>
        </w:rPr>
        <w:t>, A. (2019). Firm-level political risk: Measurement and effects. The Quarterly Journal of Economics, 134(4), 2135-2202.</w:t>
      </w:r>
    </w:p>
    <w:p w14:paraId="5367AB1D" w14:textId="7144F16D"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Hu, M., Yang, X., Zhu, Y., &amp; Uddin, G. S. (2024). Spillover effect of corporate digitalization in the supply chain: Perspective of trade credit financing. Global Finance Journal, 62, 101009.</w:t>
      </w:r>
    </w:p>
    <w:p w14:paraId="1B8C9D78" w14:textId="4515CF32"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Kim, O., &amp; Verrecchia, R. E. (2001). The relation among disclosure, returns, and trading volume information. The Accounting Review, 76(4), 633-654.</w:t>
      </w:r>
    </w:p>
    <w:p w14:paraId="17993B0D" w14:textId="6A6FACF9"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Li, S., Zhu, Y., &amp; Xu, N. (2025). Computing resources and trade credit financing: Evidence from China. International Review of Economics &amp; Finance, 97, 103780.</w:t>
      </w:r>
    </w:p>
    <w:p w14:paraId="490B95A6" w14:textId="700D1F18"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Liu, G., &amp; Wang, S. (2023). Digital transformation and trade credit provision: Evidence from China. Research in International Business and Finance, 64, 101805.</w:t>
      </w:r>
    </w:p>
    <w:p w14:paraId="21C14008" w14:textId="6623DFC3"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Loughran, T., &amp; McDonald, B. (2011). When is a liability not a liability? Textual analysis, dictionaries, and 10-Ks. The Journal of Finance, 66(1), 35-65.</w:t>
      </w:r>
    </w:p>
    <w:p w14:paraId="6F552C18" w14:textId="20D5EB80"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Petersen, M. A., &amp; Rajan, R. G. (1997). Trade credit: Theories and evidence. The Review of Financial Studies, 10(3), 661-691.</w:t>
      </w:r>
    </w:p>
    <w:p w14:paraId="04CFC2BF" w14:textId="4617A55B"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Stiglitz, J. E., &amp; Weiss, A. (1981). Credit rationing in markets with imperfect information. The American Economic Review, 71(3), 393-410.</w:t>
      </w:r>
    </w:p>
    <w:p w14:paraId="01D2F62E" w14:textId="6522EBC8"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 xml:space="preserve">Tan, Y., Zhu, Z., Zeng, C., &amp; Gao, M. (2014). Does external finance pressure affect corporate disclosure of Chinese non-state-owned enterprises?. International Review of Financial Analysis, 36, </w:t>
      </w:r>
      <w:r w:rsidRPr="00ED7F2A">
        <w:rPr>
          <w:lang w:val="en-US"/>
        </w:rPr>
        <w:lastRenderedPageBreak/>
        <w:t>212-222.</w:t>
      </w:r>
    </w:p>
    <w:p w14:paraId="0EFE23E7" w14:textId="4911E5F8" w:rsidR="00363B11" w:rsidRPr="00ED7F2A" w:rsidRDefault="00716746"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Verburg, R. M., Nienaber, A.-M., Searle, R. H., Weibel, A., Den Hartog, D. N., &amp; Rupp, D. E. (2018). The role of organizational control systems in employees’ organizational trust and performance outcomes. Group &amp; Organization Management, 43(2), 179–206</w:t>
      </w:r>
      <w:r w:rsidR="00363B11" w:rsidRPr="00ED7F2A">
        <w:rPr>
          <w:lang w:val="en-US"/>
        </w:rPr>
        <w:t>.</w:t>
      </w:r>
    </w:p>
    <w:p w14:paraId="067BBC4B" w14:textId="39516D78"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Wu, S., Gong, G., Huang, X., &amp; Tian, H. (2022). The interaction between suppliers and fraudulent customer firms: Evidence from trade credit financing of Chinese listed firms. Journal of Business Ethics, 179(2), 531-550.</w:t>
      </w:r>
    </w:p>
    <w:p w14:paraId="376CFFDC" w14:textId="51B44E3B" w:rsidR="00363B11"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vi-VN"/>
        </w:rPr>
      </w:pPr>
      <w:r w:rsidRPr="00ED7F2A">
        <w:rPr>
          <w:lang w:val="en-US"/>
        </w:rPr>
        <w:t>Zhang, M., Ma, L., Su, J., &amp; Zhang, W. (2014). Do suppliers applaud corporate social performance?. Journal of Business Ethics, 121(4), 543-557.</w:t>
      </w:r>
    </w:p>
    <w:p w14:paraId="3B112044" w14:textId="6BA06FAA" w:rsidR="00E0268D" w:rsidRPr="00ED7F2A" w:rsidRDefault="00363B11" w:rsidP="00ED7F2A">
      <w:pPr>
        <w:pStyle w:val="ListParagraph"/>
        <w:widowControl w:val="0"/>
        <w:numPr>
          <w:ilvl w:val="0"/>
          <w:numId w:val="39"/>
        </w:numPr>
        <w:tabs>
          <w:tab w:val="left" w:pos="1507"/>
        </w:tabs>
        <w:autoSpaceDE w:val="0"/>
        <w:autoSpaceDN w:val="0"/>
        <w:spacing w:line="360" w:lineRule="auto"/>
        <w:ind w:right="234"/>
        <w:rPr>
          <w:lang w:val="en-US"/>
        </w:rPr>
      </w:pPr>
      <w:r w:rsidRPr="00ED7F2A">
        <w:rPr>
          <w:lang w:val="en-US"/>
        </w:rPr>
        <w:t>Zhang, J., Mo, H., Hu, Z., &amp; Zhang, T. (2024). The effect of stability and concentration of upstream and downstream relationships of focal firms on two-level trade credit. International Journal of Production Economics, 270, 109173</w:t>
      </w:r>
    </w:p>
    <w:sectPr w:rsidR="00E0268D" w:rsidRPr="00ED7F2A" w:rsidSect="00352538">
      <w:footerReference w:type="default" r:id="rId12"/>
      <w:pgSz w:w="12240" w:h="15840"/>
      <w:pgMar w:top="780" w:right="360" w:bottom="1200" w:left="1440" w:header="0" w:footer="1015"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2B0276" w14:textId="77777777" w:rsidR="00FC175B" w:rsidRPr="00143861" w:rsidRDefault="00FC175B">
      <w:r w:rsidRPr="00143861">
        <w:separator/>
      </w:r>
    </w:p>
  </w:endnote>
  <w:endnote w:type="continuationSeparator" w:id="0">
    <w:p w14:paraId="4211D8DC" w14:textId="77777777" w:rsidR="00FC175B" w:rsidRPr="00143861" w:rsidRDefault="00FC175B">
      <w:r w:rsidRPr="001438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orkSans-Bold">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E82BA" w14:textId="77777777" w:rsidR="00081BF8" w:rsidRPr="00143861" w:rsidRDefault="00081BF8">
    <w:pPr>
      <w:pStyle w:val="BodyText"/>
      <w:spacing w:line="14" w:lineRule="auto"/>
      <w:ind w:left="0" w:firstLine="0"/>
      <w:jc w:val="left"/>
      <w:rPr>
        <w:sz w:val="20"/>
      </w:rPr>
    </w:pPr>
    <w:r w:rsidRPr="00143861">
      <w:rPr>
        <w:noProof/>
        <w:sz w:val="20"/>
      </w:rPr>
      <mc:AlternateContent>
        <mc:Choice Requires="wps">
          <w:drawing>
            <wp:anchor distT="0" distB="0" distL="0" distR="0" simplePos="0" relativeHeight="251659776" behindDoc="1" locked="0" layoutInCell="1" allowOverlap="1" wp14:anchorId="1357707F" wp14:editId="1C837162">
              <wp:simplePos x="0" y="0"/>
              <wp:positionH relativeFrom="page">
                <wp:posOffset>7020814</wp:posOffset>
              </wp:positionH>
              <wp:positionV relativeFrom="page">
                <wp:posOffset>9274250</wp:posOffset>
              </wp:positionV>
              <wp:extent cx="23241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D733607" w14:textId="2840E29F" w:rsidR="00081BF8" w:rsidRPr="00143861" w:rsidRDefault="00081BF8">
                          <w:pPr>
                            <w:spacing w:line="245" w:lineRule="exact"/>
                            <w:ind w:left="60"/>
                            <w:rPr>
                              <w:rFonts w:ascii="Calibri"/>
                            </w:rPr>
                          </w:pPr>
                          <w:r w:rsidRPr="00143861">
                            <w:rPr>
                              <w:rFonts w:ascii="Calibri"/>
                              <w:spacing w:val="-5"/>
                            </w:rPr>
                            <w:fldChar w:fldCharType="begin"/>
                          </w:r>
                          <w:r w:rsidRPr="00143861">
                            <w:rPr>
                              <w:rFonts w:ascii="Calibri"/>
                              <w:spacing w:val="-5"/>
                            </w:rPr>
                            <w:instrText xml:space="preserve"> PAGE </w:instrText>
                          </w:r>
                          <w:r w:rsidRPr="00143861">
                            <w:rPr>
                              <w:rFonts w:ascii="Calibri"/>
                              <w:spacing w:val="-5"/>
                            </w:rPr>
                            <w:fldChar w:fldCharType="separate"/>
                          </w:r>
                          <w:r w:rsidR="00D00C74">
                            <w:rPr>
                              <w:rFonts w:ascii="Calibri"/>
                              <w:noProof/>
                              <w:spacing w:val="-5"/>
                            </w:rPr>
                            <w:t>24</w:t>
                          </w:r>
                          <w:r w:rsidRPr="00143861">
                            <w:rPr>
                              <w:rFonts w:ascii="Calibri"/>
                              <w:spacing w:val="-5"/>
                            </w:rPr>
                            <w:fldChar w:fldCharType="end"/>
                          </w:r>
                        </w:p>
                      </w:txbxContent>
                    </wps:txbx>
                    <wps:bodyPr wrap="square" lIns="0" tIns="0" rIns="0" bIns="0" rtlCol="0">
                      <a:noAutofit/>
                    </wps:bodyPr>
                  </wps:wsp>
                </a:graphicData>
              </a:graphic>
            </wp:anchor>
          </w:drawing>
        </mc:Choice>
        <mc:Fallback>
          <w:pict>
            <v:shapetype w14:anchorId="1357707F" id="_x0000_t202" coordsize="21600,21600" o:spt="202" path="m,l,21600r21600,l21600,xe">
              <v:stroke joinstyle="miter"/>
              <v:path gradientshapeok="t" o:connecttype="rect"/>
            </v:shapetype>
            <v:shape id="Textbox 32" o:spid="_x0000_s1026" type="#_x0000_t202" style="position:absolute;margin-left:552.8pt;margin-top:730.25pt;width:18.3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" filled="f" stroked="f">
              <v:textbox inset="0,0,0,0">
                <w:txbxContent>
                  <w:p w14:paraId="7D733607" w14:textId="2840E29F" w:rsidR="00081BF8" w:rsidRPr="00143861" w:rsidRDefault="00081BF8">
                    <w:pPr>
                      <w:spacing w:line="245" w:lineRule="exact"/>
                      <w:ind w:left="60"/>
                      <w:rPr>
                        <w:rFonts w:ascii="Calibri"/>
                      </w:rPr>
                    </w:pPr>
                    <w:r w:rsidRPr="00143861">
                      <w:rPr>
                        <w:rFonts w:ascii="Calibri"/>
                        <w:spacing w:val="-5"/>
                      </w:rPr>
                      <w:fldChar w:fldCharType="begin"/>
                    </w:r>
                    <w:r w:rsidRPr="00143861">
                      <w:rPr>
                        <w:rFonts w:ascii="Calibri"/>
                        <w:spacing w:val="-5"/>
                      </w:rPr>
                      <w:instrText xml:space="preserve"> PAGE </w:instrText>
                    </w:r>
                    <w:r w:rsidRPr="00143861">
                      <w:rPr>
                        <w:rFonts w:ascii="Calibri"/>
                        <w:spacing w:val="-5"/>
                      </w:rPr>
                      <w:fldChar w:fldCharType="separate"/>
                    </w:r>
                    <w:r w:rsidR="00D00C74">
                      <w:rPr>
                        <w:rFonts w:ascii="Calibri"/>
                        <w:noProof/>
                        <w:spacing w:val="-5"/>
                      </w:rPr>
                      <w:t>24</w:t>
                    </w:r>
                    <w:r w:rsidRPr="00143861">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5D6AA" w14:textId="77777777" w:rsidR="00FC175B" w:rsidRPr="00143861" w:rsidRDefault="00FC175B">
      <w:r w:rsidRPr="00143861">
        <w:separator/>
      </w:r>
    </w:p>
  </w:footnote>
  <w:footnote w:type="continuationSeparator" w:id="0">
    <w:p w14:paraId="26D39213" w14:textId="77777777" w:rsidR="00FC175B" w:rsidRPr="00143861" w:rsidRDefault="00FC175B">
      <w:r w:rsidRPr="001438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C0380"/>
    <w:multiLevelType w:val="multilevel"/>
    <w:tmpl w:val="EB84C532"/>
    <w:lvl w:ilvl="0">
      <w:start w:val="4"/>
      <w:numFmt w:val="decimal"/>
      <w:lvlText w:val="%1."/>
      <w:lvlJc w:val="left"/>
      <w:pPr>
        <w:ind w:left="540" w:hanging="540"/>
      </w:pPr>
      <w:rPr>
        <w:rFonts w:hint="default"/>
        <w:b/>
      </w:rPr>
    </w:lvl>
    <w:lvl w:ilvl="1">
      <w:start w:val="2"/>
      <w:numFmt w:val="decimal"/>
      <w:lvlText w:val="%1.%2."/>
      <w:lvlJc w:val="left"/>
      <w:pPr>
        <w:ind w:left="753" w:hanging="54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359" w:hanging="72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145" w:hanging="108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2931" w:hanging="1440"/>
      </w:pPr>
      <w:rPr>
        <w:rFonts w:hint="default"/>
        <w:b/>
      </w:rPr>
    </w:lvl>
    <w:lvl w:ilvl="8">
      <w:start w:val="1"/>
      <w:numFmt w:val="decimal"/>
      <w:lvlText w:val="%1.%2.%3.%4.%5.%6.%7.%8.%9."/>
      <w:lvlJc w:val="left"/>
      <w:pPr>
        <w:ind w:left="3504" w:hanging="1800"/>
      </w:pPr>
      <w:rPr>
        <w:rFonts w:hint="default"/>
        <w:b/>
      </w:rPr>
    </w:lvl>
  </w:abstractNum>
  <w:abstractNum w:abstractNumId="1" w15:restartNumberingAfterBreak="0">
    <w:nsid w:val="06702A8B"/>
    <w:multiLevelType w:val="hybridMultilevel"/>
    <w:tmpl w:val="0422F6BA"/>
    <w:lvl w:ilvl="0" w:tplc="7714BB54">
      <w:numFmt w:val="bullet"/>
      <w:lvlText w:val=""/>
      <w:lvlJc w:val="left"/>
      <w:pPr>
        <w:ind w:left="1439" w:hanging="360"/>
      </w:pPr>
      <w:rPr>
        <w:rFonts w:ascii="Times New Roman" w:eastAsia="Times New Roman" w:hAnsi="Times New Roman" w:cs="Times New Roman" w:hint="default"/>
      </w:rPr>
    </w:lvl>
    <w:lvl w:ilvl="1" w:tplc="042A0003" w:tentative="1">
      <w:start w:val="1"/>
      <w:numFmt w:val="bullet"/>
      <w:lvlText w:val="o"/>
      <w:lvlJc w:val="left"/>
      <w:pPr>
        <w:ind w:left="2159" w:hanging="360"/>
      </w:pPr>
      <w:rPr>
        <w:rFonts w:ascii="Courier New" w:hAnsi="Courier New" w:cs="Courier New" w:hint="default"/>
      </w:rPr>
    </w:lvl>
    <w:lvl w:ilvl="2" w:tplc="042A0005" w:tentative="1">
      <w:start w:val="1"/>
      <w:numFmt w:val="bullet"/>
      <w:lvlText w:val=""/>
      <w:lvlJc w:val="left"/>
      <w:pPr>
        <w:ind w:left="2879" w:hanging="360"/>
      </w:pPr>
      <w:rPr>
        <w:rFonts w:ascii="Wingdings" w:hAnsi="Wingdings" w:hint="default"/>
      </w:rPr>
    </w:lvl>
    <w:lvl w:ilvl="3" w:tplc="042A0001" w:tentative="1">
      <w:start w:val="1"/>
      <w:numFmt w:val="bullet"/>
      <w:lvlText w:val=""/>
      <w:lvlJc w:val="left"/>
      <w:pPr>
        <w:ind w:left="3599" w:hanging="360"/>
      </w:pPr>
      <w:rPr>
        <w:rFonts w:ascii="Symbol" w:hAnsi="Symbol" w:hint="default"/>
      </w:rPr>
    </w:lvl>
    <w:lvl w:ilvl="4" w:tplc="042A0003" w:tentative="1">
      <w:start w:val="1"/>
      <w:numFmt w:val="bullet"/>
      <w:lvlText w:val="o"/>
      <w:lvlJc w:val="left"/>
      <w:pPr>
        <w:ind w:left="4319" w:hanging="360"/>
      </w:pPr>
      <w:rPr>
        <w:rFonts w:ascii="Courier New" w:hAnsi="Courier New" w:cs="Courier New" w:hint="default"/>
      </w:rPr>
    </w:lvl>
    <w:lvl w:ilvl="5" w:tplc="042A0005" w:tentative="1">
      <w:start w:val="1"/>
      <w:numFmt w:val="bullet"/>
      <w:lvlText w:val=""/>
      <w:lvlJc w:val="left"/>
      <w:pPr>
        <w:ind w:left="5039" w:hanging="360"/>
      </w:pPr>
      <w:rPr>
        <w:rFonts w:ascii="Wingdings" w:hAnsi="Wingdings" w:hint="default"/>
      </w:rPr>
    </w:lvl>
    <w:lvl w:ilvl="6" w:tplc="042A0001" w:tentative="1">
      <w:start w:val="1"/>
      <w:numFmt w:val="bullet"/>
      <w:lvlText w:val=""/>
      <w:lvlJc w:val="left"/>
      <w:pPr>
        <w:ind w:left="5759" w:hanging="360"/>
      </w:pPr>
      <w:rPr>
        <w:rFonts w:ascii="Symbol" w:hAnsi="Symbol" w:hint="default"/>
      </w:rPr>
    </w:lvl>
    <w:lvl w:ilvl="7" w:tplc="042A0003" w:tentative="1">
      <w:start w:val="1"/>
      <w:numFmt w:val="bullet"/>
      <w:lvlText w:val="o"/>
      <w:lvlJc w:val="left"/>
      <w:pPr>
        <w:ind w:left="6479" w:hanging="360"/>
      </w:pPr>
      <w:rPr>
        <w:rFonts w:ascii="Courier New" w:hAnsi="Courier New" w:cs="Courier New" w:hint="default"/>
      </w:rPr>
    </w:lvl>
    <w:lvl w:ilvl="8" w:tplc="042A0005" w:tentative="1">
      <w:start w:val="1"/>
      <w:numFmt w:val="bullet"/>
      <w:lvlText w:val=""/>
      <w:lvlJc w:val="left"/>
      <w:pPr>
        <w:ind w:left="7199" w:hanging="360"/>
      </w:pPr>
      <w:rPr>
        <w:rFonts w:ascii="Wingdings" w:hAnsi="Wingdings" w:hint="default"/>
      </w:rPr>
    </w:lvl>
  </w:abstractNum>
  <w:abstractNum w:abstractNumId="2" w15:restartNumberingAfterBreak="0">
    <w:nsid w:val="08607552"/>
    <w:multiLevelType w:val="multilevel"/>
    <w:tmpl w:val="126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46E5F"/>
    <w:multiLevelType w:val="multilevel"/>
    <w:tmpl w:val="19B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77741"/>
    <w:multiLevelType w:val="multilevel"/>
    <w:tmpl w:val="741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74E59"/>
    <w:multiLevelType w:val="multilevel"/>
    <w:tmpl w:val="F91C3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4415B6"/>
    <w:multiLevelType w:val="hybridMultilevel"/>
    <w:tmpl w:val="13DAE1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69506B2"/>
    <w:multiLevelType w:val="multilevel"/>
    <w:tmpl w:val="C0F8747C"/>
    <w:lvl w:ilvl="0">
      <w:start w:val="6"/>
      <w:numFmt w:val="decimal"/>
      <w:lvlText w:val="%1."/>
      <w:lvlJc w:val="left"/>
      <w:pPr>
        <w:ind w:left="643" w:hanging="284"/>
      </w:pPr>
      <w:rPr>
        <w:rFonts w:hint="default"/>
        <w:i w:val="0"/>
        <w:iCs/>
        <w:spacing w:val="0"/>
        <w:w w:val="100"/>
      </w:rPr>
    </w:lvl>
    <w:lvl w:ilvl="1">
      <w:start w:val="1"/>
      <w:numFmt w:val="decimal"/>
      <w:lvlText w:val="%1.%2."/>
      <w:lvlJc w:val="left"/>
      <w:pPr>
        <w:ind w:left="4673" w:hanging="420"/>
      </w:pPr>
      <w:rPr>
        <w:rFonts w:hint="default"/>
        <w:color w:val="FF0000"/>
        <w:spacing w:val="0"/>
        <w:w w:val="100"/>
      </w:rPr>
    </w:lvl>
    <w:lvl w:ilvl="2">
      <w:start w:val="1"/>
      <w:numFmt w:val="decimal"/>
      <w:lvlText w:val="%1.%2.%3."/>
      <w:lvlJc w:val="left"/>
      <w:pPr>
        <w:ind w:left="1066" w:hanging="4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60" w:hanging="420"/>
      </w:pPr>
      <w:rPr>
        <w:rFonts w:hint="default"/>
      </w:rPr>
    </w:lvl>
    <w:lvl w:ilvl="4">
      <w:numFmt w:val="bullet"/>
      <w:lvlText w:val="•"/>
      <w:lvlJc w:val="left"/>
      <w:pPr>
        <w:ind w:left="1500" w:hanging="420"/>
      </w:pPr>
      <w:rPr>
        <w:rFonts w:hint="default"/>
      </w:rPr>
    </w:lvl>
    <w:lvl w:ilvl="5">
      <w:numFmt w:val="bullet"/>
      <w:lvlText w:val="•"/>
      <w:lvlJc w:val="left"/>
      <w:pPr>
        <w:ind w:left="2990" w:hanging="420"/>
      </w:pPr>
      <w:rPr>
        <w:rFonts w:hint="default"/>
      </w:rPr>
    </w:lvl>
    <w:lvl w:ilvl="6">
      <w:numFmt w:val="bullet"/>
      <w:lvlText w:val="•"/>
      <w:lvlJc w:val="left"/>
      <w:pPr>
        <w:ind w:left="4480" w:hanging="420"/>
      </w:pPr>
      <w:rPr>
        <w:rFonts w:hint="default"/>
      </w:rPr>
    </w:lvl>
    <w:lvl w:ilvl="7">
      <w:numFmt w:val="bullet"/>
      <w:lvlText w:val="•"/>
      <w:lvlJc w:val="left"/>
      <w:pPr>
        <w:ind w:left="5970" w:hanging="420"/>
      </w:pPr>
      <w:rPr>
        <w:rFonts w:hint="default"/>
      </w:rPr>
    </w:lvl>
    <w:lvl w:ilvl="8">
      <w:numFmt w:val="bullet"/>
      <w:lvlText w:val="•"/>
      <w:lvlJc w:val="left"/>
      <w:pPr>
        <w:ind w:left="7460" w:hanging="420"/>
      </w:pPr>
      <w:rPr>
        <w:rFonts w:hint="default"/>
      </w:rPr>
    </w:lvl>
  </w:abstractNum>
  <w:abstractNum w:abstractNumId="8" w15:restartNumberingAfterBreak="0">
    <w:nsid w:val="18A7003C"/>
    <w:multiLevelType w:val="hybridMultilevel"/>
    <w:tmpl w:val="1BFE256E"/>
    <w:lvl w:ilvl="0" w:tplc="2FC89AE8">
      <w:numFmt w:val="bullet"/>
      <w:lvlText w:val=""/>
      <w:lvlJc w:val="left"/>
      <w:pPr>
        <w:ind w:left="760" w:hanging="4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B65A1"/>
    <w:multiLevelType w:val="hybridMultilevel"/>
    <w:tmpl w:val="FC7491C0"/>
    <w:lvl w:ilvl="0" w:tplc="F50EB068">
      <w:numFmt w:val="bullet"/>
      <w:lvlText w:val="-"/>
      <w:lvlJc w:val="left"/>
      <w:pPr>
        <w:ind w:left="551" w:hanging="360"/>
      </w:pPr>
      <w:rPr>
        <w:rFonts w:ascii="Times New Roman" w:eastAsia="Times New Roman" w:hAnsi="Times New Roman" w:cs="Times New Roman" w:hint="default"/>
      </w:rPr>
    </w:lvl>
    <w:lvl w:ilvl="1" w:tplc="042A0003" w:tentative="1">
      <w:start w:val="1"/>
      <w:numFmt w:val="bullet"/>
      <w:lvlText w:val="o"/>
      <w:lvlJc w:val="left"/>
      <w:pPr>
        <w:ind w:left="1271" w:hanging="360"/>
      </w:pPr>
      <w:rPr>
        <w:rFonts w:ascii="Courier New" w:hAnsi="Courier New" w:cs="Courier New" w:hint="default"/>
      </w:rPr>
    </w:lvl>
    <w:lvl w:ilvl="2" w:tplc="042A0005" w:tentative="1">
      <w:start w:val="1"/>
      <w:numFmt w:val="bullet"/>
      <w:lvlText w:val=""/>
      <w:lvlJc w:val="left"/>
      <w:pPr>
        <w:ind w:left="1991" w:hanging="360"/>
      </w:pPr>
      <w:rPr>
        <w:rFonts w:ascii="Wingdings" w:hAnsi="Wingdings" w:hint="default"/>
      </w:rPr>
    </w:lvl>
    <w:lvl w:ilvl="3" w:tplc="042A0001" w:tentative="1">
      <w:start w:val="1"/>
      <w:numFmt w:val="bullet"/>
      <w:lvlText w:val=""/>
      <w:lvlJc w:val="left"/>
      <w:pPr>
        <w:ind w:left="2711" w:hanging="360"/>
      </w:pPr>
      <w:rPr>
        <w:rFonts w:ascii="Symbol" w:hAnsi="Symbol" w:hint="default"/>
      </w:rPr>
    </w:lvl>
    <w:lvl w:ilvl="4" w:tplc="042A0003" w:tentative="1">
      <w:start w:val="1"/>
      <w:numFmt w:val="bullet"/>
      <w:lvlText w:val="o"/>
      <w:lvlJc w:val="left"/>
      <w:pPr>
        <w:ind w:left="3431" w:hanging="360"/>
      </w:pPr>
      <w:rPr>
        <w:rFonts w:ascii="Courier New" w:hAnsi="Courier New" w:cs="Courier New" w:hint="default"/>
      </w:rPr>
    </w:lvl>
    <w:lvl w:ilvl="5" w:tplc="042A0005" w:tentative="1">
      <w:start w:val="1"/>
      <w:numFmt w:val="bullet"/>
      <w:lvlText w:val=""/>
      <w:lvlJc w:val="left"/>
      <w:pPr>
        <w:ind w:left="4151" w:hanging="360"/>
      </w:pPr>
      <w:rPr>
        <w:rFonts w:ascii="Wingdings" w:hAnsi="Wingdings" w:hint="default"/>
      </w:rPr>
    </w:lvl>
    <w:lvl w:ilvl="6" w:tplc="042A0001" w:tentative="1">
      <w:start w:val="1"/>
      <w:numFmt w:val="bullet"/>
      <w:lvlText w:val=""/>
      <w:lvlJc w:val="left"/>
      <w:pPr>
        <w:ind w:left="4871" w:hanging="360"/>
      </w:pPr>
      <w:rPr>
        <w:rFonts w:ascii="Symbol" w:hAnsi="Symbol" w:hint="default"/>
      </w:rPr>
    </w:lvl>
    <w:lvl w:ilvl="7" w:tplc="042A0003" w:tentative="1">
      <w:start w:val="1"/>
      <w:numFmt w:val="bullet"/>
      <w:lvlText w:val="o"/>
      <w:lvlJc w:val="left"/>
      <w:pPr>
        <w:ind w:left="5591" w:hanging="360"/>
      </w:pPr>
      <w:rPr>
        <w:rFonts w:ascii="Courier New" w:hAnsi="Courier New" w:cs="Courier New" w:hint="default"/>
      </w:rPr>
    </w:lvl>
    <w:lvl w:ilvl="8" w:tplc="042A0005" w:tentative="1">
      <w:start w:val="1"/>
      <w:numFmt w:val="bullet"/>
      <w:lvlText w:val=""/>
      <w:lvlJc w:val="left"/>
      <w:pPr>
        <w:ind w:left="6311" w:hanging="360"/>
      </w:pPr>
      <w:rPr>
        <w:rFonts w:ascii="Wingdings" w:hAnsi="Wingdings" w:hint="default"/>
      </w:rPr>
    </w:lvl>
  </w:abstractNum>
  <w:abstractNum w:abstractNumId="10" w15:restartNumberingAfterBreak="0">
    <w:nsid w:val="1D341807"/>
    <w:multiLevelType w:val="multilevel"/>
    <w:tmpl w:val="D29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33296"/>
    <w:multiLevelType w:val="multilevel"/>
    <w:tmpl w:val="E32A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B2F31"/>
    <w:multiLevelType w:val="multilevel"/>
    <w:tmpl w:val="09D0E30C"/>
    <w:lvl w:ilvl="0">
      <w:start w:val="3"/>
      <w:numFmt w:val="decimal"/>
      <w:lvlText w:val="%1."/>
      <w:lvlJc w:val="left"/>
      <w:pPr>
        <w:ind w:left="643" w:hanging="284"/>
        <w:jc w:val="right"/>
      </w:pPr>
      <w:rPr>
        <w:rFonts w:hint="default"/>
        <w:i w:val="0"/>
        <w:iCs/>
        <w:spacing w:val="0"/>
        <w:w w:val="100"/>
        <w:lang w:val="vi" w:eastAsia="en-US" w:bidi="ar-SA"/>
      </w:rPr>
    </w:lvl>
    <w:lvl w:ilvl="1">
      <w:start w:val="1"/>
      <w:numFmt w:val="decimal"/>
      <w:lvlText w:val="%1.%2."/>
      <w:lvlJc w:val="left"/>
      <w:pPr>
        <w:ind w:left="4673" w:hanging="420"/>
      </w:pPr>
      <w:rPr>
        <w:rFonts w:hint="default"/>
        <w:color w:val="FF0000"/>
        <w:spacing w:val="0"/>
        <w:w w:val="100"/>
        <w:lang w:val="vi" w:eastAsia="en-US" w:bidi="ar-SA"/>
      </w:rPr>
    </w:lvl>
    <w:lvl w:ilvl="2">
      <w:start w:val="1"/>
      <w:numFmt w:val="decimal"/>
      <w:lvlText w:val="%1.%2.%3."/>
      <w:lvlJc w:val="left"/>
      <w:pPr>
        <w:ind w:left="1066" w:hanging="420"/>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1060" w:hanging="420"/>
      </w:pPr>
      <w:rPr>
        <w:rFonts w:hint="default"/>
        <w:lang w:val="vi" w:eastAsia="en-US" w:bidi="ar-SA"/>
      </w:rPr>
    </w:lvl>
    <w:lvl w:ilvl="4">
      <w:numFmt w:val="bullet"/>
      <w:lvlText w:val="•"/>
      <w:lvlJc w:val="left"/>
      <w:pPr>
        <w:ind w:left="1500" w:hanging="420"/>
      </w:pPr>
      <w:rPr>
        <w:rFonts w:hint="default"/>
        <w:lang w:val="vi" w:eastAsia="en-US" w:bidi="ar-SA"/>
      </w:rPr>
    </w:lvl>
    <w:lvl w:ilvl="5">
      <w:numFmt w:val="bullet"/>
      <w:lvlText w:val="•"/>
      <w:lvlJc w:val="left"/>
      <w:pPr>
        <w:ind w:left="2990" w:hanging="420"/>
      </w:pPr>
      <w:rPr>
        <w:rFonts w:hint="default"/>
        <w:lang w:val="vi" w:eastAsia="en-US" w:bidi="ar-SA"/>
      </w:rPr>
    </w:lvl>
    <w:lvl w:ilvl="6">
      <w:numFmt w:val="bullet"/>
      <w:lvlText w:val="•"/>
      <w:lvlJc w:val="left"/>
      <w:pPr>
        <w:ind w:left="4480" w:hanging="420"/>
      </w:pPr>
      <w:rPr>
        <w:rFonts w:hint="default"/>
        <w:lang w:val="vi" w:eastAsia="en-US" w:bidi="ar-SA"/>
      </w:rPr>
    </w:lvl>
    <w:lvl w:ilvl="7">
      <w:numFmt w:val="bullet"/>
      <w:lvlText w:val="•"/>
      <w:lvlJc w:val="left"/>
      <w:pPr>
        <w:ind w:left="5970" w:hanging="420"/>
      </w:pPr>
      <w:rPr>
        <w:rFonts w:hint="default"/>
        <w:lang w:val="vi" w:eastAsia="en-US" w:bidi="ar-SA"/>
      </w:rPr>
    </w:lvl>
    <w:lvl w:ilvl="8">
      <w:numFmt w:val="bullet"/>
      <w:lvlText w:val="•"/>
      <w:lvlJc w:val="left"/>
      <w:pPr>
        <w:ind w:left="7460" w:hanging="420"/>
      </w:pPr>
      <w:rPr>
        <w:rFonts w:hint="default"/>
        <w:lang w:val="vi" w:eastAsia="en-US" w:bidi="ar-SA"/>
      </w:rPr>
    </w:lvl>
  </w:abstractNum>
  <w:abstractNum w:abstractNumId="13" w15:restartNumberingAfterBreak="0">
    <w:nsid w:val="283B0ED0"/>
    <w:multiLevelType w:val="hybridMultilevel"/>
    <w:tmpl w:val="ED300F8E"/>
    <w:lvl w:ilvl="0" w:tplc="37B48630">
      <w:start w:val="1"/>
      <w:numFmt w:val="decimal"/>
      <w:lvlText w:val="%1."/>
      <w:lvlJc w:val="left"/>
      <w:pPr>
        <w:ind w:left="1507" w:hanging="428"/>
      </w:pPr>
      <w:rPr>
        <w:rFonts w:ascii="Times New Roman" w:eastAsia="Times New Roman" w:hAnsi="Times New Roman" w:cs="Times New Roman" w:hint="default"/>
        <w:b w:val="0"/>
        <w:bCs w:val="0"/>
        <w:i w:val="0"/>
        <w:iCs w:val="0"/>
        <w:spacing w:val="0"/>
        <w:w w:val="100"/>
        <w:sz w:val="24"/>
        <w:szCs w:val="24"/>
        <w:lang w:val="vi" w:eastAsia="en-US" w:bidi="ar-SA"/>
      </w:rPr>
    </w:lvl>
    <w:lvl w:ilvl="1" w:tplc="6274922C">
      <w:numFmt w:val="bullet"/>
      <w:lvlText w:val="•"/>
      <w:lvlJc w:val="left"/>
      <w:pPr>
        <w:ind w:left="2502" w:hanging="428"/>
      </w:pPr>
      <w:rPr>
        <w:rFonts w:hint="default"/>
        <w:lang w:val="vi" w:eastAsia="en-US" w:bidi="ar-SA"/>
      </w:rPr>
    </w:lvl>
    <w:lvl w:ilvl="2" w:tplc="4D88BE7C">
      <w:numFmt w:val="bullet"/>
      <w:lvlText w:val="•"/>
      <w:lvlJc w:val="left"/>
      <w:pPr>
        <w:ind w:left="3504" w:hanging="428"/>
      </w:pPr>
      <w:rPr>
        <w:rFonts w:hint="default"/>
        <w:lang w:val="vi" w:eastAsia="en-US" w:bidi="ar-SA"/>
      </w:rPr>
    </w:lvl>
    <w:lvl w:ilvl="3" w:tplc="19564B9C">
      <w:numFmt w:val="bullet"/>
      <w:lvlText w:val="•"/>
      <w:lvlJc w:val="left"/>
      <w:pPr>
        <w:ind w:left="4506" w:hanging="428"/>
      </w:pPr>
      <w:rPr>
        <w:rFonts w:hint="default"/>
        <w:lang w:val="vi" w:eastAsia="en-US" w:bidi="ar-SA"/>
      </w:rPr>
    </w:lvl>
    <w:lvl w:ilvl="4" w:tplc="0FE8885C">
      <w:numFmt w:val="bullet"/>
      <w:lvlText w:val="•"/>
      <w:lvlJc w:val="left"/>
      <w:pPr>
        <w:ind w:left="5508" w:hanging="428"/>
      </w:pPr>
      <w:rPr>
        <w:rFonts w:hint="default"/>
        <w:lang w:val="vi" w:eastAsia="en-US" w:bidi="ar-SA"/>
      </w:rPr>
    </w:lvl>
    <w:lvl w:ilvl="5" w:tplc="9774C39E">
      <w:numFmt w:val="bullet"/>
      <w:lvlText w:val="•"/>
      <w:lvlJc w:val="left"/>
      <w:pPr>
        <w:ind w:left="6510" w:hanging="428"/>
      </w:pPr>
      <w:rPr>
        <w:rFonts w:hint="default"/>
        <w:lang w:val="vi" w:eastAsia="en-US" w:bidi="ar-SA"/>
      </w:rPr>
    </w:lvl>
    <w:lvl w:ilvl="6" w:tplc="200828C4">
      <w:numFmt w:val="bullet"/>
      <w:lvlText w:val="•"/>
      <w:lvlJc w:val="left"/>
      <w:pPr>
        <w:ind w:left="7512" w:hanging="428"/>
      </w:pPr>
      <w:rPr>
        <w:rFonts w:hint="default"/>
        <w:lang w:val="vi" w:eastAsia="en-US" w:bidi="ar-SA"/>
      </w:rPr>
    </w:lvl>
    <w:lvl w:ilvl="7" w:tplc="72B40492">
      <w:numFmt w:val="bullet"/>
      <w:lvlText w:val="•"/>
      <w:lvlJc w:val="left"/>
      <w:pPr>
        <w:ind w:left="8514" w:hanging="428"/>
      </w:pPr>
      <w:rPr>
        <w:rFonts w:hint="default"/>
        <w:lang w:val="vi" w:eastAsia="en-US" w:bidi="ar-SA"/>
      </w:rPr>
    </w:lvl>
    <w:lvl w:ilvl="8" w:tplc="A5EE2946">
      <w:numFmt w:val="bullet"/>
      <w:lvlText w:val="•"/>
      <w:lvlJc w:val="left"/>
      <w:pPr>
        <w:ind w:left="9516" w:hanging="428"/>
      </w:pPr>
      <w:rPr>
        <w:rFonts w:hint="default"/>
        <w:lang w:val="vi" w:eastAsia="en-US" w:bidi="ar-SA"/>
      </w:rPr>
    </w:lvl>
  </w:abstractNum>
  <w:abstractNum w:abstractNumId="14" w15:restartNumberingAfterBreak="0">
    <w:nsid w:val="28A87147"/>
    <w:multiLevelType w:val="multilevel"/>
    <w:tmpl w:val="247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C7C4D"/>
    <w:multiLevelType w:val="multilevel"/>
    <w:tmpl w:val="DE1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01F7F"/>
    <w:multiLevelType w:val="hybridMultilevel"/>
    <w:tmpl w:val="F724E20E"/>
    <w:lvl w:ilvl="0" w:tplc="C952C64C">
      <w:numFmt w:val="bullet"/>
      <w:lvlText w:val="&gt;"/>
      <w:lvlJc w:val="left"/>
      <w:pPr>
        <w:ind w:left="364" w:hanging="360"/>
      </w:pPr>
      <w:rPr>
        <w:rFonts w:ascii="Times New Roman" w:eastAsia="Times New Roman" w:hAnsi="Times New Roman" w:cs="Times New Roman" w:hint="default"/>
      </w:rPr>
    </w:lvl>
    <w:lvl w:ilvl="1" w:tplc="042A0003">
      <w:start w:val="1"/>
      <w:numFmt w:val="bullet"/>
      <w:lvlText w:val="o"/>
      <w:lvlJc w:val="left"/>
      <w:pPr>
        <w:ind w:left="1084" w:hanging="360"/>
      </w:pPr>
      <w:rPr>
        <w:rFonts w:ascii="Courier New" w:hAnsi="Courier New" w:cs="Courier New" w:hint="default"/>
      </w:rPr>
    </w:lvl>
    <w:lvl w:ilvl="2" w:tplc="042A0005">
      <w:start w:val="1"/>
      <w:numFmt w:val="bullet"/>
      <w:lvlText w:val=""/>
      <w:lvlJc w:val="left"/>
      <w:pPr>
        <w:ind w:left="1804" w:hanging="360"/>
      </w:pPr>
      <w:rPr>
        <w:rFonts w:ascii="Wingdings" w:hAnsi="Wingdings" w:hint="default"/>
      </w:rPr>
    </w:lvl>
    <w:lvl w:ilvl="3" w:tplc="042A0001" w:tentative="1">
      <w:start w:val="1"/>
      <w:numFmt w:val="bullet"/>
      <w:lvlText w:val=""/>
      <w:lvlJc w:val="left"/>
      <w:pPr>
        <w:ind w:left="2524" w:hanging="360"/>
      </w:pPr>
      <w:rPr>
        <w:rFonts w:ascii="Symbol" w:hAnsi="Symbol" w:hint="default"/>
      </w:rPr>
    </w:lvl>
    <w:lvl w:ilvl="4" w:tplc="042A0003" w:tentative="1">
      <w:start w:val="1"/>
      <w:numFmt w:val="bullet"/>
      <w:lvlText w:val="o"/>
      <w:lvlJc w:val="left"/>
      <w:pPr>
        <w:ind w:left="3244" w:hanging="360"/>
      </w:pPr>
      <w:rPr>
        <w:rFonts w:ascii="Courier New" w:hAnsi="Courier New" w:cs="Courier New" w:hint="default"/>
      </w:rPr>
    </w:lvl>
    <w:lvl w:ilvl="5" w:tplc="042A0005" w:tentative="1">
      <w:start w:val="1"/>
      <w:numFmt w:val="bullet"/>
      <w:lvlText w:val=""/>
      <w:lvlJc w:val="left"/>
      <w:pPr>
        <w:ind w:left="3964" w:hanging="360"/>
      </w:pPr>
      <w:rPr>
        <w:rFonts w:ascii="Wingdings" w:hAnsi="Wingdings" w:hint="default"/>
      </w:rPr>
    </w:lvl>
    <w:lvl w:ilvl="6" w:tplc="042A0001" w:tentative="1">
      <w:start w:val="1"/>
      <w:numFmt w:val="bullet"/>
      <w:lvlText w:val=""/>
      <w:lvlJc w:val="left"/>
      <w:pPr>
        <w:ind w:left="4684" w:hanging="360"/>
      </w:pPr>
      <w:rPr>
        <w:rFonts w:ascii="Symbol" w:hAnsi="Symbol" w:hint="default"/>
      </w:rPr>
    </w:lvl>
    <w:lvl w:ilvl="7" w:tplc="042A0003" w:tentative="1">
      <w:start w:val="1"/>
      <w:numFmt w:val="bullet"/>
      <w:lvlText w:val="o"/>
      <w:lvlJc w:val="left"/>
      <w:pPr>
        <w:ind w:left="5404" w:hanging="360"/>
      </w:pPr>
      <w:rPr>
        <w:rFonts w:ascii="Courier New" w:hAnsi="Courier New" w:cs="Courier New" w:hint="default"/>
      </w:rPr>
    </w:lvl>
    <w:lvl w:ilvl="8" w:tplc="042A0005" w:tentative="1">
      <w:start w:val="1"/>
      <w:numFmt w:val="bullet"/>
      <w:lvlText w:val=""/>
      <w:lvlJc w:val="left"/>
      <w:pPr>
        <w:ind w:left="6124" w:hanging="360"/>
      </w:pPr>
      <w:rPr>
        <w:rFonts w:ascii="Wingdings" w:hAnsi="Wingdings" w:hint="default"/>
      </w:rPr>
    </w:lvl>
  </w:abstractNum>
  <w:abstractNum w:abstractNumId="17" w15:restartNumberingAfterBreak="0">
    <w:nsid w:val="2F29694F"/>
    <w:multiLevelType w:val="hybridMultilevel"/>
    <w:tmpl w:val="91B09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62BFB"/>
    <w:multiLevelType w:val="multilevel"/>
    <w:tmpl w:val="0634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42685"/>
    <w:multiLevelType w:val="multilevel"/>
    <w:tmpl w:val="D28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9250A"/>
    <w:multiLevelType w:val="multilevel"/>
    <w:tmpl w:val="C6A0899C"/>
    <w:lvl w:ilvl="0">
      <w:start w:val="3"/>
      <w:numFmt w:val="decimal"/>
      <w:lvlText w:val="%1."/>
      <w:lvlJc w:val="left"/>
      <w:pPr>
        <w:ind w:left="643" w:hanging="284"/>
        <w:jc w:val="right"/>
      </w:pPr>
      <w:rPr>
        <w:rFonts w:hint="default"/>
        <w:spacing w:val="0"/>
        <w:w w:val="100"/>
        <w:lang w:val="vi" w:eastAsia="en-US" w:bidi="ar-SA"/>
      </w:rPr>
    </w:lvl>
    <w:lvl w:ilvl="1">
      <w:start w:val="1"/>
      <w:numFmt w:val="decimal"/>
      <w:lvlText w:val="%1.%2."/>
      <w:lvlJc w:val="left"/>
      <w:pPr>
        <w:ind w:left="1500" w:hanging="420"/>
      </w:pPr>
      <w:rPr>
        <w:rFonts w:hint="default"/>
        <w:color w:val="FF0000"/>
        <w:spacing w:val="0"/>
        <w:w w:val="100"/>
        <w:lang w:val="vi" w:eastAsia="en-US" w:bidi="ar-SA"/>
      </w:rPr>
    </w:lvl>
    <w:lvl w:ilvl="2">
      <w:start w:val="1"/>
      <w:numFmt w:val="decimal"/>
      <w:lvlText w:val="%1.%2.%3."/>
      <w:lvlJc w:val="left"/>
      <w:pPr>
        <w:ind w:left="1066" w:hanging="420"/>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1060" w:hanging="420"/>
      </w:pPr>
      <w:rPr>
        <w:rFonts w:hint="default"/>
        <w:lang w:val="vi" w:eastAsia="en-US" w:bidi="ar-SA"/>
      </w:rPr>
    </w:lvl>
    <w:lvl w:ilvl="4">
      <w:numFmt w:val="bullet"/>
      <w:lvlText w:val="•"/>
      <w:lvlJc w:val="left"/>
      <w:pPr>
        <w:ind w:left="1500" w:hanging="420"/>
      </w:pPr>
      <w:rPr>
        <w:rFonts w:hint="default"/>
        <w:lang w:val="vi" w:eastAsia="en-US" w:bidi="ar-SA"/>
      </w:rPr>
    </w:lvl>
    <w:lvl w:ilvl="5">
      <w:numFmt w:val="bullet"/>
      <w:lvlText w:val="•"/>
      <w:lvlJc w:val="left"/>
      <w:pPr>
        <w:ind w:left="2990" w:hanging="420"/>
      </w:pPr>
      <w:rPr>
        <w:rFonts w:hint="default"/>
        <w:lang w:val="vi" w:eastAsia="en-US" w:bidi="ar-SA"/>
      </w:rPr>
    </w:lvl>
    <w:lvl w:ilvl="6">
      <w:numFmt w:val="bullet"/>
      <w:lvlText w:val="•"/>
      <w:lvlJc w:val="left"/>
      <w:pPr>
        <w:ind w:left="4480" w:hanging="420"/>
      </w:pPr>
      <w:rPr>
        <w:rFonts w:hint="default"/>
        <w:lang w:val="vi" w:eastAsia="en-US" w:bidi="ar-SA"/>
      </w:rPr>
    </w:lvl>
    <w:lvl w:ilvl="7">
      <w:numFmt w:val="bullet"/>
      <w:lvlText w:val="•"/>
      <w:lvlJc w:val="left"/>
      <w:pPr>
        <w:ind w:left="5970" w:hanging="420"/>
      </w:pPr>
      <w:rPr>
        <w:rFonts w:hint="default"/>
        <w:lang w:val="vi" w:eastAsia="en-US" w:bidi="ar-SA"/>
      </w:rPr>
    </w:lvl>
    <w:lvl w:ilvl="8">
      <w:numFmt w:val="bullet"/>
      <w:lvlText w:val="•"/>
      <w:lvlJc w:val="left"/>
      <w:pPr>
        <w:ind w:left="7460" w:hanging="420"/>
      </w:pPr>
      <w:rPr>
        <w:rFonts w:hint="default"/>
        <w:lang w:val="vi" w:eastAsia="en-US" w:bidi="ar-SA"/>
      </w:rPr>
    </w:lvl>
  </w:abstractNum>
  <w:abstractNum w:abstractNumId="21" w15:restartNumberingAfterBreak="0">
    <w:nsid w:val="44692623"/>
    <w:multiLevelType w:val="multilevel"/>
    <w:tmpl w:val="9854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84FAC"/>
    <w:multiLevelType w:val="multilevel"/>
    <w:tmpl w:val="C6A0899C"/>
    <w:lvl w:ilvl="0">
      <w:start w:val="3"/>
      <w:numFmt w:val="decimal"/>
      <w:lvlText w:val="%1."/>
      <w:lvlJc w:val="left"/>
      <w:pPr>
        <w:ind w:left="643" w:hanging="284"/>
        <w:jc w:val="right"/>
      </w:pPr>
      <w:rPr>
        <w:rFonts w:hint="default"/>
        <w:spacing w:val="0"/>
        <w:w w:val="100"/>
        <w:lang w:val="vi" w:eastAsia="en-US" w:bidi="ar-SA"/>
      </w:rPr>
    </w:lvl>
    <w:lvl w:ilvl="1">
      <w:start w:val="1"/>
      <w:numFmt w:val="decimal"/>
      <w:lvlText w:val="%1.%2."/>
      <w:lvlJc w:val="left"/>
      <w:pPr>
        <w:ind w:left="4673" w:hanging="420"/>
      </w:pPr>
      <w:rPr>
        <w:rFonts w:hint="default"/>
        <w:color w:val="FF0000"/>
        <w:spacing w:val="0"/>
        <w:w w:val="100"/>
        <w:lang w:val="vi" w:eastAsia="en-US" w:bidi="ar-SA"/>
      </w:rPr>
    </w:lvl>
    <w:lvl w:ilvl="2">
      <w:start w:val="1"/>
      <w:numFmt w:val="decimal"/>
      <w:lvlText w:val="%1.%2.%3."/>
      <w:lvlJc w:val="left"/>
      <w:pPr>
        <w:ind w:left="1066" w:hanging="420"/>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1060" w:hanging="420"/>
      </w:pPr>
      <w:rPr>
        <w:rFonts w:hint="default"/>
        <w:lang w:val="vi" w:eastAsia="en-US" w:bidi="ar-SA"/>
      </w:rPr>
    </w:lvl>
    <w:lvl w:ilvl="4">
      <w:numFmt w:val="bullet"/>
      <w:lvlText w:val="•"/>
      <w:lvlJc w:val="left"/>
      <w:pPr>
        <w:ind w:left="1500" w:hanging="420"/>
      </w:pPr>
      <w:rPr>
        <w:rFonts w:hint="default"/>
        <w:lang w:val="vi" w:eastAsia="en-US" w:bidi="ar-SA"/>
      </w:rPr>
    </w:lvl>
    <w:lvl w:ilvl="5">
      <w:numFmt w:val="bullet"/>
      <w:lvlText w:val="•"/>
      <w:lvlJc w:val="left"/>
      <w:pPr>
        <w:ind w:left="2990" w:hanging="420"/>
      </w:pPr>
      <w:rPr>
        <w:rFonts w:hint="default"/>
        <w:lang w:val="vi" w:eastAsia="en-US" w:bidi="ar-SA"/>
      </w:rPr>
    </w:lvl>
    <w:lvl w:ilvl="6">
      <w:numFmt w:val="bullet"/>
      <w:lvlText w:val="•"/>
      <w:lvlJc w:val="left"/>
      <w:pPr>
        <w:ind w:left="4480" w:hanging="420"/>
      </w:pPr>
      <w:rPr>
        <w:rFonts w:hint="default"/>
        <w:lang w:val="vi" w:eastAsia="en-US" w:bidi="ar-SA"/>
      </w:rPr>
    </w:lvl>
    <w:lvl w:ilvl="7">
      <w:numFmt w:val="bullet"/>
      <w:lvlText w:val="•"/>
      <w:lvlJc w:val="left"/>
      <w:pPr>
        <w:ind w:left="5970" w:hanging="420"/>
      </w:pPr>
      <w:rPr>
        <w:rFonts w:hint="default"/>
        <w:lang w:val="vi" w:eastAsia="en-US" w:bidi="ar-SA"/>
      </w:rPr>
    </w:lvl>
    <w:lvl w:ilvl="8">
      <w:numFmt w:val="bullet"/>
      <w:lvlText w:val="•"/>
      <w:lvlJc w:val="left"/>
      <w:pPr>
        <w:ind w:left="7460" w:hanging="420"/>
      </w:pPr>
      <w:rPr>
        <w:rFonts w:hint="default"/>
        <w:lang w:val="vi" w:eastAsia="en-US" w:bidi="ar-SA"/>
      </w:rPr>
    </w:lvl>
  </w:abstractNum>
  <w:abstractNum w:abstractNumId="23" w15:restartNumberingAfterBreak="0">
    <w:nsid w:val="47FE28D5"/>
    <w:multiLevelType w:val="multilevel"/>
    <w:tmpl w:val="09D0E30C"/>
    <w:lvl w:ilvl="0">
      <w:start w:val="3"/>
      <w:numFmt w:val="decimal"/>
      <w:lvlText w:val="%1."/>
      <w:lvlJc w:val="left"/>
      <w:pPr>
        <w:ind w:left="643" w:hanging="284"/>
        <w:jc w:val="right"/>
      </w:pPr>
      <w:rPr>
        <w:rFonts w:hint="default"/>
        <w:i w:val="0"/>
        <w:iCs/>
        <w:spacing w:val="0"/>
        <w:w w:val="100"/>
        <w:lang w:val="vi" w:eastAsia="en-US" w:bidi="ar-SA"/>
      </w:rPr>
    </w:lvl>
    <w:lvl w:ilvl="1">
      <w:start w:val="1"/>
      <w:numFmt w:val="decimal"/>
      <w:lvlText w:val="%1.%2."/>
      <w:lvlJc w:val="left"/>
      <w:pPr>
        <w:ind w:left="4673" w:hanging="420"/>
      </w:pPr>
      <w:rPr>
        <w:rFonts w:hint="default"/>
        <w:color w:val="FF0000"/>
        <w:spacing w:val="0"/>
        <w:w w:val="100"/>
        <w:lang w:val="vi" w:eastAsia="en-US" w:bidi="ar-SA"/>
      </w:rPr>
    </w:lvl>
    <w:lvl w:ilvl="2">
      <w:start w:val="1"/>
      <w:numFmt w:val="decimal"/>
      <w:lvlText w:val="%1.%2.%3."/>
      <w:lvlJc w:val="left"/>
      <w:pPr>
        <w:ind w:left="1066" w:hanging="420"/>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1060" w:hanging="420"/>
      </w:pPr>
      <w:rPr>
        <w:rFonts w:hint="default"/>
        <w:lang w:val="vi" w:eastAsia="en-US" w:bidi="ar-SA"/>
      </w:rPr>
    </w:lvl>
    <w:lvl w:ilvl="4">
      <w:numFmt w:val="bullet"/>
      <w:lvlText w:val="•"/>
      <w:lvlJc w:val="left"/>
      <w:pPr>
        <w:ind w:left="1500" w:hanging="420"/>
      </w:pPr>
      <w:rPr>
        <w:rFonts w:hint="default"/>
        <w:lang w:val="vi" w:eastAsia="en-US" w:bidi="ar-SA"/>
      </w:rPr>
    </w:lvl>
    <w:lvl w:ilvl="5">
      <w:numFmt w:val="bullet"/>
      <w:lvlText w:val="•"/>
      <w:lvlJc w:val="left"/>
      <w:pPr>
        <w:ind w:left="2990" w:hanging="420"/>
      </w:pPr>
      <w:rPr>
        <w:rFonts w:hint="default"/>
        <w:lang w:val="vi" w:eastAsia="en-US" w:bidi="ar-SA"/>
      </w:rPr>
    </w:lvl>
    <w:lvl w:ilvl="6">
      <w:numFmt w:val="bullet"/>
      <w:lvlText w:val="•"/>
      <w:lvlJc w:val="left"/>
      <w:pPr>
        <w:ind w:left="4480" w:hanging="420"/>
      </w:pPr>
      <w:rPr>
        <w:rFonts w:hint="default"/>
        <w:lang w:val="vi" w:eastAsia="en-US" w:bidi="ar-SA"/>
      </w:rPr>
    </w:lvl>
    <w:lvl w:ilvl="7">
      <w:numFmt w:val="bullet"/>
      <w:lvlText w:val="•"/>
      <w:lvlJc w:val="left"/>
      <w:pPr>
        <w:ind w:left="5970" w:hanging="420"/>
      </w:pPr>
      <w:rPr>
        <w:rFonts w:hint="default"/>
        <w:lang w:val="vi" w:eastAsia="en-US" w:bidi="ar-SA"/>
      </w:rPr>
    </w:lvl>
    <w:lvl w:ilvl="8">
      <w:numFmt w:val="bullet"/>
      <w:lvlText w:val="•"/>
      <w:lvlJc w:val="left"/>
      <w:pPr>
        <w:ind w:left="7460" w:hanging="420"/>
      </w:pPr>
      <w:rPr>
        <w:rFonts w:hint="default"/>
        <w:lang w:val="vi" w:eastAsia="en-US" w:bidi="ar-SA"/>
      </w:rPr>
    </w:lvl>
  </w:abstractNum>
  <w:abstractNum w:abstractNumId="24" w15:restartNumberingAfterBreak="0">
    <w:nsid w:val="48884156"/>
    <w:multiLevelType w:val="hybridMultilevel"/>
    <w:tmpl w:val="8D044054"/>
    <w:lvl w:ilvl="0" w:tplc="D85E214A">
      <w:start w:val="5"/>
      <w:numFmt w:val="decimal"/>
      <w:lvlText w:val="%1."/>
      <w:lvlJc w:val="left"/>
      <w:pPr>
        <w:ind w:left="1494" w:hanging="360"/>
      </w:pPr>
      <w:rPr>
        <w:rFonts w:hint="default"/>
        <w:i w:val="0"/>
      </w:rPr>
    </w:lvl>
    <w:lvl w:ilvl="1" w:tplc="042A0019">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25" w15:restartNumberingAfterBreak="0">
    <w:nsid w:val="4A973FB6"/>
    <w:multiLevelType w:val="multilevel"/>
    <w:tmpl w:val="D7B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F424C"/>
    <w:multiLevelType w:val="multilevel"/>
    <w:tmpl w:val="244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2666C"/>
    <w:multiLevelType w:val="multilevel"/>
    <w:tmpl w:val="1E4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C4733"/>
    <w:multiLevelType w:val="multilevel"/>
    <w:tmpl w:val="6704895C"/>
    <w:lvl w:ilvl="0">
      <w:start w:val="1"/>
      <w:numFmt w:val="decimal"/>
      <w:lvlText w:val="%1."/>
      <w:lvlJc w:val="left"/>
      <w:pPr>
        <w:ind w:left="648" w:hanging="288"/>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color w:val="FF0000"/>
        <w:spacing w:val="0"/>
        <w:w w:val="100"/>
        <w:sz w:val="24"/>
        <w:szCs w:val="24"/>
        <w:lang w:val="vi" w:eastAsia="en-US" w:bidi="ar-SA"/>
      </w:rPr>
    </w:lvl>
    <w:lvl w:ilvl="2">
      <w:start w:val="1"/>
      <w:numFmt w:val="decimal"/>
      <w:lvlText w:val="%1.%2.%3."/>
      <w:lvlJc w:val="left"/>
      <w:pPr>
        <w:ind w:left="960" w:hanging="600"/>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2145" w:hanging="600"/>
      </w:pPr>
      <w:rPr>
        <w:rFonts w:hint="default"/>
        <w:lang w:val="vi" w:eastAsia="en-US" w:bidi="ar-SA"/>
      </w:rPr>
    </w:lvl>
    <w:lvl w:ilvl="4">
      <w:numFmt w:val="bullet"/>
      <w:lvlText w:val="•"/>
      <w:lvlJc w:val="left"/>
      <w:pPr>
        <w:ind w:left="3330" w:hanging="600"/>
      </w:pPr>
      <w:rPr>
        <w:rFonts w:hint="default"/>
        <w:lang w:val="vi" w:eastAsia="en-US" w:bidi="ar-SA"/>
      </w:rPr>
    </w:lvl>
    <w:lvl w:ilvl="5">
      <w:numFmt w:val="bullet"/>
      <w:lvlText w:val="•"/>
      <w:lvlJc w:val="left"/>
      <w:pPr>
        <w:ind w:left="4515" w:hanging="600"/>
      </w:pPr>
      <w:rPr>
        <w:rFonts w:hint="default"/>
        <w:lang w:val="vi" w:eastAsia="en-US" w:bidi="ar-SA"/>
      </w:rPr>
    </w:lvl>
    <w:lvl w:ilvl="6">
      <w:numFmt w:val="bullet"/>
      <w:lvlText w:val="•"/>
      <w:lvlJc w:val="left"/>
      <w:pPr>
        <w:ind w:left="5700" w:hanging="600"/>
      </w:pPr>
      <w:rPr>
        <w:rFonts w:hint="default"/>
        <w:lang w:val="vi" w:eastAsia="en-US" w:bidi="ar-SA"/>
      </w:rPr>
    </w:lvl>
    <w:lvl w:ilvl="7">
      <w:numFmt w:val="bullet"/>
      <w:lvlText w:val="•"/>
      <w:lvlJc w:val="left"/>
      <w:pPr>
        <w:ind w:left="6885" w:hanging="600"/>
      </w:pPr>
      <w:rPr>
        <w:rFonts w:hint="default"/>
        <w:lang w:val="vi" w:eastAsia="en-US" w:bidi="ar-SA"/>
      </w:rPr>
    </w:lvl>
    <w:lvl w:ilvl="8">
      <w:numFmt w:val="bullet"/>
      <w:lvlText w:val="•"/>
      <w:lvlJc w:val="left"/>
      <w:pPr>
        <w:ind w:left="8070" w:hanging="600"/>
      </w:pPr>
      <w:rPr>
        <w:rFonts w:hint="default"/>
        <w:lang w:val="vi" w:eastAsia="en-US" w:bidi="ar-SA"/>
      </w:rPr>
    </w:lvl>
  </w:abstractNum>
  <w:abstractNum w:abstractNumId="29" w15:restartNumberingAfterBreak="0">
    <w:nsid w:val="5AEB40FC"/>
    <w:multiLevelType w:val="hybridMultilevel"/>
    <w:tmpl w:val="AAC6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B6D5B"/>
    <w:multiLevelType w:val="hybridMultilevel"/>
    <w:tmpl w:val="074C35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10958BE"/>
    <w:multiLevelType w:val="multilevel"/>
    <w:tmpl w:val="714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E7BC0"/>
    <w:multiLevelType w:val="multilevel"/>
    <w:tmpl w:val="8BA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84AFD"/>
    <w:multiLevelType w:val="multilevel"/>
    <w:tmpl w:val="01B6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574E1"/>
    <w:multiLevelType w:val="hybridMultilevel"/>
    <w:tmpl w:val="5A52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6D6C01"/>
    <w:multiLevelType w:val="multilevel"/>
    <w:tmpl w:val="464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3511"/>
    <w:multiLevelType w:val="multilevel"/>
    <w:tmpl w:val="11C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E0C60"/>
    <w:multiLevelType w:val="multilevel"/>
    <w:tmpl w:val="09D0E30C"/>
    <w:lvl w:ilvl="0">
      <w:start w:val="3"/>
      <w:numFmt w:val="decimal"/>
      <w:lvlText w:val="%1."/>
      <w:lvlJc w:val="left"/>
      <w:pPr>
        <w:ind w:left="643" w:hanging="284"/>
        <w:jc w:val="right"/>
      </w:pPr>
      <w:rPr>
        <w:rFonts w:hint="default"/>
        <w:i w:val="0"/>
        <w:iCs/>
        <w:spacing w:val="0"/>
        <w:w w:val="100"/>
        <w:lang w:val="vi" w:eastAsia="en-US" w:bidi="ar-SA"/>
      </w:rPr>
    </w:lvl>
    <w:lvl w:ilvl="1">
      <w:start w:val="1"/>
      <w:numFmt w:val="decimal"/>
      <w:lvlText w:val="%1.%2."/>
      <w:lvlJc w:val="left"/>
      <w:pPr>
        <w:ind w:left="4673" w:hanging="420"/>
      </w:pPr>
      <w:rPr>
        <w:rFonts w:hint="default"/>
        <w:color w:val="FF0000"/>
        <w:spacing w:val="0"/>
        <w:w w:val="100"/>
        <w:lang w:val="vi" w:eastAsia="en-US" w:bidi="ar-SA"/>
      </w:rPr>
    </w:lvl>
    <w:lvl w:ilvl="2">
      <w:start w:val="1"/>
      <w:numFmt w:val="decimal"/>
      <w:lvlText w:val="%1.%2.%3."/>
      <w:lvlJc w:val="left"/>
      <w:pPr>
        <w:ind w:left="1066" w:hanging="420"/>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1060" w:hanging="420"/>
      </w:pPr>
      <w:rPr>
        <w:rFonts w:hint="default"/>
        <w:lang w:val="vi" w:eastAsia="en-US" w:bidi="ar-SA"/>
      </w:rPr>
    </w:lvl>
    <w:lvl w:ilvl="4">
      <w:numFmt w:val="bullet"/>
      <w:lvlText w:val="•"/>
      <w:lvlJc w:val="left"/>
      <w:pPr>
        <w:ind w:left="1500" w:hanging="420"/>
      </w:pPr>
      <w:rPr>
        <w:rFonts w:hint="default"/>
        <w:lang w:val="vi" w:eastAsia="en-US" w:bidi="ar-SA"/>
      </w:rPr>
    </w:lvl>
    <w:lvl w:ilvl="5">
      <w:numFmt w:val="bullet"/>
      <w:lvlText w:val="•"/>
      <w:lvlJc w:val="left"/>
      <w:pPr>
        <w:ind w:left="2990" w:hanging="420"/>
      </w:pPr>
      <w:rPr>
        <w:rFonts w:hint="default"/>
        <w:lang w:val="vi" w:eastAsia="en-US" w:bidi="ar-SA"/>
      </w:rPr>
    </w:lvl>
    <w:lvl w:ilvl="6">
      <w:numFmt w:val="bullet"/>
      <w:lvlText w:val="•"/>
      <w:lvlJc w:val="left"/>
      <w:pPr>
        <w:ind w:left="4480" w:hanging="420"/>
      </w:pPr>
      <w:rPr>
        <w:rFonts w:hint="default"/>
        <w:lang w:val="vi" w:eastAsia="en-US" w:bidi="ar-SA"/>
      </w:rPr>
    </w:lvl>
    <w:lvl w:ilvl="7">
      <w:numFmt w:val="bullet"/>
      <w:lvlText w:val="•"/>
      <w:lvlJc w:val="left"/>
      <w:pPr>
        <w:ind w:left="5970" w:hanging="420"/>
      </w:pPr>
      <w:rPr>
        <w:rFonts w:hint="default"/>
        <w:lang w:val="vi" w:eastAsia="en-US" w:bidi="ar-SA"/>
      </w:rPr>
    </w:lvl>
    <w:lvl w:ilvl="8">
      <w:numFmt w:val="bullet"/>
      <w:lvlText w:val="•"/>
      <w:lvlJc w:val="left"/>
      <w:pPr>
        <w:ind w:left="7460" w:hanging="420"/>
      </w:pPr>
      <w:rPr>
        <w:rFonts w:hint="default"/>
        <w:lang w:val="vi" w:eastAsia="en-US" w:bidi="ar-SA"/>
      </w:rPr>
    </w:lvl>
  </w:abstractNum>
  <w:abstractNum w:abstractNumId="38" w15:restartNumberingAfterBreak="0">
    <w:nsid w:val="77704CE0"/>
    <w:multiLevelType w:val="hybridMultilevel"/>
    <w:tmpl w:val="02F48F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CCF5294"/>
    <w:multiLevelType w:val="multilevel"/>
    <w:tmpl w:val="C0528B86"/>
    <w:lvl w:ilvl="0">
      <w:start w:val="1"/>
      <w:numFmt w:val="decimal"/>
      <w:lvlText w:val="%1."/>
      <w:lvlJc w:val="left"/>
      <w:pPr>
        <w:ind w:left="648" w:hanging="288"/>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960" w:hanging="600"/>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2145" w:hanging="600"/>
      </w:pPr>
      <w:rPr>
        <w:rFonts w:hint="default"/>
        <w:lang w:val="vi" w:eastAsia="en-US" w:bidi="ar-SA"/>
      </w:rPr>
    </w:lvl>
    <w:lvl w:ilvl="4">
      <w:numFmt w:val="bullet"/>
      <w:lvlText w:val="•"/>
      <w:lvlJc w:val="left"/>
      <w:pPr>
        <w:ind w:left="3330" w:hanging="600"/>
      </w:pPr>
      <w:rPr>
        <w:rFonts w:hint="default"/>
        <w:lang w:val="vi" w:eastAsia="en-US" w:bidi="ar-SA"/>
      </w:rPr>
    </w:lvl>
    <w:lvl w:ilvl="5">
      <w:numFmt w:val="bullet"/>
      <w:lvlText w:val="•"/>
      <w:lvlJc w:val="left"/>
      <w:pPr>
        <w:ind w:left="4515" w:hanging="600"/>
      </w:pPr>
      <w:rPr>
        <w:rFonts w:hint="default"/>
        <w:lang w:val="vi" w:eastAsia="en-US" w:bidi="ar-SA"/>
      </w:rPr>
    </w:lvl>
    <w:lvl w:ilvl="6">
      <w:numFmt w:val="bullet"/>
      <w:lvlText w:val="•"/>
      <w:lvlJc w:val="left"/>
      <w:pPr>
        <w:ind w:left="5700" w:hanging="600"/>
      </w:pPr>
      <w:rPr>
        <w:rFonts w:hint="default"/>
        <w:lang w:val="vi" w:eastAsia="en-US" w:bidi="ar-SA"/>
      </w:rPr>
    </w:lvl>
    <w:lvl w:ilvl="7">
      <w:numFmt w:val="bullet"/>
      <w:lvlText w:val="•"/>
      <w:lvlJc w:val="left"/>
      <w:pPr>
        <w:ind w:left="6885" w:hanging="600"/>
      </w:pPr>
      <w:rPr>
        <w:rFonts w:hint="default"/>
        <w:lang w:val="vi" w:eastAsia="en-US" w:bidi="ar-SA"/>
      </w:rPr>
    </w:lvl>
    <w:lvl w:ilvl="8">
      <w:numFmt w:val="bullet"/>
      <w:lvlText w:val="•"/>
      <w:lvlJc w:val="left"/>
      <w:pPr>
        <w:ind w:left="8070" w:hanging="600"/>
      </w:pPr>
      <w:rPr>
        <w:rFonts w:hint="default"/>
        <w:lang w:val="vi" w:eastAsia="en-US" w:bidi="ar-SA"/>
      </w:rPr>
    </w:lvl>
  </w:abstractNum>
  <w:num w:numId="1" w16cid:durableId="252977302">
    <w:abstractNumId w:val="13"/>
  </w:num>
  <w:num w:numId="2" w16cid:durableId="588589147">
    <w:abstractNumId w:val="23"/>
  </w:num>
  <w:num w:numId="3" w16cid:durableId="202986893">
    <w:abstractNumId w:val="39"/>
  </w:num>
  <w:num w:numId="4" w16cid:durableId="1546747087">
    <w:abstractNumId w:val="0"/>
  </w:num>
  <w:num w:numId="5" w16cid:durableId="1448236047">
    <w:abstractNumId w:val="20"/>
  </w:num>
  <w:num w:numId="6" w16cid:durableId="442187506">
    <w:abstractNumId w:val="5"/>
  </w:num>
  <w:num w:numId="7" w16cid:durableId="385302172">
    <w:abstractNumId w:val="16"/>
  </w:num>
  <w:num w:numId="8" w16cid:durableId="872304413">
    <w:abstractNumId w:val="22"/>
  </w:num>
  <w:num w:numId="9" w16cid:durableId="1691683036">
    <w:abstractNumId w:val="28"/>
  </w:num>
  <w:num w:numId="10" w16cid:durableId="37169189">
    <w:abstractNumId w:val="37"/>
  </w:num>
  <w:num w:numId="11" w16cid:durableId="633948369">
    <w:abstractNumId w:val="9"/>
  </w:num>
  <w:num w:numId="12" w16cid:durableId="588542754">
    <w:abstractNumId w:val="24"/>
  </w:num>
  <w:num w:numId="13" w16cid:durableId="1104808059">
    <w:abstractNumId w:val="38"/>
  </w:num>
  <w:num w:numId="14" w16cid:durableId="812412057">
    <w:abstractNumId w:val="1"/>
  </w:num>
  <w:num w:numId="15" w16cid:durableId="1804538432">
    <w:abstractNumId w:val="12"/>
  </w:num>
  <w:num w:numId="16" w16cid:durableId="574440517">
    <w:abstractNumId w:val="7"/>
  </w:num>
  <w:num w:numId="17" w16cid:durableId="857619093">
    <w:abstractNumId w:val="6"/>
  </w:num>
  <w:num w:numId="18" w16cid:durableId="734745593">
    <w:abstractNumId w:val="17"/>
  </w:num>
  <w:num w:numId="19" w16cid:durableId="1322275795">
    <w:abstractNumId w:val="8"/>
  </w:num>
  <w:num w:numId="20" w16cid:durableId="2074044054">
    <w:abstractNumId w:val="29"/>
  </w:num>
  <w:num w:numId="21" w16cid:durableId="1647012357">
    <w:abstractNumId w:val="35"/>
  </w:num>
  <w:num w:numId="22" w16cid:durableId="271977279">
    <w:abstractNumId w:val="10"/>
  </w:num>
  <w:num w:numId="23" w16cid:durableId="407114588">
    <w:abstractNumId w:val="15"/>
  </w:num>
  <w:num w:numId="24" w16cid:durableId="1246571746">
    <w:abstractNumId w:val="32"/>
  </w:num>
  <w:num w:numId="25" w16cid:durableId="511339272">
    <w:abstractNumId w:val="2"/>
  </w:num>
  <w:num w:numId="26" w16cid:durableId="643509826">
    <w:abstractNumId w:val="33"/>
  </w:num>
  <w:num w:numId="27" w16cid:durableId="1266693053">
    <w:abstractNumId w:val="27"/>
  </w:num>
  <w:num w:numId="28" w16cid:durableId="631909222">
    <w:abstractNumId w:val="4"/>
  </w:num>
  <w:num w:numId="29" w16cid:durableId="675233263">
    <w:abstractNumId w:val="25"/>
  </w:num>
  <w:num w:numId="30" w16cid:durableId="594899629">
    <w:abstractNumId w:val="3"/>
  </w:num>
  <w:num w:numId="31" w16cid:durableId="1086265379">
    <w:abstractNumId w:val="26"/>
  </w:num>
  <w:num w:numId="32" w16cid:durableId="990137685">
    <w:abstractNumId w:val="19"/>
  </w:num>
  <w:num w:numId="33" w16cid:durableId="93092305">
    <w:abstractNumId w:val="31"/>
  </w:num>
  <w:num w:numId="34" w16cid:durableId="1718816537">
    <w:abstractNumId w:val="14"/>
  </w:num>
  <w:num w:numId="35" w16cid:durableId="1016689485">
    <w:abstractNumId w:val="36"/>
  </w:num>
  <w:num w:numId="36" w16cid:durableId="1780178817">
    <w:abstractNumId w:val="21"/>
  </w:num>
  <w:num w:numId="37" w16cid:durableId="1424761873">
    <w:abstractNumId w:val="18"/>
  </w:num>
  <w:num w:numId="38" w16cid:durableId="892279966">
    <w:abstractNumId w:val="11"/>
  </w:num>
  <w:num w:numId="39" w16cid:durableId="2127237880">
    <w:abstractNumId w:val="34"/>
  </w:num>
  <w:num w:numId="40" w16cid:durableId="1773621515">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oNotDisplayPageBoundaries/>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A11"/>
    <w:rsid w:val="00000140"/>
    <w:rsid w:val="00001484"/>
    <w:rsid w:val="00006BA1"/>
    <w:rsid w:val="00011FE3"/>
    <w:rsid w:val="00012D47"/>
    <w:rsid w:val="00012D9C"/>
    <w:rsid w:val="000130C1"/>
    <w:rsid w:val="00017242"/>
    <w:rsid w:val="00017527"/>
    <w:rsid w:val="00026F22"/>
    <w:rsid w:val="000375AD"/>
    <w:rsid w:val="000520B0"/>
    <w:rsid w:val="000537BB"/>
    <w:rsid w:val="000560EE"/>
    <w:rsid w:val="00057151"/>
    <w:rsid w:val="00072FD5"/>
    <w:rsid w:val="00076E87"/>
    <w:rsid w:val="00081636"/>
    <w:rsid w:val="000819F7"/>
    <w:rsid w:val="00081BF8"/>
    <w:rsid w:val="00082B07"/>
    <w:rsid w:val="00083BCB"/>
    <w:rsid w:val="000860B9"/>
    <w:rsid w:val="000903B1"/>
    <w:rsid w:val="00091018"/>
    <w:rsid w:val="00092A6B"/>
    <w:rsid w:val="00096BD2"/>
    <w:rsid w:val="000A5368"/>
    <w:rsid w:val="000B07DE"/>
    <w:rsid w:val="000C53CF"/>
    <w:rsid w:val="000C6318"/>
    <w:rsid w:val="000D130F"/>
    <w:rsid w:val="000D269A"/>
    <w:rsid w:val="000D3D70"/>
    <w:rsid w:val="000D4B00"/>
    <w:rsid w:val="000D4DAB"/>
    <w:rsid w:val="000D5A18"/>
    <w:rsid w:val="000E02A7"/>
    <w:rsid w:val="000E4420"/>
    <w:rsid w:val="000E6E96"/>
    <w:rsid w:val="000F0D0E"/>
    <w:rsid w:val="000F208E"/>
    <w:rsid w:val="000F756A"/>
    <w:rsid w:val="000F77BB"/>
    <w:rsid w:val="001025B5"/>
    <w:rsid w:val="0010272A"/>
    <w:rsid w:val="00102DD0"/>
    <w:rsid w:val="00103318"/>
    <w:rsid w:val="001033AA"/>
    <w:rsid w:val="0010342E"/>
    <w:rsid w:val="00104020"/>
    <w:rsid w:val="00104622"/>
    <w:rsid w:val="001071BE"/>
    <w:rsid w:val="0011214F"/>
    <w:rsid w:val="001122A3"/>
    <w:rsid w:val="001231CE"/>
    <w:rsid w:val="00126410"/>
    <w:rsid w:val="00131DF3"/>
    <w:rsid w:val="001427CB"/>
    <w:rsid w:val="00143861"/>
    <w:rsid w:val="00144571"/>
    <w:rsid w:val="00145613"/>
    <w:rsid w:val="00151D29"/>
    <w:rsid w:val="0015214B"/>
    <w:rsid w:val="001531AD"/>
    <w:rsid w:val="00154F2A"/>
    <w:rsid w:val="00157AE9"/>
    <w:rsid w:val="0016187A"/>
    <w:rsid w:val="00161C43"/>
    <w:rsid w:val="001648F3"/>
    <w:rsid w:val="00167CF2"/>
    <w:rsid w:val="00171790"/>
    <w:rsid w:val="00176986"/>
    <w:rsid w:val="001770B2"/>
    <w:rsid w:val="0018079E"/>
    <w:rsid w:val="0018324A"/>
    <w:rsid w:val="00184DEE"/>
    <w:rsid w:val="00192CB3"/>
    <w:rsid w:val="00194B9C"/>
    <w:rsid w:val="00197090"/>
    <w:rsid w:val="001A02DA"/>
    <w:rsid w:val="001A0692"/>
    <w:rsid w:val="001A0796"/>
    <w:rsid w:val="001A0996"/>
    <w:rsid w:val="001A78A9"/>
    <w:rsid w:val="001B0668"/>
    <w:rsid w:val="001B0B00"/>
    <w:rsid w:val="001B2DAA"/>
    <w:rsid w:val="001B689E"/>
    <w:rsid w:val="001B7147"/>
    <w:rsid w:val="001C172D"/>
    <w:rsid w:val="001C1AA0"/>
    <w:rsid w:val="001C79B7"/>
    <w:rsid w:val="001D0198"/>
    <w:rsid w:val="001D0492"/>
    <w:rsid w:val="001D085B"/>
    <w:rsid w:val="001D347F"/>
    <w:rsid w:val="001D3940"/>
    <w:rsid w:val="001E0A8A"/>
    <w:rsid w:val="001F269A"/>
    <w:rsid w:val="001F32EE"/>
    <w:rsid w:val="001F59B6"/>
    <w:rsid w:val="001F7AA3"/>
    <w:rsid w:val="00202988"/>
    <w:rsid w:val="00204254"/>
    <w:rsid w:val="0020593C"/>
    <w:rsid w:val="00206921"/>
    <w:rsid w:val="00210D6D"/>
    <w:rsid w:val="00211577"/>
    <w:rsid w:val="002148C3"/>
    <w:rsid w:val="002209E7"/>
    <w:rsid w:val="00221C6F"/>
    <w:rsid w:val="002236DF"/>
    <w:rsid w:val="00225DD2"/>
    <w:rsid w:val="002260DE"/>
    <w:rsid w:val="00231220"/>
    <w:rsid w:val="00237291"/>
    <w:rsid w:val="00240469"/>
    <w:rsid w:val="00243CE2"/>
    <w:rsid w:val="002445DC"/>
    <w:rsid w:val="002454BC"/>
    <w:rsid w:val="0024738B"/>
    <w:rsid w:val="00247EC0"/>
    <w:rsid w:val="00253827"/>
    <w:rsid w:val="00262183"/>
    <w:rsid w:val="00263331"/>
    <w:rsid w:val="00267E0C"/>
    <w:rsid w:val="002705A4"/>
    <w:rsid w:val="0027347A"/>
    <w:rsid w:val="00275E5A"/>
    <w:rsid w:val="002829D5"/>
    <w:rsid w:val="00286E21"/>
    <w:rsid w:val="00292794"/>
    <w:rsid w:val="00297239"/>
    <w:rsid w:val="00297474"/>
    <w:rsid w:val="002A6AE4"/>
    <w:rsid w:val="002A7B2E"/>
    <w:rsid w:val="002B20ED"/>
    <w:rsid w:val="002B35ED"/>
    <w:rsid w:val="002B4E10"/>
    <w:rsid w:val="002C7E1D"/>
    <w:rsid w:val="002D17A7"/>
    <w:rsid w:val="002D42E2"/>
    <w:rsid w:val="002D59E2"/>
    <w:rsid w:val="002E224B"/>
    <w:rsid w:val="002E3A97"/>
    <w:rsid w:val="002E6906"/>
    <w:rsid w:val="002E6F86"/>
    <w:rsid w:val="002F028A"/>
    <w:rsid w:val="002F1D3A"/>
    <w:rsid w:val="002F73E4"/>
    <w:rsid w:val="003011FE"/>
    <w:rsid w:val="003055E0"/>
    <w:rsid w:val="00305FFB"/>
    <w:rsid w:val="00306BFB"/>
    <w:rsid w:val="003071E0"/>
    <w:rsid w:val="00314B03"/>
    <w:rsid w:val="00331260"/>
    <w:rsid w:val="00333439"/>
    <w:rsid w:val="00333C48"/>
    <w:rsid w:val="00341E9D"/>
    <w:rsid w:val="00342510"/>
    <w:rsid w:val="00346A71"/>
    <w:rsid w:val="00347ACB"/>
    <w:rsid w:val="00352538"/>
    <w:rsid w:val="00352658"/>
    <w:rsid w:val="00352EBF"/>
    <w:rsid w:val="00354836"/>
    <w:rsid w:val="00360D98"/>
    <w:rsid w:val="0036184C"/>
    <w:rsid w:val="00363578"/>
    <w:rsid w:val="00363B11"/>
    <w:rsid w:val="00371B49"/>
    <w:rsid w:val="00373884"/>
    <w:rsid w:val="00377BC0"/>
    <w:rsid w:val="00382E2E"/>
    <w:rsid w:val="003841CC"/>
    <w:rsid w:val="0039004B"/>
    <w:rsid w:val="00394CC3"/>
    <w:rsid w:val="00397033"/>
    <w:rsid w:val="0039728A"/>
    <w:rsid w:val="003A2131"/>
    <w:rsid w:val="003A5273"/>
    <w:rsid w:val="003A7256"/>
    <w:rsid w:val="003B25D5"/>
    <w:rsid w:val="003B45E3"/>
    <w:rsid w:val="003B571B"/>
    <w:rsid w:val="003C066A"/>
    <w:rsid w:val="003C15A7"/>
    <w:rsid w:val="003C733F"/>
    <w:rsid w:val="003D346F"/>
    <w:rsid w:val="003D5DDF"/>
    <w:rsid w:val="003D7EE6"/>
    <w:rsid w:val="003E0AEA"/>
    <w:rsid w:val="003E3B24"/>
    <w:rsid w:val="003E637B"/>
    <w:rsid w:val="003E665E"/>
    <w:rsid w:val="003E785B"/>
    <w:rsid w:val="00400D57"/>
    <w:rsid w:val="004025CC"/>
    <w:rsid w:val="00402F4C"/>
    <w:rsid w:val="00403957"/>
    <w:rsid w:val="00404E66"/>
    <w:rsid w:val="0041208C"/>
    <w:rsid w:val="004158F9"/>
    <w:rsid w:val="00415B8B"/>
    <w:rsid w:val="0042159D"/>
    <w:rsid w:val="0042274B"/>
    <w:rsid w:val="00425C7E"/>
    <w:rsid w:val="00426D99"/>
    <w:rsid w:val="004271A8"/>
    <w:rsid w:val="0043104F"/>
    <w:rsid w:val="004313A4"/>
    <w:rsid w:val="00431DFB"/>
    <w:rsid w:val="00436175"/>
    <w:rsid w:val="0043684F"/>
    <w:rsid w:val="00441658"/>
    <w:rsid w:val="004419AD"/>
    <w:rsid w:val="0044239E"/>
    <w:rsid w:val="00447060"/>
    <w:rsid w:val="00447F7A"/>
    <w:rsid w:val="00451BA8"/>
    <w:rsid w:val="00453F6F"/>
    <w:rsid w:val="00454BDD"/>
    <w:rsid w:val="0046168D"/>
    <w:rsid w:val="00461F88"/>
    <w:rsid w:val="004628F6"/>
    <w:rsid w:val="004644FB"/>
    <w:rsid w:val="00464BA6"/>
    <w:rsid w:val="004662EF"/>
    <w:rsid w:val="00467A50"/>
    <w:rsid w:val="00474314"/>
    <w:rsid w:val="00474AA8"/>
    <w:rsid w:val="00480032"/>
    <w:rsid w:val="00483C06"/>
    <w:rsid w:val="00483C63"/>
    <w:rsid w:val="00490CEC"/>
    <w:rsid w:val="00494475"/>
    <w:rsid w:val="004958BB"/>
    <w:rsid w:val="00495E13"/>
    <w:rsid w:val="00496366"/>
    <w:rsid w:val="004A132F"/>
    <w:rsid w:val="004A2589"/>
    <w:rsid w:val="004A2D81"/>
    <w:rsid w:val="004A5688"/>
    <w:rsid w:val="004A5ED7"/>
    <w:rsid w:val="004B0319"/>
    <w:rsid w:val="004B294A"/>
    <w:rsid w:val="004B61B6"/>
    <w:rsid w:val="004B624F"/>
    <w:rsid w:val="004C2339"/>
    <w:rsid w:val="004C6B11"/>
    <w:rsid w:val="004D255E"/>
    <w:rsid w:val="004E4608"/>
    <w:rsid w:val="004E5344"/>
    <w:rsid w:val="004E7BD2"/>
    <w:rsid w:val="004E7F9F"/>
    <w:rsid w:val="004F3382"/>
    <w:rsid w:val="004F5DE4"/>
    <w:rsid w:val="00502C8F"/>
    <w:rsid w:val="005043B6"/>
    <w:rsid w:val="00505A2E"/>
    <w:rsid w:val="00515D76"/>
    <w:rsid w:val="005234D9"/>
    <w:rsid w:val="005259A4"/>
    <w:rsid w:val="00525FE5"/>
    <w:rsid w:val="00532E64"/>
    <w:rsid w:val="005352E0"/>
    <w:rsid w:val="00540811"/>
    <w:rsid w:val="00540915"/>
    <w:rsid w:val="005411DE"/>
    <w:rsid w:val="005428FE"/>
    <w:rsid w:val="0054389D"/>
    <w:rsid w:val="00543A3A"/>
    <w:rsid w:val="005463FE"/>
    <w:rsid w:val="00555C69"/>
    <w:rsid w:val="00556722"/>
    <w:rsid w:val="00560BC7"/>
    <w:rsid w:val="00561E91"/>
    <w:rsid w:val="00564CDB"/>
    <w:rsid w:val="005707E8"/>
    <w:rsid w:val="00582D8F"/>
    <w:rsid w:val="00584133"/>
    <w:rsid w:val="00584EB6"/>
    <w:rsid w:val="00585210"/>
    <w:rsid w:val="00586637"/>
    <w:rsid w:val="00587D41"/>
    <w:rsid w:val="00592F05"/>
    <w:rsid w:val="00595715"/>
    <w:rsid w:val="00595E2D"/>
    <w:rsid w:val="005A13F1"/>
    <w:rsid w:val="005A1876"/>
    <w:rsid w:val="005A33E1"/>
    <w:rsid w:val="005A71E7"/>
    <w:rsid w:val="005A73B8"/>
    <w:rsid w:val="005A7887"/>
    <w:rsid w:val="005B08CC"/>
    <w:rsid w:val="005B3786"/>
    <w:rsid w:val="005B509D"/>
    <w:rsid w:val="005B7395"/>
    <w:rsid w:val="005C4AD0"/>
    <w:rsid w:val="005C6896"/>
    <w:rsid w:val="005C6FEE"/>
    <w:rsid w:val="005D0752"/>
    <w:rsid w:val="005D0F08"/>
    <w:rsid w:val="005E00EA"/>
    <w:rsid w:val="005E0D73"/>
    <w:rsid w:val="005E0F3E"/>
    <w:rsid w:val="005E7E77"/>
    <w:rsid w:val="005F7EA1"/>
    <w:rsid w:val="00600042"/>
    <w:rsid w:val="00602AB3"/>
    <w:rsid w:val="00602AFF"/>
    <w:rsid w:val="00607A78"/>
    <w:rsid w:val="00610144"/>
    <w:rsid w:val="00623713"/>
    <w:rsid w:val="0062638C"/>
    <w:rsid w:val="006278E0"/>
    <w:rsid w:val="006304D5"/>
    <w:rsid w:val="00630532"/>
    <w:rsid w:val="00631986"/>
    <w:rsid w:val="0063540E"/>
    <w:rsid w:val="00635FB2"/>
    <w:rsid w:val="00646160"/>
    <w:rsid w:val="006535B6"/>
    <w:rsid w:val="0065747A"/>
    <w:rsid w:val="00660698"/>
    <w:rsid w:val="006616C5"/>
    <w:rsid w:val="00661BF6"/>
    <w:rsid w:val="006654CE"/>
    <w:rsid w:val="006702A8"/>
    <w:rsid w:val="0067312E"/>
    <w:rsid w:val="0067605E"/>
    <w:rsid w:val="0067689E"/>
    <w:rsid w:val="00685E53"/>
    <w:rsid w:val="00687C20"/>
    <w:rsid w:val="006971A6"/>
    <w:rsid w:val="00697DE5"/>
    <w:rsid w:val="006A296A"/>
    <w:rsid w:val="006A2EDD"/>
    <w:rsid w:val="006A3C5B"/>
    <w:rsid w:val="006A7C82"/>
    <w:rsid w:val="006B1425"/>
    <w:rsid w:val="006B3041"/>
    <w:rsid w:val="006B5362"/>
    <w:rsid w:val="006B7A93"/>
    <w:rsid w:val="006C0291"/>
    <w:rsid w:val="006C4A9F"/>
    <w:rsid w:val="006D0F74"/>
    <w:rsid w:val="006D3E00"/>
    <w:rsid w:val="006D7D8C"/>
    <w:rsid w:val="006E0E7A"/>
    <w:rsid w:val="00701482"/>
    <w:rsid w:val="00703D2F"/>
    <w:rsid w:val="00705839"/>
    <w:rsid w:val="00710026"/>
    <w:rsid w:val="00713BCF"/>
    <w:rsid w:val="007158FE"/>
    <w:rsid w:val="00716746"/>
    <w:rsid w:val="00717A5F"/>
    <w:rsid w:val="00721291"/>
    <w:rsid w:val="007253C4"/>
    <w:rsid w:val="00726F68"/>
    <w:rsid w:val="00731690"/>
    <w:rsid w:val="00732DBE"/>
    <w:rsid w:val="0073533B"/>
    <w:rsid w:val="00740438"/>
    <w:rsid w:val="00740C31"/>
    <w:rsid w:val="007422B6"/>
    <w:rsid w:val="00745E81"/>
    <w:rsid w:val="00747161"/>
    <w:rsid w:val="007504A0"/>
    <w:rsid w:val="0075339A"/>
    <w:rsid w:val="00756417"/>
    <w:rsid w:val="00757CD9"/>
    <w:rsid w:val="00760FD3"/>
    <w:rsid w:val="00762B3F"/>
    <w:rsid w:val="00763BAB"/>
    <w:rsid w:val="007655F6"/>
    <w:rsid w:val="00766CC9"/>
    <w:rsid w:val="00767497"/>
    <w:rsid w:val="007707D7"/>
    <w:rsid w:val="007745E5"/>
    <w:rsid w:val="007764EC"/>
    <w:rsid w:val="00783D29"/>
    <w:rsid w:val="00784599"/>
    <w:rsid w:val="00787333"/>
    <w:rsid w:val="00790627"/>
    <w:rsid w:val="007975FA"/>
    <w:rsid w:val="007A1508"/>
    <w:rsid w:val="007A19EF"/>
    <w:rsid w:val="007A1C9E"/>
    <w:rsid w:val="007B3D2F"/>
    <w:rsid w:val="007B60CE"/>
    <w:rsid w:val="007C0196"/>
    <w:rsid w:val="007C1001"/>
    <w:rsid w:val="007C3B21"/>
    <w:rsid w:val="007C4145"/>
    <w:rsid w:val="007D0EDE"/>
    <w:rsid w:val="007D1DA4"/>
    <w:rsid w:val="007D7CCF"/>
    <w:rsid w:val="007E2B15"/>
    <w:rsid w:val="007E2B97"/>
    <w:rsid w:val="007E39C0"/>
    <w:rsid w:val="007E4626"/>
    <w:rsid w:val="007E5CE2"/>
    <w:rsid w:val="007E78D5"/>
    <w:rsid w:val="007F013C"/>
    <w:rsid w:val="007F03DE"/>
    <w:rsid w:val="007F1345"/>
    <w:rsid w:val="007F2042"/>
    <w:rsid w:val="007F2376"/>
    <w:rsid w:val="007F2984"/>
    <w:rsid w:val="007F4D4F"/>
    <w:rsid w:val="007F615F"/>
    <w:rsid w:val="007F67D0"/>
    <w:rsid w:val="007F6911"/>
    <w:rsid w:val="0080136D"/>
    <w:rsid w:val="0080454A"/>
    <w:rsid w:val="00814D6C"/>
    <w:rsid w:val="00820F11"/>
    <w:rsid w:val="00821D9B"/>
    <w:rsid w:val="0082204A"/>
    <w:rsid w:val="0082384D"/>
    <w:rsid w:val="0082744C"/>
    <w:rsid w:val="00831131"/>
    <w:rsid w:val="008426CE"/>
    <w:rsid w:val="00850C86"/>
    <w:rsid w:val="00853155"/>
    <w:rsid w:val="00853EBA"/>
    <w:rsid w:val="0086210E"/>
    <w:rsid w:val="00867235"/>
    <w:rsid w:val="00867C19"/>
    <w:rsid w:val="00870724"/>
    <w:rsid w:val="0087434A"/>
    <w:rsid w:val="00874F22"/>
    <w:rsid w:val="00880609"/>
    <w:rsid w:val="00881581"/>
    <w:rsid w:val="0088642F"/>
    <w:rsid w:val="00891837"/>
    <w:rsid w:val="00891915"/>
    <w:rsid w:val="00891BB9"/>
    <w:rsid w:val="00893DE9"/>
    <w:rsid w:val="0089615D"/>
    <w:rsid w:val="00897E2E"/>
    <w:rsid w:val="008A24BD"/>
    <w:rsid w:val="008A40C3"/>
    <w:rsid w:val="008A5406"/>
    <w:rsid w:val="008A62FF"/>
    <w:rsid w:val="008B143F"/>
    <w:rsid w:val="008B200E"/>
    <w:rsid w:val="008B502D"/>
    <w:rsid w:val="008B5DC2"/>
    <w:rsid w:val="008B6677"/>
    <w:rsid w:val="008B7358"/>
    <w:rsid w:val="008C66E9"/>
    <w:rsid w:val="008C6BB4"/>
    <w:rsid w:val="008D1744"/>
    <w:rsid w:val="008D568B"/>
    <w:rsid w:val="008D6473"/>
    <w:rsid w:val="008E3484"/>
    <w:rsid w:val="008F6EC8"/>
    <w:rsid w:val="0090105A"/>
    <w:rsid w:val="009071CB"/>
    <w:rsid w:val="00910179"/>
    <w:rsid w:val="009127D9"/>
    <w:rsid w:val="009136E5"/>
    <w:rsid w:val="0091592F"/>
    <w:rsid w:val="00916084"/>
    <w:rsid w:val="00917C5A"/>
    <w:rsid w:val="00924011"/>
    <w:rsid w:val="0093052A"/>
    <w:rsid w:val="00935003"/>
    <w:rsid w:val="009350BD"/>
    <w:rsid w:val="009435F6"/>
    <w:rsid w:val="00946FEF"/>
    <w:rsid w:val="00947C46"/>
    <w:rsid w:val="009538BA"/>
    <w:rsid w:val="00954B71"/>
    <w:rsid w:val="00954BAE"/>
    <w:rsid w:val="009601BB"/>
    <w:rsid w:val="00963FC8"/>
    <w:rsid w:val="00966CE1"/>
    <w:rsid w:val="009700A0"/>
    <w:rsid w:val="00977E36"/>
    <w:rsid w:val="00982D6B"/>
    <w:rsid w:val="009840E4"/>
    <w:rsid w:val="00990DB2"/>
    <w:rsid w:val="00993168"/>
    <w:rsid w:val="009A10FB"/>
    <w:rsid w:val="009A2724"/>
    <w:rsid w:val="009B0BAD"/>
    <w:rsid w:val="009B138E"/>
    <w:rsid w:val="009B214F"/>
    <w:rsid w:val="009B261A"/>
    <w:rsid w:val="009B3B8C"/>
    <w:rsid w:val="009B470A"/>
    <w:rsid w:val="009C3DE9"/>
    <w:rsid w:val="009D0CA9"/>
    <w:rsid w:val="009D0EBD"/>
    <w:rsid w:val="009D62AA"/>
    <w:rsid w:val="009E6C04"/>
    <w:rsid w:val="009F640E"/>
    <w:rsid w:val="00A0025C"/>
    <w:rsid w:val="00A00F3E"/>
    <w:rsid w:val="00A020F7"/>
    <w:rsid w:val="00A15E77"/>
    <w:rsid w:val="00A173B2"/>
    <w:rsid w:val="00A300E7"/>
    <w:rsid w:val="00A31122"/>
    <w:rsid w:val="00A35BF1"/>
    <w:rsid w:val="00A3648F"/>
    <w:rsid w:val="00A40E1A"/>
    <w:rsid w:val="00A413A7"/>
    <w:rsid w:val="00A41FC4"/>
    <w:rsid w:val="00A47E6A"/>
    <w:rsid w:val="00A56174"/>
    <w:rsid w:val="00A57997"/>
    <w:rsid w:val="00A647FB"/>
    <w:rsid w:val="00A7110B"/>
    <w:rsid w:val="00A85978"/>
    <w:rsid w:val="00A902D0"/>
    <w:rsid w:val="00A91986"/>
    <w:rsid w:val="00A9492C"/>
    <w:rsid w:val="00AA7455"/>
    <w:rsid w:val="00AA7490"/>
    <w:rsid w:val="00AB0F46"/>
    <w:rsid w:val="00AB4BAD"/>
    <w:rsid w:val="00AC08AD"/>
    <w:rsid w:val="00AC355F"/>
    <w:rsid w:val="00AC46F0"/>
    <w:rsid w:val="00AC6250"/>
    <w:rsid w:val="00AC63BD"/>
    <w:rsid w:val="00AC6B8B"/>
    <w:rsid w:val="00AD2414"/>
    <w:rsid w:val="00AD4ADC"/>
    <w:rsid w:val="00AD7729"/>
    <w:rsid w:val="00AF0BCC"/>
    <w:rsid w:val="00AF199B"/>
    <w:rsid w:val="00AF2E85"/>
    <w:rsid w:val="00AF5F79"/>
    <w:rsid w:val="00AF6240"/>
    <w:rsid w:val="00AF79B2"/>
    <w:rsid w:val="00B01E79"/>
    <w:rsid w:val="00B05B57"/>
    <w:rsid w:val="00B107B5"/>
    <w:rsid w:val="00B11C5E"/>
    <w:rsid w:val="00B13EB5"/>
    <w:rsid w:val="00B14D5C"/>
    <w:rsid w:val="00B1623B"/>
    <w:rsid w:val="00B2546A"/>
    <w:rsid w:val="00B27D93"/>
    <w:rsid w:val="00B3190E"/>
    <w:rsid w:val="00B319D3"/>
    <w:rsid w:val="00B32680"/>
    <w:rsid w:val="00B33AC7"/>
    <w:rsid w:val="00B3580F"/>
    <w:rsid w:val="00B3603B"/>
    <w:rsid w:val="00B41681"/>
    <w:rsid w:val="00B41E70"/>
    <w:rsid w:val="00B42C47"/>
    <w:rsid w:val="00B43091"/>
    <w:rsid w:val="00B431B3"/>
    <w:rsid w:val="00B44279"/>
    <w:rsid w:val="00B461B5"/>
    <w:rsid w:val="00B46968"/>
    <w:rsid w:val="00B46A83"/>
    <w:rsid w:val="00B522E0"/>
    <w:rsid w:val="00B529A5"/>
    <w:rsid w:val="00B55EF2"/>
    <w:rsid w:val="00B57696"/>
    <w:rsid w:val="00B57BAA"/>
    <w:rsid w:val="00B57F76"/>
    <w:rsid w:val="00B60474"/>
    <w:rsid w:val="00B606D8"/>
    <w:rsid w:val="00B634DA"/>
    <w:rsid w:val="00B67C36"/>
    <w:rsid w:val="00B72808"/>
    <w:rsid w:val="00B74E94"/>
    <w:rsid w:val="00B8341A"/>
    <w:rsid w:val="00B85045"/>
    <w:rsid w:val="00B854BE"/>
    <w:rsid w:val="00B86877"/>
    <w:rsid w:val="00B9031A"/>
    <w:rsid w:val="00B90EB0"/>
    <w:rsid w:val="00BA0974"/>
    <w:rsid w:val="00BA4ADC"/>
    <w:rsid w:val="00BA51C1"/>
    <w:rsid w:val="00BA5F10"/>
    <w:rsid w:val="00BB1870"/>
    <w:rsid w:val="00BB231E"/>
    <w:rsid w:val="00BB3F77"/>
    <w:rsid w:val="00BC064B"/>
    <w:rsid w:val="00BC1CFD"/>
    <w:rsid w:val="00BC53E3"/>
    <w:rsid w:val="00BD1196"/>
    <w:rsid w:val="00BD3D3C"/>
    <w:rsid w:val="00BD55B4"/>
    <w:rsid w:val="00BE1BDE"/>
    <w:rsid w:val="00BF329F"/>
    <w:rsid w:val="00BF5889"/>
    <w:rsid w:val="00BF6EAE"/>
    <w:rsid w:val="00C0099D"/>
    <w:rsid w:val="00C028E6"/>
    <w:rsid w:val="00C04D10"/>
    <w:rsid w:val="00C05EB4"/>
    <w:rsid w:val="00C07C3F"/>
    <w:rsid w:val="00C14101"/>
    <w:rsid w:val="00C17D66"/>
    <w:rsid w:val="00C3265B"/>
    <w:rsid w:val="00C34E03"/>
    <w:rsid w:val="00C426BC"/>
    <w:rsid w:val="00C446A7"/>
    <w:rsid w:val="00C5123F"/>
    <w:rsid w:val="00C56C1A"/>
    <w:rsid w:val="00C56C21"/>
    <w:rsid w:val="00C626EE"/>
    <w:rsid w:val="00C62700"/>
    <w:rsid w:val="00C63308"/>
    <w:rsid w:val="00C72AA1"/>
    <w:rsid w:val="00C84DF7"/>
    <w:rsid w:val="00C961E7"/>
    <w:rsid w:val="00CA19F9"/>
    <w:rsid w:val="00CA2502"/>
    <w:rsid w:val="00CA28BC"/>
    <w:rsid w:val="00CA2CFA"/>
    <w:rsid w:val="00CA37F7"/>
    <w:rsid w:val="00CB1353"/>
    <w:rsid w:val="00CB3542"/>
    <w:rsid w:val="00CB449B"/>
    <w:rsid w:val="00CB5A7E"/>
    <w:rsid w:val="00CB663F"/>
    <w:rsid w:val="00CC1229"/>
    <w:rsid w:val="00CC54E3"/>
    <w:rsid w:val="00CC55DE"/>
    <w:rsid w:val="00CC7537"/>
    <w:rsid w:val="00CD5A0E"/>
    <w:rsid w:val="00CD7118"/>
    <w:rsid w:val="00CD7606"/>
    <w:rsid w:val="00CE2B53"/>
    <w:rsid w:val="00CE2FC2"/>
    <w:rsid w:val="00CE334D"/>
    <w:rsid w:val="00CE4AAA"/>
    <w:rsid w:val="00CE6FDE"/>
    <w:rsid w:val="00D00C74"/>
    <w:rsid w:val="00D02766"/>
    <w:rsid w:val="00D033F9"/>
    <w:rsid w:val="00D06AE4"/>
    <w:rsid w:val="00D072D3"/>
    <w:rsid w:val="00D11645"/>
    <w:rsid w:val="00D122D1"/>
    <w:rsid w:val="00D15E89"/>
    <w:rsid w:val="00D26745"/>
    <w:rsid w:val="00D27690"/>
    <w:rsid w:val="00D34040"/>
    <w:rsid w:val="00D34D93"/>
    <w:rsid w:val="00D36101"/>
    <w:rsid w:val="00D40F6B"/>
    <w:rsid w:val="00D426C6"/>
    <w:rsid w:val="00D437C7"/>
    <w:rsid w:val="00D43981"/>
    <w:rsid w:val="00D46523"/>
    <w:rsid w:val="00D508A4"/>
    <w:rsid w:val="00D54815"/>
    <w:rsid w:val="00D65097"/>
    <w:rsid w:val="00D71DE5"/>
    <w:rsid w:val="00D725D3"/>
    <w:rsid w:val="00D737DB"/>
    <w:rsid w:val="00D82A6A"/>
    <w:rsid w:val="00D839AC"/>
    <w:rsid w:val="00D91DCE"/>
    <w:rsid w:val="00D96955"/>
    <w:rsid w:val="00DA1BA1"/>
    <w:rsid w:val="00DA220E"/>
    <w:rsid w:val="00DA2959"/>
    <w:rsid w:val="00DA2BEA"/>
    <w:rsid w:val="00DB1CA6"/>
    <w:rsid w:val="00DB29B3"/>
    <w:rsid w:val="00DD1D5B"/>
    <w:rsid w:val="00DD31BC"/>
    <w:rsid w:val="00DD4553"/>
    <w:rsid w:val="00DD5C01"/>
    <w:rsid w:val="00DD64D5"/>
    <w:rsid w:val="00DD7768"/>
    <w:rsid w:val="00DE0515"/>
    <w:rsid w:val="00DE523F"/>
    <w:rsid w:val="00DF37EE"/>
    <w:rsid w:val="00DF61C1"/>
    <w:rsid w:val="00E00E57"/>
    <w:rsid w:val="00E0268D"/>
    <w:rsid w:val="00E026BB"/>
    <w:rsid w:val="00E03B46"/>
    <w:rsid w:val="00E03DE4"/>
    <w:rsid w:val="00E04F25"/>
    <w:rsid w:val="00E07988"/>
    <w:rsid w:val="00E10159"/>
    <w:rsid w:val="00E11B98"/>
    <w:rsid w:val="00E12E20"/>
    <w:rsid w:val="00E21DB1"/>
    <w:rsid w:val="00E32523"/>
    <w:rsid w:val="00E34040"/>
    <w:rsid w:val="00E35290"/>
    <w:rsid w:val="00E46018"/>
    <w:rsid w:val="00E468C6"/>
    <w:rsid w:val="00E61799"/>
    <w:rsid w:val="00E63E3E"/>
    <w:rsid w:val="00E71DEE"/>
    <w:rsid w:val="00E72074"/>
    <w:rsid w:val="00E73166"/>
    <w:rsid w:val="00E733A3"/>
    <w:rsid w:val="00E82104"/>
    <w:rsid w:val="00E8301D"/>
    <w:rsid w:val="00E87C42"/>
    <w:rsid w:val="00E87D14"/>
    <w:rsid w:val="00EA21DF"/>
    <w:rsid w:val="00EA6854"/>
    <w:rsid w:val="00EA70A2"/>
    <w:rsid w:val="00EB1FEA"/>
    <w:rsid w:val="00EB24A0"/>
    <w:rsid w:val="00EB2533"/>
    <w:rsid w:val="00EB2B3A"/>
    <w:rsid w:val="00EB6175"/>
    <w:rsid w:val="00EC1F11"/>
    <w:rsid w:val="00EC24AC"/>
    <w:rsid w:val="00EC5557"/>
    <w:rsid w:val="00EC5722"/>
    <w:rsid w:val="00EC617D"/>
    <w:rsid w:val="00EC69D4"/>
    <w:rsid w:val="00ED4D2E"/>
    <w:rsid w:val="00ED7F2A"/>
    <w:rsid w:val="00EE5572"/>
    <w:rsid w:val="00EF2633"/>
    <w:rsid w:val="00EF265D"/>
    <w:rsid w:val="00EF30F8"/>
    <w:rsid w:val="00EF3E66"/>
    <w:rsid w:val="00EF5EC0"/>
    <w:rsid w:val="00F01493"/>
    <w:rsid w:val="00F15F03"/>
    <w:rsid w:val="00F15FDD"/>
    <w:rsid w:val="00F17FEA"/>
    <w:rsid w:val="00F21541"/>
    <w:rsid w:val="00F25860"/>
    <w:rsid w:val="00F27112"/>
    <w:rsid w:val="00F364C3"/>
    <w:rsid w:val="00F40278"/>
    <w:rsid w:val="00F417B6"/>
    <w:rsid w:val="00F42390"/>
    <w:rsid w:val="00F425AA"/>
    <w:rsid w:val="00F441A5"/>
    <w:rsid w:val="00F4431A"/>
    <w:rsid w:val="00F5370F"/>
    <w:rsid w:val="00F53F4B"/>
    <w:rsid w:val="00F54631"/>
    <w:rsid w:val="00F60633"/>
    <w:rsid w:val="00F627A4"/>
    <w:rsid w:val="00F6293B"/>
    <w:rsid w:val="00F6484C"/>
    <w:rsid w:val="00F71733"/>
    <w:rsid w:val="00F755F3"/>
    <w:rsid w:val="00F765D4"/>
    <w:rsid w:val="00F82346"/>
    <w:rsid w:val="00F8266C"/>
    <w:rsid w:val="00F83E63"/>
    <w:rsid w:val="00F843E2"/>
    <w:rsid w:val="00F901C8"/>
    <w:rsid w:val="00F9328C"/>
    <w:rsid w:val="00F93D4A"/>
    <w:rsid w:val="00F951C1"/>
    <w:rsid w:val="00FA0DC2"/>
    <w:rsid w:val="00FA155F"/>
    <w:rsid w:val="00FB0113"/>
    <w:rsid w:val="00FB471C"/>
    <w:rsid w:val="00FB7AC8"/>
    <w:rsid w:val="00FC175B"/>
    <w:rsid w:val="00FC31D3"/>
    <w:rsid w:val="00FC358B"/>
    <w:rsid w:val="00FD07D2"/>
    <w:rsid w:val="00FD1A11"/>
    <w:rsid w:val="00FD5D9F"/>
    <w:rsid w:val="00FD6C08"/>
    <w:rsid w:val="00FE405D"/>
    <w:rsid w:val="00FE6680"/>
    <w:rsid w:val="00FE6BCA"/>
    <w:rsid w:val="00FF10F9"/>
    <w:rsid w:val="00FF1F1A"/>
    <w:rsid w:val="00FF244B"/>
    <w:rsid w:val="00FF31C0"/>
    <w:rsid w:val="00FF5E1F"/>
    <w:rsid w:val="00FF7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4507"/>
  <w15:docId w15:val="{3827D0FB-4E4C-47A6-946B-C83B1783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988"/>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pPr>
      <w:ind w:left="1080"/>
      <w:outlineLvl w:val="0"/>
    </w:pPr>
    <w:rPr>
      <w:b/>
      <w:bCs/>
    </w:rPr>
  </w:style>
  <w:style w:type="paragraph" w:styleId="Heading2">
    <w:name w:val="heading 2"/>
    <w:basedOn w:val="Normal"/>
    <w:link w:val="Heading2Char"/>
    <w:uiPriority w:val="9"/>
    <w:unhideWhenUsed/>
    <w:qFormat/>
    <w:pPr>
      <w:ind w:left="360"/>
      <w:jc w:val="both"/>
      <w:outlineLvl w:val="1"/>
    </w:pPr>
    <w:rPr>
      <w:b/>
      <w:bCs/>
    </w:rPr>
  </w:style>
  <w:style w:type="paragraph" w:styleId="Heading3">
    <w:name w:val="heading 3"/>
    <w:basedOn w:val="Normal"/>
    <w:link w:val="Heading3Char"/>
    <w:uiPriority w:val="9"/>
    <w:unhideWhenUsed/>
    <w:qFormat/>
    <w:pPr>
      <w:spacing w:before="71"/>
      <w:ind w:left="1500" w:hanging="420"/>
      <w:jc w:val="both"/>
      <w:outlineLvl w:val="2"/>
    </w:pPr>
    <w:rPr>
      <w:b/>
      <w:bCs/>
      <w:i/>
      <w:iCs/>
    </w:rPr>
  </w:style>
  <w:style w:type="paragraph" w:styleId="Heading4">
    <w:name w:val="heading 4"/>
    <w:basedOn w:val="Normal"/>
    <w:next w:val="Normal"/>
    <w:link w:val="Heading4Char"/>
    <w:uiPriority w:val="9"/>
    <w:semiHidden/>
    <w:unhideWhenUsed/>
    <w:qFormat/>
    <w:rsid w:val="00582D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07" w:hanging="428"/>
      <w:jc w:val="both"/>
    </w:pPr>
  </w:style>
  <w:style w:type="paragraph" w:styleId="ListParagraph">
    <w:name w:val="List Paragraph"/>
    <w:basedOn w:val="Normal"/>
    <w:uiPriority w:val="1"/>
    <w:qFormat/>
    <w:pPr>
      <w:ind w:left="1507" w:hanging="428"/>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B29B3"/>
    <w:rPr>
      <w:rFonts w:ascii="Times New Roman" w:eastAsia="Times New Roman" w:hAnsi="Times New Roman" w:cs="Times New Roman"/>
      <w:sz w:val="24"/>
      <w:szCs w:val="24"/>
      <w:lang w:val="en"/>
    </w:rPr>
  </w:style>
  <w:style w:type="paragraph" w:customStyle="1" w:styleId="Default">
    <w:name w:val="Default"/>
    <w:rsid w:val="00342510"/>
    <w:pPr>
      <w:widowControl/>
      <w:adjustRightInd w:val="0"/>
    </w:pPr>
    <w:rPr>
      <w:rFonts w:ascii="Calibri" w:hAnsi="Calibri" w:cs="Calibri"/>
      <w:color w:val="000000"/>
      <w:sz w:val="24"/>
      <w:szCs w:val="24"/>
    </w:rPr>
  </w:style>
  <w:style w:type="paragraph" w:styleId="NormalWeb">
    <w:name w:val="Normal (Web)"/>
    <w:basedOn w:val="Normal"/>
    <w:uiPriority w:val="99"/>
    <w:unhideWhenUsed/>
    <w:rsid w:val="00E026BB"/>
    <w:pPr>
      <w:spacing w:before="100" w:beforeAutospacing="1" w:after="100" w:afterAutospacing="1"/>
    </w:pPr>
    <w:rPr>
      <w:lang w:eastAsia="vi-VN"/>
    </w:rPr>
  </w:style>
  <w:style w:type="table" w:styleId="TableGrid">
    <w:name w:val="Table Grid"/>
    <w:basedOn w:val="TableNormal"/>
    <w:uiPriority w:val="39"/>
    <w:rsid w:val="00D72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2DD0"/>
    <w:pPr>
      <w:tabs>
        <w:tab w:val="center" w:pos="4513"/>
        <w:tab w:val="right" w:pos="9026"/>
      </w:tabs>
    </w:pPr>
  </w:style>
  <w:style w:type="character" w:customStyle="1" w:styleId="HeaderChar">
    <w:name w:val="Header Char"/>
    <w:basedOn w:val="DefaultParagraphFont"/>
    <w:link w:val="Header"/>
    <w:uiPriority w:val="99"/>
    <w:rsid w:val="00102DD0"/>
    <w:rPr>
      <w:rFonts w:ascii="Times New Roman" w:eastAsia="Times New Roman" w:hAnsi="Times New Roman" w:cs="Times New Roman"/>
      <w:lang w:val="en"/>
    </w:rPr>
  </w:style>
  <w:style w:type="paragraph" w:styleId="Footer">
    <w:name w:val="footer"/>
    <w:basedOn w:val="Normal"/>
    <w:link w:val="FooterChar"/>
    <w:uiPriority w:val="99"/>
    <w:unhideWhenUsed/>
    <w:rsid w:val="00102DD0"/>
    <w:pPr>
      <w:tabs>
        <w:tab w:val="center" w:pos="4513"/>
        <w:tab w:val="right" w:pos="9026"/>
      </w:tabs>
    </w:pPr>
  </w:style>
  <w:style w:type="character" w:customStyle="1" w:styleId="FooterChar">
    <w:name w:val="Footer Char"/>
    <w:basedOn w:val="DefaultParagraphFont"/>
    <w:link w:val="Footer"/>
    <w:uiPriority w:val="99"/>
    <w:rsid w:val="00102DD0"/>
    <w:rPr>
      <w:rFonts w:ascii="Times New Roman" w:eastAsia="Times New Roman" w:hAnsi="Times New Roman" w:cs="Times New Roman"/>
      <w:lang w:val="en"/>
    </w:rPr>
  </w:style>
  <w:style w:type="character" w:styleId="Hyperlink">
    <w:name w:val="Hyperlink"/>
    <w:basedOn w:val="DefaultParagraphFont"/>
    <w:uiPriority w:val="99"/>
    <w:unhideWhenUsed/>
    <w:rsid w:val="00F21541"/>
    <w:rPr>
      <w:color w:val="0000FF" w:themeColor="hyperlink"/>
      <w:u w:val="single"/>
    </w:rPr>
  </w:style>
  <w:style w:type="paragraph" w:customStyle="1" w:styleId="nvcngtc-Emailtcgi">
    <w:name w:val="@Đơn vị công tác - Email tác giả"/>
    <w:basedOn w:val="Normal"/>
    <w:link w:val="nvcngtc-EmailtcgiChar"/>
    <w:qFormat/>
    <w:rsid w:val="00F21541"/>
    <w:pPr>
      <w:spacing w:line="276" w:lineRule="auto"/>
      <w:jc w:val="center"/>
    </w:pPr>
    <w:rPr>
      <w:rFonts w:eastAsia="Calibri"/>
      <w:i/>
      <w:sz w:val="21"/>
      <w:szCs w:val="21"/>
    </w:rPr>
  </w:style>
  <w:style w:type="character" w:customStyle="1" w:styleId="nvcngtc-EmailtcgiChar">
    <w:name w:val="@Đơn vị công tác - Email tác giả Char"/>
    <w:link w:val="nvcngtc-Emailtcgi"/>
    <w:rsid w:val="00F21541"/>
    <w:rPr>
      <w:rFonts w:ascii="Times New Roman" w:eastAsia="Calibri" w:hAnsi="Times New Roman" w:cs="Times New Roman"/>
      <w:i/>
      <w:sz w:val="21"/>
      <w:szCs w:val="21"/>
    </w:rPr>
  </w:style>
  <w:style w:type="character" w:customStyle="1" w:styleId="cpChagiiquyt1">
    <w:name w:val="Đề cập Chưa giải quyết1"/>
    <w:basedOn w:val="DefaultParagraphFont"/>
    <w:uiPriority w:val="99"/>
    <w:semiHidden/>
    <w:unhideWhenUsed/>
    <w:rsid w:val="009B261A"/>
    <w:rPr>
      <w:color w:val="605E5C"/>
      <w:shd w:val="clear" w:color="auto" w:fill="E1DFDD"/>
    </w:rPr>
  </w:style>
  <w:style w:type="character" w:styleId="Strong">
    <w:name w:val="Strong"/>
    <w:basedOn w:val="DefaultParagraphFont"/>
    <w:uiPriority w:val="22"/>
    <w:qFormat/>
    <w:rsid w:val="00A00F3E"/>
    <w:rPr>
      <w:b/>
      <w:bCs/>
    </w:rPr>
  </w:style>
  <w:style w:type="character" w:customStyle="1" w:styleId="Heading4Char">
    <w:name w:val="Heading 4 Char"/>
    <w:basedOn w:val="DefaultParagraphFont"/>
    <w:link w:val="Heading4"/>
    <w:uiPriority w:val="9"/>
    <w:semiHidden/>
    <w:rsid w:val="00582D8F"/>
    <w:rPr>
      <w:rFonts w:asciiTheme="majorHAnsi" w:eastAsiaTheme="majorEastAsia" w:hAnsiTheme="majorHAnsi" w:cstheme="majorBidi"/>
      <w:i/>
      <w:iCs/>
      <w:color w:val="365F91" w:themeColor="accent1" w:themeShade="BF"/>
      <w:lang w:val="en"/>
    </w:rPr>
  </w:style>
  <w:style w:type="character" w:styleId="LineNumber">
    <w:name w:val="line number"/>
    <w:basedOn w:val="DefaultParagraphFont"/>
    <w:uiPriority w:val="99"/>
    <w:semiHidden/>
    <w:unhideWhenUsed/>
    <w:rsid w:val="004A132F"/>
  </w:style>
  <w:style w:type="character" w:customStyle="1" w:styleId="fontstyle01">
    <w:name w:val="fontstyle01"/>
    <w:basedOn w:val="DefaultParagraphFont"/>
    <w:rsid w:val="00D122D1"/>
    <w:rPr>
      <w:rFonts w:ascii="WorkSans-Bold" w:hAnsi="WorkSans-Bold" w:hint="default"/>
      <w:b/>
      <w:bCs/>
      <w:i w:val="0"/>
      <w:iCs w:val="0"/>
      <w:color w:val="364775"/>
      <w:sz w:val="22"/>
      <w:szCs w:val="22"/>
    </w:rPr>
  </w:style>
  <w:style w:type="character" w:customStyle="1" w:styleId="Heading1Char">
    <w:name w:val="Heading 1 Char"/>
    <w:basedOn w:val="DefaultParagraphFont"/>
    <w:link w:val="Heading1"/>
    <w:uiPriority w:val="9"/>
    <w:rsid w:val="00963FC8"/>
    <w:rPr>
      <w:rFonts w:ascii="Times New Roman" w:eastAsia="Times New Roman" w:hAnsi="Times New Roman" w:cs="Times New Roman"/>
      <w:b/>
      <w:bCs/>
      <w:sz w:val="24"/>
      <w:szCs w:val="24"/>
      <w:lang w:val="en-US"/>
    </w:rPr>
  </w:style>
  <w:style w:type="character" w:styleId="UnresolvedMention">
    <w:name w:val="Unresolved Mention"/>
    <w:basedOn w:val="DefaultParagraphFont"/>
    <w:uiPriority w:val="99"/>
    <w:semiHidden/>
    <w:unhideWhenUsed/>
    <w:rsid w:val="007707D7"/>
    <w:rPr>
      <w:color w:val="605E5C"/>
      <w:shd w:val="clear" w:color="auto" w:fill="E1DFDD"/>
    </w:rPr>
  </w:style>
  <w:style w:type="character" w:customStyle="1" w:styleId="math-inline">
    <w:name w:val="math-inline"/>
    <w:basedOn w:val="DefaultParagraphFont"/>
    <w:rsid w:val="00001484"/>
  </w:style>
  <w:style w:type="table" w:styleId="PlainTable2">
    <w:name w:val="Plain Table 2"/>
    <w:basedOn w:val="TableNormal"/>
    <w:uiPriority w:val="42"/>
    <w:rsid w:val="000014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331260"/>
    <w:pPr>
      <w:widowControl/>
      <w:autoSpaceDE/>
      <w:autoSpaceDN/>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8210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34D93"/>
    <w:rPr>
      <w:rFonts w:ascii="Times New Roman" w:eastAsia="Times New Roman" w:hAnsi="Times New Roman" w:cs="Times New Roman"/>
      <w:b/>
      <w:bCs/>
      <w:i/>
      <w:iCs/>
      <w:sz w:val="24"/>
      <w:szCs w:val="24"/>
    </w:rPr>
  </w:style>
  <w:style w:type="character" w:styleId="PlaceholderText">
    <w:name w:val="Placeholder Text"/>
    <w:basedOn w:val="DefaultParagraphFont"/>
    <w:uiPriority w:val="99"/>
    <w:semiHidden/>
    <w:rsid w:val="00A902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8858">
      <w:bodyDiv w:val="1"/>
      <w:marLeft w:val="0"/>
      <w:marRight w:val="0"/>
      <w:marTop w:val="0"/>
      <w:marBottom w:val="0"/>
      <w:divBdr>
        <w:top w:val="none" w:sz="0" w:space="0" w:color="auto"/>
        <w:left w:val="none" w:sz="0" w:space="0" w:color="auto"/>
        <w:bottom w:val="none" w:sz="0" w:space="0" w:color="auto"/>
        <w:right w:val="none" w:sz="0" w:space="0" w:color="auto"/>
      </w:divBdr>
    </w:div>
    <w:div w:id="1861864">
      <w:bodyDiv w:val="1"/>
      <w:marLeft w:val="0"/>
      <w:marRight w:val="0"/>
      <w:marTop w:val="0"/>
      <w:marBottom w:val="0"/>
      <w:divBdr>
        <w:top w:val="none" w:sz="0" w:space="0" w:color="auto"/>
        <w:left w:val="none" w:sz="0" w:space="0" w:color="auto"/>
        <w:bottom w:val="none" w:sz="0" w:space="0" w:color="auto"/>
        <w:right w:val="none" w:sz="0" w:space="0" w:color="auto"/>
      </w:divBdr>
    </w:div>
    <w:div w:id="23216905">
      <w:bodyDiv w:val="1"/>
      <w:marLeft w:val="0"/>
      <w:marRight w:val="0"/>
      <w:marTop w:val="0"/>
      <w:marBottom w:val="0"/>
      <w:divBdr>
        <w:top w:val="none" w:sz="0" w:space="0" w:color="auto"/>
        <w:left w:val="none" w:sz="0" w:space="0" w:color="auto"/>
        <w:bottom w:val="none" w:sz="0" w:space="0" w:color="auto"/>
        <w:right w:val="none" w:sz="0" w:space="0" w:color="auto"/>
      </w:divBdr>
    </w:div>
    <w:div w:id="28145097">
      <w:bodyDiv w:val="1"/>
      <w:marLeft w:val="0"/>
      <w:marRight w:val="0"/>
      <w:marTop w:val="0"/>
      <w:marBottom w:val="0"/>
      <w:divBdr>
        <w:top w:val="none" w:sz="0" w:space="0" w:color="auto"/>
        <w:left w:val="none" w:sz="0" w:space="0" w:color="auto"/>
        <w:bottom w:val="none" w:sz="0" w:space="0" w:color="auto"/>
        <w:right w:val="none" w:sz="0" w:space="0" w:color="auto"/>
      </w:divBdr>
    </w:div>
    <w:div w:id="41053425">
      <w:bodyDiv w:val="1"/>
      <w:marLeft w:val="0"/>
      <w:marRight w:val="0"/>
      <w:marTop w:val="0"/>
      <w:marBottom w:val="0"/>
      <w:divBdr>
        <w:top w:val="none" w:sz="0" w:space="0" w:color="auto"/>
        <w:left w:val="none" w:sz="0" w:space="0" w:color="auto"/>
        <w:bottom w:val="none" w:sz="0" w:space="0" w:color="auto"/>
        <w:right w:val="none" w:sz="0" w:space="0" w:color="auto"/>
      </w:divBdr>
    </w:div>
    <w:div w:id="46339537">
      <w:bodyDiv w:val="1"/>
      <w:marLeft w:val="0"/>
      <w:marRight w:val="0"/>
      <w:marTop w:val="0"/>
      <w:marBottom w:val="0"/>
      <w:divBdr>
        <w:top w:val="none" w:sz="0" w:space="0" w:color="auto"/>
        <w:left w:val="none" w:sz="0" w:space="0" w:color="auto"/>
        <w:bottom w:val="none" w:sz="0" w:space="0" w:color="auto"/>
        <w:right w:val="none" w:sz="0" w:space="0" w:color="auto"/>
      </w:divBdr>
    </w:div>
    <w:div w:id="55052558">
      <w:bodyDiv w:val="1"/>
      <w:marLeft w:val="0"/>
      <w:marRight w:val="0"/>
      <w:marTop w:val="0"/>
      <w:marBottom w:val="0"/>
      <w:divBdr>
        <w:top w:val="none" w:sz="0" w:space="0" w:color="auto"/>
        <w:left w:val="none" w:sz="0" w:space="0" w:color="auto"/>
        <w:bottom w:val="none" w:sz="0" w:space="0" w:color="auto"/>
        <w:right w:val="none" w:sz="0" w:space="0" w:color="auto"/>
      </w:divBdr>
    </w:div>
    <w:div w:id="58292765">
      <w:bodyDiv w:val="1"/>
      <w:marLeft w:val="0"/>
      <w:marRight w:val="0"/>
      <w:marTop w:val="0"/>
      <w:marBottom w:val="0"/>
      <w:divBdr>
        <w:top w:val="none" w:sz="0" w:space="0" w:color="auto"/>
        <w:left w:val="none" w:sz="0" w:space="0" w:color="auto"/>
        <w:bottom w:val="none" w:sz="0" w:space="0" w:color="auto"/>
        <w:right w:val="none" w:sz="0" w:space="0" w:color="auto"/>
      </w:divBdr>
    </w:div>
    <w:div w:id="67851581">
      <w:bodyDiv w:val="1"/>
      <w:marLeft w:val="0"/>
      <w:marRight w:val="0"/>
      <w:marTop w:val="0"/>
      <w:marBottom w:val="0"/>
      <w:divBdr>
        <w:top w:val="none" w:sz="0" w:space="0" w:color="auto"/>
        <w:left w:val="none" w:sz="0" w:space="0" w:color="auto"/>
        <w:bottom w:val="none" w:sz="0" w:space="0" w:color="auto"/>
        <w:right w:val="none" w:sz="0" w:space="0" w:color="auto"/>
      </w:divBdr>
    </w:div>
    <w:div w:id="71702604">
      <w:bodyDiv w:val="1"/>
      <w:marLeft w:val="0"/>
      <w:marRight w:val="0"/>
      <w:marTop w:val="0"/>
      <w:marBottom w:val="0"/>
      <w:divBdr>
        <w:top w:val="none" w:sz="0" w:space="0" w:color="auto"/>
        <w:left w:val="none" w:sz="0" w:space="0" w:color="auto"/>
        <w:bottom w:val="none" w:sz="0" w:space="0" w:color="auto"/>
        <w:right w:val="none" w:sz="0" w:space="0" w:color="auto"/>
      </w:divBdr>
    </w:div>
    <w:div w:id="82726967">
      <w:bodyDiv w:val="1"/>
      <w:marLeft w:val="0"/>
      <w:marRight w:val="0"/>
      <w:marTop w:val="0"/>
      <w:marBottom w:val="0"/>
      <w:divBdr>
        <w:top w:val="none" w:sz="0" w:space="0" w:color="auto"/>
        <w:left w:val="none" w:sz="0" w:space="0" w:color="auto"/>
        <w:bottom w:val="none" w:sz="0" w:space="0" w:color="auto"/>
        <w:right w:val="none" w:sz="0" w:space="0" w:color="auto"/>
      </w:divBdr>
    </w:div>
    <w:div w:id="117384133">
      <w:bodyDiv w:val="1"/>
      <w:marLeft w:val="0"/>
      <w:marRight w:val="0"/>
      <w:marTop w:val="0"/>
      <w:marBottom w:val="0"/>
      <w:divBdr>
        <w:top w:val="none" w:sz="0" w:space="0" w:color="auto"/>
        <w:left w:val="none" w:sz="0" w:space="0" w:color="auto"/>
        <w:bottom w:val="none" w:sz="0" w:space="0" w:color="auto"/>
        <w:right w:val="none" w:sz="0" w:space="0" w:color="auto"/>
      </w:divBdr>
    </w:div>
    <w:div w:id="123233014">
      <w:bodyDiv w:val="1"/>
      <w:marLeft w:val="0"/>
      <w:marRight w:val="0"/>
      <w:marTop w:val="0"/>
      <w:marBottom w:val="0"/>
      <w:divBdr>
        <w:top w:val="none" w:sz="0" w:space="0" w:color="auto"/>
        <w:left w:val="none" w:sz="0" w:space="0" w:color="auto"/>
        <w:bottom w:val="none" w:sz="0" w:space="0" w:color="auto"/>
        <w:right w:val="none" w:sz="0" w:space="0" w:color="auto"/>
      </w:divBdr>
    </w:div>
    <w:div w:id="142240374">
      <w:bodyDiv w:val="1"/>
      <w:marLeft w:val="0"/>
      <w:marRight w:val="0"/>
      <w:marTop w:val="0"/>
      <w:marBottom w:val="0"/>
      <w:divBdr>
        <w:top w:val="none" w:sz="0" w:space="0" w:color="auto"/>
        <w:left w:val="none" w:sz="0" w:space="0" w:color="auto"/>
        <w:bottom w:val="none" w:sz="0" w:space="0" w:color="auto"/>
        <w:right w:val="none" w:sz="0" w:space="0" w:color="auto"/>
      </w:divBdr>
    </w:div>
    <w:div w:id="143740174">
      <w:bodyDiv w:val="1"/>
      <w:marLeft w:val="0"/>
      <w:marRight w:val="0"/>
      <w:marTop w:val="0"/>
      <w:marBottom w:val="0"/>
      <w:divBdr>
        <w:top w:val="none" w:sz="0" w:space="0" w:color="auto"/>
        <w:left w:val="none" w:sz="0" w:space="0" w:color="auto"/>
        <w:bottom w:val="none" w:sz="0" w:space="0" w:color="auto"/>
        <w:right w:val="none" w:sz="0" w:space="0" w:color="auto"/>
      </w:divBdr>
    </w:div>
    <w:div w:id="184901620">
      <w:bodyDiv w:val="1"/>
      <w:marLeft w:val="0"/>
      <w:marRight w:val="0"/>
      <w:marTop w:val="0"/>
      <w:marBottom w:val="0"/>
      <w:divBdr>
        <w:top w:val="none" w:sz="0" w:space="0" w:color="auto"/>
        <w:left w:val="none" w:sz="0" w:space="0" w:color="auto"/>
        <w:bottom w:val="none" w:sz="0" w:space="0" w:color="auto"/>
        <w:right w:val="none" w:sz="0" w:space="0" w:color="auto"/>
      </w:divBdr>
    </w:div>
    <w:div w:id="191575852">
      <w:bodyDiv w:val="1"/>
      <w:marLeft w:val="0"/>
      <w:marRight w:val="0"/>
      <w:marTop w:val="0"/>
      <w:marBottom w:val="0"/>
      <w:divBdr>
        <w:top w:val="none" w:sz="0" w:space="0" w:color="auto"/>
        <w:left w:val="none" w:sz="0" w:space="0" w:color="auto"/>
        <w:bottom w:val="none" w:sz="0" w:space="0" w:color="auto"/>
        <w:right w:val="none" w:sz="0" w:space="0" w:color="auto"/>
      </w:divBdr>
    </w:div>
    <w:div w:id="193228220">
      <w:bodyDiv w:val="1"/>
      <w:marLeft w:val="0"/>
      <w:marRight w:val="0"/>
      <w:marTop w:val="0"/>
      <w:marBottom w:val="0"/>
      <w:divBdr>
        <w:top w:val="none" w:sz="0" w:space="0" w:color="auto"/>
        <w:left w:val="none" w:sz="0" w:space="0" w:color="auto"/>
        <w:bottom w:val="none" w:sz="0" w:space="0" w:color="auto"/>
        <w:right w:val="none" w:sz="0" w:space="0" w:color="auto"/>
      </w:divBdr>
    </w:div>
    <w:div w:id="352153838">
      <w:bodyDiv w:val="1"/>
      <w:marLeft w:val="0"/>
      <w:marRight w:val="0"/>
      <w:marTop w:val="0"/>
      <w:marBottom w:val="0"/>
      <w:divBdr>
        <w:top w:val="none" w:sz="0" w:space="0" w:color="auto"/>
        <w:left w:val="none" w:sz="0" w:space="0" w:color="auto"/>
        <w:bottom w:val="none" w:sz="0" w:space="0" w:color="auto"/>
        <w:right w:val="none" w:sz="0" w:space="0" w:color="auto"/>
      </w:divBdr>
      <w:divsChild>
        <w:div w:id="191011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089972">
      <w:bodyDiv w:val="1"/>
      <w:marLeft w:val="0"/>
      <w:marRight w:val="0"/>
      <w:marTop w:val="0"/>
      <w:marBottom w:val="0"/>
      <w:divBdr>
        <w:top w:val="none" w:sz="0" w:space="0" w:color="auto"/>
        <w:left w:val="none" w:sz="0" w:space="0" w:color="auto"/>
        <w:bottom w:val="none" w:sz="0" w:space="0" w:color="auto"/>
        <w:right w:val="none" w:sz="0" w:space="0" w:color="auto"/>
      </w:divBdr>
    </w:div>
    <w:div w:id="405491735">
      <w:bodyDiv w:val="1"/>
      <w:marLeft w:val="0"/>
      <w:marRight w:val="0"/>
      <w:marTop w:val="0"/>
      <w:marBottom w:val="0"/>
      <w:divBdr>
        <w:top w:val="none" w:sz="0" w:space="0" w:color="auto"/>
        <w:left w:val="none" w:sz="0" w:space="0" w:color="auto"/>
        <w:bottom w:val="none" w:sz="0" w:space="0" w:color="auto"/>
        <w:right w:val="none" w:sz="0" w:space="0" w:color="auto"/>
      </w:divBdr>
    </w:div>
    <w:div w:id="410471776">
      <w:bodyDiv w:val="1"/>
      <w:marLeft w:val="0"/>
      <w:marRight w:val="0"/>
      <w:marTop w:val="0"/>
      <w:marBottom w:val="0"/>
      <w:divBdr>
        <w:top w:val="none" w:sz="0" w:space="0" w:color="auto"/>
        <w:left w:val="none" w:sz="0" w:space="0" w:color="auto"/>
        <w:bottom w:val="none" w:sz="0" w:space="0" w:color="auto"/>
        <w:right w:val="none" w:sz="0" w:space="0" w:color="auto"/>
      </w:divBdr>
    </w:div>
    <w:div w:id="462500533">
      <w:bodyDiv w:val="1"/>
      <w:marLeft w:val="0"/>
      <w:marRight w:val="0"/>
      <w:marTop w:val="0"/>
      <w:marBottom w:val="0"/>
      <w:divBdr>
        <w:top w:val="none" w:sz="0" w:space="0" w:color="auto"/>
        <w:left w:val="none" w:sz="0" w:space="0" w:color="auto"/>
        <w:bottom w:val="none" w:sz="0" w:space="0" w:color="auto"/>
        <w:right w:val="none" w:sz="0" w:space="0" w:color="auto"/>
      </w:divBdr>
    </w:div>
    <w:div w:id="474109273">
      <w:bodyDiv w:val="1"/>
      <w:marLeft w:val="0"/>
      <w:marRight w:val="0"/>
      <w:marTop w:val="0"/>
      <w:marBottom w:val="0"/>
      <w:divBdr>
        <w:top w:val="none" w:sz="0" w:space="0" w:color="auto"/>
        <w:left w:val="none" w:sz="0" w:space="0" w:color="auto"/>
        <w:bottom w:val="none" w:sz="0" w:space="0" w:color="auto"/>
        <w:right w:val="none" w:sz="0" w:space="0" w:color="auto"/>
      </w:divBdr>
    </w:div>
    <w:div w:id="483010055">
      <w:bodyDiv w:val="1"/>
      <w:marLeft w:val="0"/>
      <w:marRight w:val="0"/>
      <w:marTop w:val="0"/>
      <w:marBottom w:val="0"/>
      <w:divBdr>
        <w:top w:val="none" w:sz="0" w:space="0" w:color="auto"/>
        <w:left w:val="none" w:sz="0" w:space="0" w:color="auto"/>
        <w:bottom w:val="none" w:sz="0" w:space="0" w:color="auto"/>
        <w:right w:val="none" w:sz="0" w:space="0" w:color="auto"/>
      </w:divBdr>
    </w:div>
    <w:div w:id="494607774">
      <w:bodyDiv w:val="1"/>
      <w:marLeft w:val="0"/>
      <w:marRight w:val="0"/>
      <w:marTop w:val="0"/>
      <w:marBottom w:val="0"/>
      <w:divBdr>
        <w:top w:val="none" w:sz="0" w:space="0" w:color="auto"/>
        <w:left w:val="none" w:sz="0" w:space="0" w:color="auto"/>
        <w:bottom w:val="none" w:sz="0" w:space="0" w:color="auto"/>
        <w:right w:val="none" w:sz="0" w:space="0" w:color="auto"/>
      </w:divBdr>
      <w:divsChild>
        <w:div w:id="2050521007">
          <w:marLeft w:val="0"/>
          <w:marRight w:val="0"/>
          <w:marTop w:val="0"/>
          <w:marBottom w:val="0"/>
          <w:divBdr>
            <w:top w:val="none" w:sz="0" w:space="0" w:color="auto"/>
            <w:left w:val="none" w:sz="0" w:space="0" w:color="auto"/>
            <w:bottom w:val="none" w:sz="0" w:space="0" w:color="auto"/>
            <w:right w:val="none" w:sz="0" w:space="0" w:color="auto"/>
          </w:divBdr>
        </w:div>
      </w:divsChild>
    </w:div>
    <w:div w:id="513959255">
      <w:bodyDiv w:val="1"/>
      <w:marLeft w:val="0"/>
      <w:marRight w:val="0"/>
      <w:marTop w:val="0"/>
      <w:marBottom w:val="0"/>
      <w:divBdr>
        <w:top w:val="none" w:sz="0" w:space="0" w:color="auto"/>
        <w:left w:val="none" w:sz="0" w:space="0" w:color="auto"/>
        <w:bottom w:val="none" w:sz="0" w:space="0" w:color="auto"/>
        <w:right w:val="none" w:sz="0" w:space="0" w:color="auto"/>
      </w:divBdr>
    </w:div>
    <w:div w:id="517306188">
      <w:bodyDiv w:val="1"/>
      <w:marLeft w:val="0"/>
      <w:marRight w:val="0"/>
      <w:marTop w:val="0"/>
      <w:marBottom w:val="0"/>
      <w:divBdr>
        <w:top w:val="none" w:sz="0" w:space="0" w:color="auto"/>
        <w:left w:val="none" w:sz="0" w:space="0" w:color="auto"/>
        <w:bottom w:val="none" w:sz="0" w:space="0" w:color="auto"/>
        <w:right w:val="none" w:sz="0" w:space="0" w:color="auto"/>
      </w:divBdr>
    </w:div>
    <w:div w:id="533269393">
      <w:bodyDiv w:val="1"/>
      <w:marLeft w:val="0"/>
      <w:marRight w:val="0"/>
      <w:marTop w:val="0"/>
      <w:marBottom w:val="0"/>
      <w:divBdr>
        <w:top w:val="none" w:sz="0" w:space="0" w:color="auto"/>
        <w:left w:val="none" w:sz="0" w:space="0" w:color="auto"/>
        <w:bottom w:val="none" w:sz="0" w:space="0" w:color="auto"/>
        <w:right w:val="none" w:sz="0" w:space="0" w:color="auto"/>
      </w:divBdr>
    </w:div>
    <w:div w:id="567155039">
      <w:bodyDiv w:val="1"/>
      <w:marLeft w:val="0"/>
      <w:marRight w:val="0"/>
      <w:marTop w:val="0"/>
      <w:marBottom w:val="0"/>
      <w:divBdr>
        <w:top w:val="none" w:sz="0" w:space="0" w:color="auto"/>
        <w:left w:val="none" w:sz="0" w:space="0" w:color="auto"/>
        <w:bottom w:val="none" w:sz="0" w:space="0" w:color="auto"/>
        <w:right w:val="none" w:sz="0" w:space="0" w:color="auto"/>
      </w:divBdr>
    </w:div>
    <w:div w:id="569121174">
      <w:bodyDiv w:val="1"/>
      <w:marLeft w:val="0"/>
      <w:marRight w:val="0"/>
      <w:marTop w:val="0"/>
      <w:marBottom w:val="0"/>
      <w:divBdr>
        <w:top w:val="none" w:sz="0" w:space="0" w:color="auto"/>
        <w:left w:val="none" w:sz="0" w:space="0" w:color="auto"/>
        <w:bottom w:val="none" w:sz="0" w:space="0" w:color="auto"/>
        <w:right w:val="none" w:sz="0" w:space="0" w:color="auto"/>
      </w:divBdr>
    </w:div>
    <w:div w:id="577322350">
      <w:bodyDiv w:val="1"/>
      <w:marLeft w:val="0"/>
      <w:marRight w:val="0"/>
      <w:marTop w:val="0"/>
      <w:marBottom w:val="0"/>
      <w:divBdr>
        <w:top w:val="none" w:sz="0" w:space="0" w:color="auto"/>
        <w:left w:val="none" w:sz="0" w:space="0" w:color="auto"/>
        <w:bottom w:val="none" w:sz="0" w:space="0" w:color="auto"/>
        <w:right w:val="none" w:sz="0" w:space="0" w:color="auto"/>
      </w:divBdr>
    </w:div>
    <w:div w:id="598875586">
      <w:bodyDiv w:val="1"/>
      <w:marLeft w:val="0"/>
      <w:marRight w:val="0"/>
      <w:marTop w:val="0"/>
      <w:marBottom w:val="0"/>
      <w:divBdr>
        <w:top w:val="none" w:sz="0" w:space="0" w:color="auto"/>
        <w:left w:val="none" w:sz="0" w:space="0" w:color="auto"/>
        <w:bottom w:val="none" w:sz="0" w:space="0" w:color="auto"/>
        <w:right w:val="none" w:sz="0" w:space="0" w:color="auto"/>
      </w:divBdr>
    </w:div>
    <w:div w:id="600258329">
      <w:bodyDiv w:val="1"/>
      <w:marLeft w:val="0"/>
      <w:marRight w:val="0"/>
      <w:marTop w:val="0"/>
      <w:marBottom w:val="0"/>
      <w:divBdr>
        <w:top w:val="none" w:sz="0" w:space="0" w:color="auto"/>
        <w:left w:val="none" w:sz="0" w:space="0" w:color="auto"/>
        <w:bottom w:val="none" w:sz="0" w:space="0" w:color="auto"/>
        <w:right w:val="none" w:sz="0" w:space="0" w:color="auto"/>
      </w:divBdr>
    </w:div>
    <w:div w:id="629743646">
      <w:bodyDiv w:val="1"/>
      <w:marLeft w:val="0"/>
      <w:marRight w:val="0"/>
      <w:marTop w:val="0"/>
      <w:marBottom w:val="0"/>
      <w:divBdr>
        <w:top w:val="none" w:sz="0" w:space="0" w:color="auto"/>
        <w:left w:val="none" w:sz="0" w:space="0" w:color="auto"/>
        <w:bottom w:val="none" w:sz="0" w:space="0" w:color="auto"/>
        <w:right w:val="none" w:sz="0" w:space="0" w:color="auto"/>
      </w:divBdr>
    </w:div>
    <w:div w:id="749739169">
      <w:bodyDiv w:val="1"/>
      <w:marLeft w:val="0"/>
      <w:marRight w:val="0"/>
      <w:marTop w:val="0"/>
      <w:marBottom w:val="0"/>
      <w:divBdr>
        <w:top w:val="none" w:sz="0" w:space="0" w:color="auto"/>
        <w:left w:val="none" w:sz="0" w:space="0" w:color="auto"/>
        <w:bottom w:val="none" w:sz="0" w:space="0" w:color="auto"/>
        <w:right w:val="none" w:sz="0" w:space="0" w:color="auto"/>
      </w:divBdr>
    </w:div>
    <w:div w:id="762607309">
      <w:bodyDiv w:val="1"/>
      <w:marLeft w:val="0"/>
      <w:marRight w:val="0"/>
      <w:marTop w:val="0"/>
      <w:marBottom w:val="0"/>
      <w:divBdr>
        <w:top w:val="none" w:sz="0" w:space="0" w:color="auto"/>
        <w:left w:val="none" w:sz="0" w:space="0" w:color="auto"/>
        <w:bottom w:val="none" w:sz="0" w:space="0" w:color="auto"/>
        <w:right w:val="none" w:sz="0" w:space="0" w:color="auto"/>
      </w:divBdr>
    </w:div>
    <w:div w:id="769357414">
      <w:bodyDiv w:val="1"/>
      <w:marLeft w:val="0"/>
      <w:marRight w:val="0"/>
      <w:marTop w:val="0"/>
      <w:marBottom w:val="0"/>
      <w:divBdr>
        <w:top w:val="none" w:sz="0" w:space="0" w:color="auto"/>
        <w:left w:val="none" w:sz="0" w:space="0" w:color="auto"/>
        <w:bottom w:val="none" w:sz="0" w:space="0" w:color="auto"/>
        <w:right w:val="none" w:sz="0" w:space="0" w:color="auto"/>
      </w:divBdr>
    </w:div>
    <w:div w:id="769472468">
      <w:bodyDiv w:val="1"/>
      <w:marLeft w:val="0"/>
      <w:marRight w:val="0"/>
      <w:marTop w:val="0"/>
      <w:marBottom w:val="0"/>
      <w:divBdr>
        <w:top w:val="none" w:sz="0" w:space="0" w:color="auto"/>
        <w:left w:val="none" w:sz="0" w:space="0" w:color="auto"/>
        <w:bottom w:val="none" w:sz="0" w:space="0" w:color="auto"/>
        <w:right w:val="none" w:sz="0" w:space="0" w:color="auto"/>
      </w:divBdr>
    </w:div>
    <w:div w:id="773864634">
      <w:bodyDiv w:val="1"/>
      <w:marLeft w:val="0"/>
      <w:marRight w:val="0"/>
      <w:marTop w:val="0"/>
      <w:marBottom w:val="0"/>
      <w:divBdr>
        <w:top w:val="none" w:sz="0" w:space="0" w:color="auto"/>
        <w:left w:val="none" w:sz="0" w:space="0" w:color="auto"/>
        <w:bottom w:val="none" w:sz="0" w:space="0" w:color="auto"/>
        <w:right w:val="none" w:sz="0" w:space="0" w:color="auto"/>
      </w:divBdr>
    </w:div>
    <w:div w:id="774517778">
      <w:bodyDiv w:val="1"/>
      <w:marLeft w:val="0"/>
      <w:marRight w:val="0"/>
      <w:marTop w:val="0"/>
      <w:marBottom w:val="0"/>
      <w:divBdr>
        <w:top w:val="none" w:sz="0" w:space="0" w:color="auto"/>
        <w:left w:val="none" w:sz="0" w:space="0" w:color="auto"/>
        <w:bottom w:val="none" w:sz="0" w:space="0" w:color="auto"/>
        <w:right w:val="none" w:sz="0" w:space="0" w:color="auto"/>
      </w:divBdr>
    </w:div>
    <w:div w:id="780809046">
      <w:bodyDiv w:val="1"/>
      <w:marLeft w:val="0"/>
      <w:marRight w:val="0"/>
      <w:marTop w:val="0"/>
      <w:marBottom w:val="0"/>
      <w:divBdr>
        <w:top w:val="none" w:sz="0" w:space="0" w:color="auto"/>
        <w:left w:val="none" w:sz="0" w:space="0" w:color="auto"/>
        <w:bottom w:val="none" w:sz="0" w:space="0" w:color="auto"/>
        <w:right w:val="none" w:sz="0" w:space="0" w:color="auto"/>
      </w:divBdr>
    </w:div>
    <w:div w:id="821894132">
      <w:bodyDiv w:val="1"/>
      <w:marLeft w:val="0"/>
      <w:marRight w:val="0"/>
      <w:marTop w:val="0"/>
      <w:marBottom w:val="0"/>
      <w:divBdr>
        <w:top w:val="none" w:sz="0" w:space="0" w:color="auto"/>
        <w:left w:val="none" w:sz="0" w:space="0" w:color="auto"/>
        <w:bottom w:val="none" w:sz="0" w:space="0" w:color="auto"/>
        <w:right w:val="none" w:sz="0" w:space="0" w:color="auto"/>
      </w:divBdr>
    </w:div>
    <w:div w:id="824013333">
      <w:bodyDiv w:val="1"/>
      <w:marLeft w:val="0"/>
      <w:marRight w:val="0"/>
      <w:marTop w:val="0"/>
      <w:marBottom w:val="0"/>
      <w:divBdr>
        <w:top w:val="none" w:sz="0" w:space="0" w:color="auto"/>
        <w:left w:val="none" w:sz="0" w:space="0" w:color="auto"/>
        <w:bottom w:val="none" w:sz="0" w:space="0" w:color="auto"/>
        <w:right w:val="none" w:sz="0" w:space="0" w:color="auto"/>
      </w:divBdr>
    </w:div>
    <w:div w:id="854147056">
      <w:bodyDiv w:val="1"/>
      <w:marLeft w:val="0"/>
      <w:marRight w:val="0"/>
      <w:marTop w:val="0"/>
      <w:marBottom w:val="0"/>
      <w:divBdr>
        <w:top w:val="none" w:sz="0" w:space="0" w:color="auto"/>
        <w:left w:val="none" w:sz="0" w:space="0" w:color="auto"/>
        <w:bottom w:val="none" w:sz="0" w:space="0" w:color="auto"/>
        <w:right w:val="none" w:sz="0" w:space="0" w:color="auto"/>
      </w:divBdr>
    </w:div>
    <w:div w:id="869680664">
      <w:bodyDiv w:val="1"/>
      <w:marLeft w:val="0"/>
      <w:marRight w:val="0"/>
      <w:marTop w:val="0"/>
      <w:marBottom w:val="0"/>
      <w:divBdr>
        <w:top w:val="none" w:sz="0" w:space="0" w:color="auto"/>
        <w:left w:val="none" w:sz="0" w:space="0" w:color="auto"/>
        <w:bottom w:val="none" w:sz="0" w:space="0" w:color="auto"/>
        <w:right w:val="none" w:sz="0" w:space="0" w:color="auto"/>
      </w:divBdr>
    </w:div>
    <w:div w:id="883643368">
      <w:bodyDiv w:val="1"/>
      <w:marLeft w:val="0"/>
      <w:marRight w:val="0"/>
      <w:marTop w:val="0"/>
      <w:marBottom w:val="0"/>
      <w:divBdr>
        <w:top w:val="none" w:sz="0" w:space="0" w:color="auto"/>
        <w:left w:val="none" w:sz="0" w:space="0" w:color="auto"/>
        <w:bottom w:val="none" w:sz="0" w:space="0" w:color="auto"/>
        <w:right w:val="none" w:sz="0" w:space="0" w:color="auto"/>
      </w:divBdr>
    </w:div>
    <w:div w:id="916133842">
      <w:bodyDiv w:val="1"/>
      <w:marLeft w:val="0"/>
      <w:marRight w:val="0"/>
      <w:marTop w:val="0"/>
      <w:marBottom w:val="0"/>
      <w:divBdr>
        <w:top w:val="none" w:sz="0" w:space="0" w:color="auto"/>
        <w:left w:val="none" w:sz="0" w:space="0" w:color="auto"/>
        <w:bottom w:val="none" w:sz="0" w:space="0" w:color="auto"/>
        <w:right w:val="none" w:sz="0" w:space="0" w:color="auto"/>
      </w:divBdr>
    </w:div>
    <w:div w:id="925193991">
      <w:bodyDiv w:val="1"/>
      <w:marLeft w:val="0"/>
      <w:marRight w:val="0"/>
      <w:marTop w:val="0"/>
      <w:marBottom w:val="0"/>
      <w:divBdr>
        <w:top w:val="none" w:sz="0" w:space="0" w:color="auto"/>
        <w:left w:val="none" w:sz="0" w:space="0" w:color="auto"/>
        <w:bottom w:val="none" w:sz="0" w:space="0" w:color="auto"/>
        <w:right w:val="none" w:sz="0" w:space="0" w:color="auto"/>
      </w:divBdr>
    </w:div>
    <w:div w:id="945847437">
      <w:bodyDiv w:val="1"/>
      <w:marLeft w:val="0"/>
      <w:marRight w:val="0"/>
      <w:marTop w:val="0"/>
      <w:marBottom w:val="0"/>
      <w:divBdr>
        <w:top w:val="none" w:sz="0" w:space="0" w:color="auto"/>
        <w:left w:val="none" w:sz="0" w:space="0" w:color="auto"/>
        <w:bottom w:val="none" w:sz="0" w:space="0" w:color="auto"/>
        <w:right w:val="none" w:sz="0" w:space="0" w:color="auto"/>
      </w:divBdr>
    </w:div>
    <w:div w:id="953559663">
      <w:bodyDiv w:val="1"/>
      <w:marLeft w:val="0"/>
      <w:marRight w:val="0"/>
      <w:marTop w:val="0"/>
      <w:marBottom w:val="0"/>
      <w:divBdr>
        <w:top w:val="none" w:sz="0" w:space="0" w:color="auto"/>
        <w:left w:val="none" w:sz="0" w:space="0" w:color="auto"/>
        <w:bottom w:val="none" w:sz="0" w:space="0" w:color="auto"/>
        <w:right w:val="none" w:sz="0" w:space="0" w:color="auto"/>
      </w:divBdr>
    </w:div>
    <w:div w:id="971712073">
      <w:bodyDiv w:val="1"/>
      <w:marLeft w:val="0"/>
      <w:marRight w:val="0"/>
      <w:marTop w:val="0"/>
      <w:marBottom w:val="0"/>
      <w:divBdr>
        <w:top w:val="none" w:sz="0" w:space="0" w:color="auto"/>
        <w:left w:val="none" w:sz="0" w:space="0" w:color="auto"/>
        <w:bottom w:val="none" w:sz="0" w:space="0" w:color="auto"/>
        <w:right w:val="none" w:sz="0" w:space="0" w:color="auto"/>
      </w:divBdr>
    </w:div>
    <w:div w:id="990251699">
      <w:bodyDiv w:val="1"/>
      <w:marLeft w:val="0"/>
      <w:marRight w:val="0"/>
      <w:marTop w:val="0"/>
      <w:marBottom w:val="0"/>
      <w:divBdr>
        <w:top w:val="none" w:sz="0" w:space="0" w:color="auto"/>
        <w:left w:val="none" w:sz="0" w:space="0" w:color="auto"/>
        <w:bottom w:val="none" w:sz="0" w:space="0" w:color="auto"/>
        <w:right w:val="none" w:sz="0" w:space="0" w:color="auto"/>
      </w:divBdr>
    </w:div>
    <w:div w:id="1027221585">
      <w:bodyDiv w:val="1"/>
      <w:marLeft w:val="0"/>
      <w:marRight w:val="0"/>
      <w:marTop w:val="0"/>
      <w:marBottom w:val="0"/>
      <w:divBdr>
        <w:top w:val="none" w:sz="0" w:space="0" w:color="auto"/>
        <w:left w:val="none" w:sz="0" w:space="0" w:color="auto"/>
        <w:bottom w:val="none" w:sz="0" w:space="0" w:color="auto"/>
        <w:right w:val="none" w:sz="0" w:space="0" w:color="auto"/>
      </w:divBdr>
    </w:div>
    <w:div w:id="1067342160">
      <w:bodyDiv w:val="1"/>
      <w:marLeft w:val="0"/>
      <w:marRight w:val="0"/>
      <w:marTop w:val="0"/>
      <w:marBottom w:val="0"/>
      <w:divBdr>
        <w:top w:val="none" w:sz="0" w:space="0" w:color="auto"/>
        <w:left w:val="none" w:sz="0" w:space="0" w:color="auto"/>
        <w:bottom w:val="none" w:sz="0" w:space="0" w:color="auto"/>
        <w:right w:val="none" w:sz="0" w:space="0" w:color="auto"/>
      </w:divBdr>
    </w:div>
    <w:div w:id="1108695084">
      <w:bodyDiv w:val="1"/>
      <w:marLeft w:val="0"/>
      <w:marRight w:val="0"/>
      <w:marTop w:val="0"/>
      <w:marBottom w:val="0"/>
      <w:divBdr>
        <w:top w:val="none" w:sz="0" w:space="0" w:color="auto"/>
        <w:left w:val="none" w:sz="0" w:space="0" w:color="auto"/>
        <w:bottom w:val="none" w:sz="0" w:space="0" w:color="auto"/>
        <w:right w:val="none" w:sz="0" w:space="0" w:color="auto"/>
      </w:divBdr>
      <w:divsChild>
        <w:div w:id="1268007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433436">
      <w:bodyDiv w:val="1"/>
      <w:marLeft w:val="0"/>
      <w:marRight w:val="0"/>
      <w:marTop w:val="0"/>
      <w:marBottom w:val="0"/>
      <w:divBdr>
        <w:top w:val="none" w:sz="0" w:space="0" w:color="auto"/>
        <w:left w:val="none" w:sz="0" w:space="0" w:color="auto"/>
        <w:bottom w:val="none" w:sz="0" w:space="0" w:color="auto"/>
        <w:right w:val="none" w:sz="0" w:space="0" w:color="auto"/>
      </w:divBdr>
    </w:div>
    <w:div w:id="1120613575">
      <w:bodyDiv w:val="1"/>
      <w:marLeft w:val="0"/>
      <w:marRight w:val="0"/>
      <w:marTop w:val="0"/>
      <w:marBottom w:val="0"/>
      <w:divBdr>
        <w:top w:val="none" w:sz="0" w:space="0" w:color="auto"/>
        <w:left w:val="none" w:sz="0" w:space="0" w:color="auto"/>
        <w:bottom w:val="none" w:sz="0" w:space="0" w:color="auto"/>
        <w:right w:val="none" w:sz="0" w:space="0" w:color="auto"/>
      </w:divBdr>
    </w:div>
    <w:div w:id="1141922327">
      <w:bodyDiv w:val="1"/>
      <w:marLeft w:val="0"/>
      <w:marRight w:val="0"/>
      <w:marTop w:val="0"/>
      <w:marBottom w:val="0"/>
      <w:divBdr>
        <w:top w:val="none" w:sz="0" w:space="0" w:color="auto"/>
        <w:left w:val="none" w:sz="0" w:space="0" w:color="auto"/>
        <w:bottom w:val="none" w:sz="0" w:space="0" w:color="auto"/>
        <w:right w:val="none" w:sz="0" w:space="0" w:color="auto"/>
      </w:divBdr>
    </w:div>
    <w:div w:id="1144547905">
      <w:bodyDiv w:val="1"/>
      <w:marLeft w:val="0"/>
      <w:marRight w:val="0"/>
      <w:marTop w:val="0"/>
      <w:marBottom w:val="0"/>
      <w:divBdr>
        <w:top w:val="none" w:sz="0" w:space="0" w:color="auto"/>
        <w:left w:val="none" w:sz="0" w:space="0" w:color="auto"/>
        <w:bottom w:val="none" w:sz="0" w:space="0" w:color="auto"/>
        <w:right w:val="none" w:sz="0" w:space="0" w:color="auto"/>
      </w:divBdr>
    </w:div>
    <w:div w:id="1152215501">
      <w:bodyDiv w:val="1"/>
      <w:marLeft w:val="0"/>
      <w:marRight w:val="0"/>
      <w:marTop w:val="0"/>
      <w:marBottom w:val="0"/>
      <w:divBdr>
        <w:top w:val="none" w:sz="0" w:space="0" w:color="auto"/>
        <w:left w:val="none" w:sz="0" w:space="0" w:color="auto"/>
        <w:bottom w:val="none" w:sz="0" w:space="0" w:color="auto"/>
        <w:right w:val="none" w:sz="0" w:space="0" w:color="auto"/>
      </w:divBdr>
    </w:div>
    <w:div w:id="1163618487">
      <w:bodyDiv w:val="1"/>
      <w:marLeft w:val="0"/>
      <w:marRight w:val="0"/>
      <w:marTop w:val="0"/>
      <w:marBottom w:val="0"/>
      <w:divBdr>
        <w:top w:val="none" w:sz="0" w:space="0" w:color="auto"/>
        <w:left w:val="none" w:sz="0" w:space="0" w:color="auto"/>
        <w:bottom w:val="none" w:sz="0" w:space="0" w:color="auto"/>
        <w:right w:val="none" w:sz="0" w:space="0" w:color="auto"/>
      </w:divBdr>
    </w:div>
    <w:div w:id="1183666828">
      <w:bodyDiv w:val="1"/>
      <w:marLeft w:val="0"/>
      <w:marRight w:val="0"/>
      <w:marTop w:val="0"/>
      <w:marBottom w:val="0"/>
      <w:divBdr>
        <w:top w:val="none" w:sz="0" w:space="0" w:color="auto"/>
        <w:left w:val="none" w:sz="0" w:space="0" w:color="auto"/>
        <w:bottom w:val="none" w:sz="0" w:space="0" w:color="auto"/>
        <w:right w:val="none" w:sz="0" w:space="0" w:color="auto"/>
      </w:divBdr>
    </w:div>
    <w:div w:id="1213007349">
      <w:bodyDiv w:val="1"/>
      <w:marLeft w:val="0"/>
      <w:marRight w:val="0"/>
      <w:marTop w:val="0"/>
      <w:marBottom w:val="0"/>
      <w:divBdr>
        <w:top w:val="none" w:sz="0" w:space="0" w:color="auto"/>
        <w:left w:val="none" w:sz="0" w:space="0" w:color="auto"/>
        <w:bottom w:val="none" w:sz="0" w:space="0" w:color="auto"/>
        <w:right w:val="none" w:sz="0" w:space="0" w:color="auto"/>
      </w:divBdr>
    </w:div>
    <w:div w:id="1236668430">
      <w:bodyDiv w:val="1"/>
      <w:marLeft w:val="0"/>
      <w:marRight w:val="0"/>
      <w:marTop w:val="0"/>
      <w:marBottom w:val="0"/>
      <w:divBdr>
        <w:top w:val="none" w:sz="0" w:space="0" w:color="auto"/>
        <w:left w:val="none" w:sz="0" w:space="0" w:color="auto"/>
        <w:bottom w:val="none" w:sz="0" w:space="0" w:color="auto"/>
        <w:right w:val="none" w:sz="0" w:space="0" w:color="auto"/>
      </w:divBdr>
    </w:div>
    <w:div w:id="1248727481">
      <w:bodyDiv w:val="1"/>
      <w:marLeft w:val="0"/>
      <w:marRight w:val="0"/>
      <w:marTop w:val="0"/>
      <w:marBottom w:val="0"/>
      <w:divBdr>
        <w:top w:val="none" w:sz="0" w:space="0" w:color="auto"/>
        <w:left w:val="none" w:sz="0" w:space="0" w:color="auto"/>
        <w:bottom w:val="none" w:sz="0" w:space="0" w:color="auto"/>
        <w:right w:val="none" w:sz="0" w:space="0" w:color="auto"/>
      </w:divBdr>
    </w:div>
    <w:div w:id="1252083673">
      <w:bodyDiv w:val="1"/>
      <w:marLeft w:val="0"/>
      <w:marRight w:val="0"/>
      <w:marTop w:val="0"/>
      <w:marBottom w:val="0"/>
      <w:divBdr>
        <w:top w:val="none" w:sz="0" w:space="0" w:color="auto"/>
        <w:left w:val="none" w:sz="0" w:space="0" w:color="auto"/>
        <w:bottom w:val="none" w:sz="0" w:space="0" w:color="auto"/>
        <w:right w:val="none" w:sz="0" w:space="0" w:color="auto"/>
      </w:divBdr>
    </w:div>
    <w:div w:id="1273782093">
      <w:bodyDiv w:val="1"/>
      <w:marLeft w:val="0"/>
      <w:marRight w:val="0"/>
      <w:marTop w:val="0"/>
      <w:marBottom w:val="0"/>
      <w:divBdr>
        <w:top w:val="none" w:sz="0" w:space="0" w:color="auto"/>
        <w:left w:val="none" w:sz="0" w:space="0" w:color="auto"/>
        <w:bottom w:val="none" w:sz="0" w:space="0" w:color="auto"/>
        <w:right w:val="none" w:sz="0" w:space="0" w:color="auto"/>
      </w:divBdr>
    </w:div>
    <w:div w:id="1291715348">
      <w:bodyDiv w:val="1"/>
      <w:marLeft w:val="0"/>
      <w:marRight w:val="0"/>
      <w:marTop w:val="0"/>
      <w:marBottom w:val="0"/>
      <w:divBdr>
        <w:top w:val="none" w:sz="0" w:space="0" w:color="auto"/>
        <w:left w:val="none" w:sz="0" w:space="0" w:color="auto"/>
        <w:bottom w:val="none" w:sz="0" w:space="0" w:color="auto"/>
        <w:right w:val="none" w:sz="0" w:space="0" w:color="auto"/>
      </w:divBdr>
    </w:div>
    <w:div w:id="1324237010">
      <w:bodyDiv w:val="1"/>
      <w:marLeft w:val="0"/>
      <w:marRight w:val="0"/>
      <w:marTop w:val="0"/>
      <w:marBottom w:val="0"/>
      <w:divBdr>
        <w:top w:val="none" w:sz="0" w:space="0" w:color="auto"/>
        <w:left w:val="none" w:sz="0" w:space="0" w:color="auto"/>
        <w:bottom w:val="none" w:sz="0" w:space="0" w:color="auto"/>
        <w:right w:val="none" w:sz="0" w:space="0" w:color="auto"/>
      </w:divBdr>
    </w:div>
    <w:div w:id="1339041522">
      <w:bodyDiv w:val="1"/>
      <w:marLeft w:val="0"/>
      <w:marRight w:val="0"/>
      <w:marTop w:val="0"/>
      <w:marBottom w:val="0"/>
      <w:divBdr>
        <w:top w:val="none" w:sz="0" w:space="0" w:color="auto"/>
        <w:left w:val="none" w:sz="0" w:space="0" w:color="auto"/>
        <w:bottom w:val="none" w:sz="0" w:space="0" w:color="auto"/>
        <w:right w:val="none" w:sz="0" w:space="0" w:color="auto"/>
      </w:divBdr>
    </w:div>
    <w:div w:id="1360157564">
      <w:bodyDiv w:val="1"/>
      <w:marLeft w:val="0"/>
      <w:marRight w:val="0"/>
      <w:marTop w:val="0"/>
      <w:marBottom w:val="0"/>
      <w:divBdr>
        <w:top w:val="none" w:sz="0" w:space="0" w:color="auto"/>
        <w:left w:val="none" w:sz="0" w:space="0" w:color="auto"/>
        <w:bottom w:val="none" w:sz="0" w:space="0" w:color="auto"/>
        <w:right w:val="none" w:sz="0" w:space="0" w:color="auto"/>
      </w:divBdr>
    </w:div>
    <w:div w:id="1368524400">
      <w:bodyDiv w:val="1"/>
      <w:marLeft w:val="0"/>
      <w:marRight w:val="0"/>
      <w:marTop w:val="0"/>
      <w:marBottom w:val="0"/>
      <w:divBdr>
        <w:top w:val="none" w:sz="0" w:space="0" w:color="auto"/>
        <w:left w:val="none" w:sz="0" w:space="0" w:color="auto"/>
        <w:bottom w:val="none" w:sz="0" w:space="0" w:color="auto"/>
        <w:right w:val="none" w:sz="0" w:space="0" w:color="auto"/>
      </w:divBdr>
    </w:div>
    <w:div w:id="1368682677">
      <w:bodyDiv w:val="1"/>
      <w:marLeft w:val="0"/>
      <w:marRight w:val="0"/>
      <w:marTop w:val="0"/>
      <w:marBottom w:val="0"/>
      <w:divBdr>
        <w:top w:val="none" w:sz="0" w:space="0" w:color="auto"/>
        <w:left w:val="none" w:sz="0" w:space="0" w:color="auto"/>
        <w:bottom w:val="none" w:sz="0" w:space="0" w:color="auto"/>
        <w:right w:val="none" w:sz="0" w:space="0" w:color="auto"/>
      </w:divBdr>
    </w:div>
    <w:div w:id="1371033368">
      <w:bodyDiv w:val="1"/>
      <w:marLeft w:val="0"/>
      <w:marRight w:val="0"/>
      <w:marTop w:val="0"/>
      <w:marBottom w:val="0"/>
      <w:divBdr>
        <w:top w:val="none" w:sz="0" w:space="0" w:color="auto"/>
        <w:left w:val="none" w:sz="0" w:space="0" w:color="auto"/>
        <w:bottom w:val="none" w:sz="0" w:space="0" w:color="auto"/>
        <w:right w:val="none" w:sz="0" w:space="0" w:color="auto"/>
      </w:divBdr>
    </w:div>
    <w:div w:id="1375814229">
      <w:bodyDiv w:val="1"/>
      <w:marLeft w:val="0"/>
      <w:marRight w:val="0"/>
      <w:marTop w:val="0"/>
      <w:marBottom w:val="0"/>
      <w:divBdr>
        <w:top w:val="none" w:sz="0" w:space="0" w:color="auto"/>
        <w:left w:val="none" w:sz="0" w:space="0" w:color="auto"/>
        <w:bottom w:val="none" w:sz="0" w:space="0" w:color="auto"/>
        <w:right w:val="none" w:sz="0" w:space="0" w:color="auto"/>
      </w:divBdr>
    </w:div>
    <w:div w:id="1399210298">
      <w:bodyDiv w:val="1"/>
      <w:marLeft w:val="0"/>
      <w:marRight w:val="0"/>
      <w:marTop w:val="0"/>
      <w:marBottom w:val="0"/>
      <w:divBdr>
        <w:top w:val="none" w:sz="0" w:space="0" w:color="auto"/>
        <w:left w:val="none" w:sz="0" w:space="0" w:color="auto"/>
        <w:bottom w:val="none" w:sz="0" w:space="0" w:color="auto"/>
        <w:right w:val="none" w:sz="0" w:space="0" w:color="auto"/>
      </w:divBdr>
    </w:div>
    <w:div w:id="1439520279">
      <w:bodyDiv w:val="1"/>
      <w:marLeft w:val="0"/>
      <w:marRight w:val="0"/>
      <w:marTop w:val="0"/>
      <w:marBottom w:val="0"/>
      <w:divBdr>
        <w:top w:val="none" w:sz="0" w:space="0" w:color="auto"/>
        <w:left w:val="none" w:sz="0" w:space="0" w:color="auto"/>
        <w:bottom w:val="none" w:sz="0" w:space="0" w:color="auto"/>
        <w:right w:val="none" w:sz="0" w:space="0" w:color="auto"/>
      </w:divBdr>
    </w:div>
    <w:div w:id="1446120087">
      <w:bodyDiv w:val="1"/>
      <w:marLeft w:val="0"/>
      <w:marRight w:val="0"/>
      <w:marTop w:val="0"/>
      <w:marBottom w:val="0"/>
      <w:divBdr>
        <w:top w:val="none" w:sz="0" w:space="0" w:color="auto"/>
        <w:left w:val="none" w:sz="0" w:space="0" w:color="auto"/>
        <w:bottom w:val="none" w:sz="0" w:space="0" w:color="auto"/>
        <w:right w:val="none" w:sz="0" w:space="0" w:color="auto"/>
      </w:divBdr>
    </w:div>
    <w:div w:id="1455783475">
      <w:bodyDiv w:val="1"/>
      <w:marLeft w:val="0"/>
      <w:marRight w:val="0"/>
      <w:marTop w:val="0"/>
      <w:marBottom w:val="0"/>
      <w:divBdr>
        <w:top w:val="none" w:sz="0" w:space="0" w:color="auto"/>
        <w:left w:val="none" w:sz="0" w:space="0" w:color="auto"/>
        <w:bottom w:val="none" w:sz="0" w:space="0" w:color="auto"/>
        <w:right w:val="none" w:sz="0" w:space="0" w:color="auto"/>
      </w:divBdr>
    </w:div>
    <w:div w:id="1503814968">
      <w:bodyDiv w:val="1"/>
      <w:marLeft w:val="0"/>
      <w:marRight w:val="0"/>
      <w:marTop w:val="0"/>
      <w:marBottom w:val="0"/>
      <w:divBdr>
        <w:top w:val="none" w:sz="0" w:space="0" w:color="auto"/>
        <w:left w:val="none" w:sz="0" w:space="0" w:color="auto"/>
        <w:bottom w:val="none" w:sz="0" w:space="0" w:color="auto"/>
        <w:right w:val="none" w:sz="0" w:space="0" w:color="auto"/>
      </w:divBdr>
    </w:div>
    <w:div w:id="1527400686">
      <w:bodyDiv w:val="1"/>
      <w:marLeft w:val="0"/>
      <w:marRight w:val="0"/>
      <w:marTop w:val="0"/>
      <w:marBottom w:val="0"/>
      <w:divBdr>
        <w:top w:val="none" w:sz="0" w:space="0" w:color="auto"/>
        <w:left w:val="none" w:sz="0" w:space="0" w:color="auto"/>
        <w:bottom w:val="none" w:sz="0" w:space="0" w:color="auto"/>
        <w:right w:val="none" w:sz="0" w:space="0" w:color="auto"/>
      </w:divBdr>
    </w:div>
    <w:div w:id="1544172015">
      <w:bodyDiv w:val="1"/>
      <w:marLeft w:val="0"/>
      <w:marRight w:val="0"/>
      <w:marTop w:val="0"/>
      <w:marBottom w:val="0"/>
      <w:divBdr>
        <w:top w:val="none" w:sz="0" w:space="0" w:color="auto"/>
        <w:left w:val="none" w:sz="0" w:space="0" w:color="auto"/>
        <w:bottom w:val="none" w:sz="0" w:space="0" w:color="auto"/>
        <w:right w:val="none" w:sz="0" w:space="0" w:color="auto"/>
      </w:divBdr>
    </w:div>
    <w:div w:id="1544756806">
      <w:bodyDiv w:val="1"/>
      <w:marLeft w:val="0"/>
      <w:marRight w:val="0"/>
      <w:marTop w:val="0"/>
      <w:marBottom w:val="0"/>
      <w:divBdr>
        <w:top w:val="none" w:sz="0" w:space="0" w:color="auto"/>
        <w:left w:val="none" w:sz="0" w:space="0" w:color="auto"/>
        <w:bottom w:val="none" w:sz="0" w:space="0" w:color="auto"/>
        <w:right w:val="none" w:sz="0" w:space="0" w:color="auto"/>
      </w:divBdr>
    </w:div>
    <w:div w:id="1545559401">
      <w:bodyDiv w:val="1"/>
      <w:marLeft w:val="0"/>
      <w:marRight w:val="0"/>
      <w:marTop w:val="0"/>
      <w:marBottom w:val="0"/>
      <w:divBdr>
        <w:top w:val="none" w:sz="0" w:space="0" w:color="auto"/>
        <w:left w:val="none" w:sz="0" w:space="0" w:color="auto"/>
        <w:bottom w:val="none" w:sz="0" w:space="0" w:color="auto"/>
        <w:right w:val="none" w:sz="0" w:space="0" w:color="auto"/>
      </w:divBdr>
    </w:div>
    <w:div w:id="1547448794">
      <w:bodyDiv w:val="1"/>
      <w:marLeft w:val="0"/>
      <w:marRight w:val="0"/>
      <w:marTop w:val="0"/>
      <w:marBottom w:val="0"/>
      <w:divBdr>
        <w:top w:val="none" w:sz="0" w:space="0" w:color="auto"/>
        <w:left w:val="none" w:sz="0" w:space="0" w:color="auto"/>
        <w:bottom w:val="none" w:sz="0" w:space="0" w:color="auto"/>
        <w:right w:val="none" w:sz="0" w:space="0" w:color="auto"/>
      </w:divBdr>
    </w:div>
    <w:div w:id="1606309922">
      <w:bodyDiv w:val="1"/>
      <w:marLeft w:val="0"/>
      <w:marRight w:val="0"/>
      <w:marTop w:val="0"/>
      <w:marBottom w:val="0"/>
      <w:divBdr>
        <w:top w:val="none" w:sz="0" w:space="0" w:color="auto"/>
        <w:left w:val="none" w:sz="0" w:space="0" w:color="auto"/>
        <w:bottom w:val="none" w:sz="0" w:space="0" w:color="auto"/>
        <w:right w:val="none" w:sz="0" w:space="0" w:color="auto"/>
      </w:divBdr>
    </w:div>
    <w:div w:id="1626740886">
      <w:bodyDiv w:val="1"/>
      <w:marLeft w:val="0"/>
      <w:marRight w:val="0"/>
      <w:marTop w:val="0"/>
      <w:marBottom w:val="0"/>
      <w:divBdr>
        <w:top w:val="none" w:sz="0" w:space="0" w:color="auto"/>
        <w:left w:val="none" w:sz="0" w:space="0" w:color="auto"/>
        <w:bottom w:val="none" w:sz="0" w:space="0" w:color="auto"/>
        <w:right w:val="none" w:sz="0" w:space="0" w:color="auto"/>
      </w:divBdr>
    </w:div>
    <w:div w:id="1647928326">
      <w:bodyDiv w:val="1"/>
      <w:marLeft w:val="0"/>
      <w:marRight w:val="0"/>
      <w:marTop w:val="0"/>
      <w:marBottom w:val="0"/>
      <w:divBdr>
        <w:top w:val="none" w:sz="0" w:space="0" w:color="auto"/>
        <w:left w:val="none" w:sz="0" w:space="0" w:color="auto"/>
        <w:bottom w:val="none" w:sz="0" w:space="0" w:color="auto"/>
        <w:right w:val="none" w:sz="0" w:space="0" w:color="auto"/>
      </w:divBdr>
    </w:div>
    <w:div w:id="1657221416">
      <w:bodyDiv w:val="1"/>
      <w:marLeft w:val="0"/>
      <w:marRight w:val="0"/>
      <w:marTop w:val="0"/>
      <w:marBottom w:val="0"/>
      <w:divBdr>
        <w:top w:val="none" w:sz="0" w:space="0" w:color="auto"/>
        <w:left w:val="none" w:sz="0" w:space="0" w:color="auto"/>
        <w:bottom w:val="none" w:sz="0" w:space="0" w:color="auto"/>
        <w:right w:val="none" w:sz="0" w:space="0" w:color="auto"/>
      </w:divBdr>
    </w:div>
    <w:div w:id="1671324408">
      <w:bodyDiv w:val="1"/>
      <w:marLeft w:val="0"/>
      <w:marRight w:val="0"/>
      <w:marTop w:val="0"/>
      <w:marBottom w:val="0"/>
      <w:divBdr>
        <w:top w:val="none" w:sz="0" w:space="0" w:color="auto"/>
        <w:left w:val="none" w:sz="0" w:space="0" w:color="auto"/>
        <w:bottom w:val="none" w:sz="0" w:space="0" w:color="auto"/>
        <w:right w:val="none" w:sz="0" w:space="0" w:color="auto"/>
      </w:divBdr>
      <w:divsChild>
        <w:div w:id="1149401553">
          <w:marLeft w:val="0"/>
          <w:marRight w:val="0"/>
          <w:marTop w:val="0"/>
          <w:marBottom w:val="0"/>
          <w:divBdr>
            <w:top w:val="none" w:sz="0" w:space="0" w:color="auto"/>
            <w:left w:val="none" w:sz="0" w:space="0" w:color="auto"/>
            <w:bottom w:val="none" w:sz="0" w:space="0" w:color="auto"/>
            <w:right w:val="none" w:sz="0" w:space="0" w:color="auto"/>
          </w:divBdr>
        </w:div>
      </w:divsChild>
    </w:div>
    <w:div w:id="1683891720">
      <w:bodyDiv w:val="1"/>
      <w:marLeft w:val="0"/>
      <w:marRight w:val="0"/>
      <w:marTop w:val="0"/>
      <w:marBottom w:val="0"/>
      <w:divBdr>
        <w:top w:val="none" w:sz="0" w:space="0" w:color="auto"/>
        <w:left w:val="none" w:sz="0" w:space="0" w:color="auto"/>
        <w:bottom w:val="none" w:sz="0" w:space="0" w:color="auto"/>
        <w:right w:val="none" w:sz="0" w:space="0" w:color="auto"/>
      </w:divBdr>
    </w:div>
    <w:div w:id="1707635361">
      <w:bodyDiv w:val="1"/>
      <w:marLeft w:val="0"/>
      <w:marRight w:val="0"/>
      <w:marTop w:val="0"/>
      <w:marBottom w:val="0"/>
      <w:divBdr>
        <w:top w:val="none" w:sz="0" w:space="0" w:color="auto"/>
        <w:left w:val="none" w:sz="0" w:space="0" w:color="auto"/>
        <w:bottom w:val="none" w:sz="0" w:space="0" w:color="auto"/>
        <w:right w:val="none" w:sz="0" w:space="0" w:color="auto"/>
      </w:divBdr>
    </w:div>
    <w:div w:id="1735814452">
      <w:bodyDiv w:val="1"/>
      <w:marLeft w:val="0"/>
      <w:marRight w:val="0"/>
      <w:marTop w:val="0"/>
      <w:marBottom w:val="0"/>
      <w:divBdr>
        <w:top w:val="none" w:sz="0" w:space="0" w:color="auto"/>
        <w:left w:val="none" w:sz="0" w:space="0" w:color="auto"/>
        <w:bottom w:val="none" w:sz="0" w:space="0" w:color="auto"/>
        <w:right w:val="none" w:sz="0" w:space="0" w:color="auto"/>
      </w:divBdr>
    </w:div>
    <w:div w:id="1793476345">
      <w:bodyDiv w:val="1"/>
      <w:marLeft w:val="0"/>
      <w:marRight w:val="0"/>
      <w:marTop w:val="0"/>
      <w:marBottom w:val="0"/>
      <w:divBdr>
        <w:top w:val="none" w:sz="0" w:space="0" w:color="auto"/>
        <w:left w:val="none" w:sz="0" w:space="0" w:color="auto"/>
        <w:bottom w:val="none" w:sz="0" w:space="0" w:color="auto"/>
        <w:right w:val="none" w:sz="0" w:space="0" w:color="auto"/>
      </w:divBdr>
    </w:div>
    <w:div w:id="1812669075">
      <w:bodyDiv w:val="1"/>
      <w:marLeft w:val="0"/>
      <w:marRight w:val="0"/>
      <w:marTop w:val="0"/>
      <w:marBottom w:val="0"/>
      <w:divBdr>
        <w:top w:val="none" w:sz="0" w:space="0" w:color="auto"/>
        <w:left w:val="none" w:sz="0" w:space="0" w:color="auto"/>
        <w:bottom w:val="none" w:sz="0" w:space="0" w:color="auto"/>
        <w:right w:val="none" w:sz="0" w:space="0" w:color="auto"/>
      </w:divBdr>
    </w:div>
    <w:div w:id="1841702397">
      <w:bodyDiv w:val="1"/>
      <w:marLeft w:val="0"/>
      <w:marRight w:val="0"/>
      <w:marTop w:val="0"/>
      <w:marBottom w:val="0"/>
      <w:divBdr>
        <w:top w:val="none" w:sz="0" w:space="0" w:color="auto"/>
        <w:left w:val="none" w:sz="0" w:space="0" w:color="auto"/>
        <w:bottom w:val="none" w:sz="0" w:space="0" w:color="auto"/>
        <w:right w:val="none" w:sz="0" w:space="0" w:color="auto"/>
      </w:divBdr>
    </w:div>
    <w:div w:id="1842695521">
      <w:bodyDiv w:val="1"/>
      <w:marLeft w:val="0"/>
      <w:marRight w:val="0"/>
      <w:marTop w:val="0"/>
      <w:marBottom w:val="0"/>
      <w:divBdr>
        <w:top w:val="none" w:sz="0" w:space="0" w:color="auto"/>
        <w:left w:val="none" w:sz="0" w:space="0" w:color="auto"/>
        <w:bottom w:val="none" w:sz="0" w:space="0" w:color="auto"/>
        <w:right w:val="none" w:sz="0" w:space="0" w:color="auto"/>
      </w:divBdr>
    </w:div>
    <w:div w:id="1897281872">
      <w:bodyDiv w:val="1"/>
      <w:marLeft w:val="0"/>
      <w:marRight w:val="0"/>
      <w:marTop w:val="0"/>
      <w:marBottom w:val="0"/>
      <w:divBdr>
        <w:top w:val="none" w:sz="0" w:space="0" w:color="auto"/>
        <w:left w:val="none" w:sz="0" w:space="0" w:color="auto"/>
        <w:bottom w:val="none" w:sz="0" w:space="0" w:color="auto"/>
        <w:right w:val="none" w:sz="0" w:space="0" w:color="auto"/>
      </w:divBdr>
    </w:div>
    <w:div w:id="1902709916">
      <w:bodyDiv w:val="1"/>
      <w:marLeft w:val="0"/>
      <w:marRight w:val="0"/>
      <w:marTop w:val="0"/>
      <w:marBottom w:val="0"/>
      <w:divBdr>
        <w:top w:val="none" w:sz="0" w:space="0" w:color="auto"/>
        <w:left w:val="none" w:sz="0" w:space="0" w:color="auto"/>
        <w:bottom w:val="none" w:sz="0" w:space="0" w:color="auto"/>
        <w:right w:val="none" w:sz="0" w:space="0" w:color="auto"/>
      </w:divBdr>
    </w:div>
    <w:div w:id="1917788257">
      <w:bodyDiv w:val="1"/>
      <w:marLeft w:val="0"/>
      <w:marRight w:val="0"/>
      <w:marTop w:val="0"/>
      <w:marBottom w:val="0"/>
      <w:divBdr>
        <w:top w:val="none" w:sz="0" w:space="0" w:color="auto"/>
        <w:left w:val="none" w:sz="0" w:space="0" w:color="auto"/>
        <w:bottom w:val="none" w:sz="0" w:space="0" w:color="auto"/>
        <w:right w:val="none" w:sz="0" w:space="0" w:color="auto"/>
      </w:divBdr>
    </w:div>
    <w:div w:id="1927954924">
      <w:bodyDiv w:val="1"/>
      <w:marLeft w:val="0"/>
      <w:marRight w:val="0"/>
      <w:marTop w:val="0"/>
      <w:marBottom w:val="0"/>
      <w:divBdr>
        <w:top w:val="none" w:sz="0" w:space="0" w:color="auto"/>
        <w:left w:val="none" w:sz="0" w:space="0" w:color="auto"/>
        <w:bottom w:val="none" w:sz="0" w:space="0" w:color="auto"/>
        <w:right w:val="none" w:sz="0" w:space="0" w:color="auto"/>
      </w:divBdr>
    </w:div>
    <w:div w:id="1928728310">
      <w:bodyDiv w:val="1"/>
      <w:marLeft w:val="0"/>
      <w:marRight w:val="0"/>
      <w:marTop w:val="0"/>
      <w:marBottom w:val="0"/>
      <w:divBdr>
        <w:top w:val="none" w:sz="0" w:space="0" w:color="auto"/>
        <w:left w:val="none" w:sz="0" w:space="0" w:color="auto"/>
        <w:bottom w:val="none" w:sz="0" w:space="0" w:color="auto"/>
        <w:right w:val="none" w:sz="0" w:space="0" w:color="auto"/>
      </w:divBdr>
    </w:div>
    <w:div w:id="1943225814">
      <w:bodyDiv w:val="1"/>
      <w:marLeft w:val="0"/>
      <w:marRight w:val="0"/>
      <w:marTop w:val="0"/>
      <w:marBottom w:val="0"/>
      <w:divBdr>
        <w:top w:val="none" w:sz="0" w:space="0" w:color="auto"/>
        <w:left w:val="none" w:sz="0" w:space="0" w:color="auto"/>
        <w:bottom w:val="none" w:sz="0" w:space="0" w:color="auto"/>
        <w:right w:val="none" w:sz="0" w:space="0" w:color="auto"/>
      </w:divBdr>
    </w:div>
    <w:div w:id="1999267164">
      <w:bodyDiv w:val="1"/>
      <w:marLeft w:val="0"/>
      <w:marRight w:val="0"/>
      <w:marTop w:val="0"/>
      <w:marBottom w:val="0"/>
      <w:divBdr>
        <w:top w:val="none" w:sz="0" w:space="0" w:color="auto"/>
        <w:left w:val="none" w:sz="0" w:space="0" w:color="auto"/>
        <w:bottom w:val="none" w:sz="0" w:space="0" w:color="auto"/>
        <w:right w:val="none" w:sz="0" w:space="0" w:color="auto"/>
      </w:divBdr>
    </w:div>
    <w:div w:id="2004892519">
      <w:bodyDiv w:val="1"/>
      <w:marLeft w:val="0"/>
      <w:marRight w:val="0"/>
      <w:marTop w:val="0"/>
      <w:marBottom w:val="0"/>
      <w:divBdr>
        <w:top w:val="none" w:sz="0" w:space="0" w:color="auto"/>
        <w:left w:val="none" w:sz="0" w:space="0" w:color="auto"/>
        <w:bottom w:val="none" w:sz="0" w:space="0" w:color="auto"/>
        <w:right w:val="none" w:sz="0" w:space="0" w:color="auto"/>
      </w:divBdr>
    </w:div>
    <w:div w:id="2030400554">
      <w:bodyDiv w:val="1"/>
      <w:marLeft w:val="0"/>
      <w:marRight w:val="0"/>
      <w:marTop w:val="0"/>
      <w:marBottom w:val="0"/>
      <w:divBdr>
        <w:top w:val="none" w:sz="0" w:space="0" w:color="auto"/>
        <w:left w:val="none" w:sz="0" w:space="0" w:color="auto"/>
        <w:bottom w:val="none" w:sz="0" w:space="0" w:color="auto"/>
        <w:right w:val="none" w:sz="0" w:space="0" w:color="auto"/>
      </w:divBdr>
    </w:div>
    <w:div w:id="2047175871">
      <w:bodyDiv w:val="1"/>
      <w:marLeft w:val="0"/>
      <w:marRight w:val="0"/>
      <w:marTop w:val="0"/>
      <w:marBottom w:val="0"/>
      <w:divBdr>
        <w:top w:val="none" w:sz="0" w:space="0" w:color="auto"/>
        <w:left w:val="none" w:sz="0" w:space="0" w:color="auto"/>
        <w:bottom w:val="none" w:sz="0" w:space="0" w:color="auto"/>
        <w:right w:val="none" w:sz="0" w:space="0" w:color="auto"/>
      </w:divBdr>
    </w:div>
    <w:div w:id="2049799491">
      <w:bodyDiv w:val="1"/>
      <w:marLeft w:val="0"/>
      <w:marRight w:val="0"/>
      <w:marTop w:val="0"/>
      <w:marBottom w:val="0"/>
      <w:divBdr>
        <w:top w:val="none" w:sz="0" w:space="0" w:color="auto"/>
        <w:left w:val="none" w:sz="0" w:space="0" w:color="auto"/>
        <w:bottom w:val="none" w:sz="0" w:space="0" w:color="auto"/>
        <w:right w:val="none" w:sz="0" w:space="0" w:color="auto"/>
      </w:divBdr>
    </w:div>
    <w:div w:id="2068920356">
      <w:bodyDiv w:val="1"/>
      <w:marLeft w:val="0"/>
      <w:marRight w:val="0"/>
      <w:marTop w:val="0"/>
      <w:marBottom w:val="0"/>
      <w:divBdr>
        <w:top w:val="none" w:sz="0" w:space="0" w:color="auto"/>
        <w:left w:val="none" w:sz="0" w:space="0" w:color="auto"/>
        <w:bottom w:val="none" w:sz="0" w:space="0" w:color="auto"/>
        <w:right w:val="none" w:sz="0" w:space="0" w:color="auto"/>
      </w:divBdr>
    </w:div>
    <w:div w:id="2081249258">
      <w:bodyDiv w:val="1"/>
      <w:marLeft w:val="0"/>
      <w:marRight w:val="0"/>
      <w:marTop w:val="0"/>
      <w:marBottom w:val="0"/>
      <w:divBdr>
        <w:top w:val="none" w:sz="0" w:space="0" w:color="auto"/>
        <w:left w:val="none" w:sz="0" w:space="0" w:color="auto"/>
        <w:bottom w:val="none" w:sz="0" w:space="0" w:color="auto"/>
        <w:right w:val="none" w:sz="0" w:space="0" w:color="auto"/>
      </w:divBdr>
    </w:div>
    <w:div w:id="2081638814">
      <w:bodyDiv w:val="1"/>
      <w:marLeft w:val="0"/>
      <w:marRight w:val="0"/>
      <w:marTop w:val="0"/>
      <w:marBottom w:val="0"/>
      <w:divBdr>
        <w:top w:val="none" w:sz="0" w:space="0" w:color="auto"/>
        <w:left w:val="none" w:sz="0" w:space="0" w:color="auto"/>
        <w:bottom w:val="none" w:sz="0" w:space="0" w:color="auto"/>
        <w:right w:val="none" w:sz="0" w:space="0" w:color="auto"/>
      </w:divBdr>
    </w:div>
    <w:div w:id="2138988051">
      <w:bodyDiv w:val="1"/>
      <w:marLeft w:val="0"/>
      <w:marRight w:val="0"/>
      <w:marTop w:val="0"/>
      <w:marBottom w:val="0"/>
      <w:divBdr>
        <w:top w:val="none" w:sz="0" w:space="0" w:color="auto"/>
        <w:left w:val="none" w:sz="0" w:space="0" w:color="auto"/>
        <w:bottom w:val="none" w:sz="0" w:space="0" w:color="auto"/>
        <w:right w:val="none" w:sz="0" w:space="0" w:color="auto"/>
      </w:divBdr>
    </w:div>
    <w:div w:id="2142503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BD86A-4E49-4308-8806-2CC374FB0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36</Pages>
  <Words>11060</Words>
  <Characters>63048</Characters>
  <Application>Microsoft Office Word</Application>
  <DocSecurity>0</DocSecurity>
  <Lines>525</Lines>
  <Paragraphs>147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Hiếu Lê</cp:lastModifiedBy>
  <cp:revision>64</cp:revision>
  <cp:lastPrinted>2026-06-06T06:35:00Z</cp:lastPrinted>
  <dcterms:created xsi:type="dcterms:W3CDTF">2026-06-04T23:24:00Z</dcterms:created>
  <dcterms:modified xsi:type="dcterms:W3CDTF">2026-07-20T17:50:00Z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 2016</vt:lpwstr>
  </property>
  <property fmtid="{D5CDD505-2E9C-101B-9397-08002B2CF9AE}" pid="4" name="LastSaved">
    <vt:filetime>2025-05-09T00:00:00Z</vt:filetime>
  </property>
  <property fmtid="{D5CDD505-2E9C-101B-9397-08002B2CF9AE}" pid="5" name="Producer">
    <vt:lpwstr>3-Heights(TM) PDF Security Shell 4.8.25.2 (http://www.pdf-tools.com)</vt:lpwstr>
  </property>
</Properties>
</file>