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32"/>
        </w:rPr>
        <w:t>CẨM NANG TÍCH HỢP THANH TOÁN SEPAY &amp; VIETQR TỰ ĐỘNG (REALTIME)</w:t>
      </w:r>
    </w:p>
    <w:p>
      <w:pPr>
        <w:jc w:val="center"/>
      </w:pPr>
      <w:r>
        <w:rPr>
          <w:i/>
          <w:color w:val="64748B"/>
          <w:sz w:val="20"/>
        </w:rPr>
        <w:t>Tài liệu hướng dẫn triển khai, kiến trúc luồng dữ liệu và các lưu ý kỹ thuật cho dự án phần mềm</w:t>
      </w:r>
    </w:p>
    <w:p/>
    <w:p>
      <w:pPr>
        <w:pStyle w:val="Heading1"/>
      </w:pPr>
      <w:r>
        <w:rPr>
          <w:color w:val="0F172A"/>
          <w:sz w:val="26"/>
        </w:rPr>
        <w:t>1. NGUYÊN LÝ HOẠT ĐỘNG TOÀN DIỆN</w:t>
      </w:r>
    </w:p>
    <w:p>
      <w:pPr>
        <w:spacing w:line="288" w:lineRule="auto"/>
      </w:pPr>
      <w:r>
        <w:t>Hệ thống thanh toán tự động VietQR kết hợp SePay Webhook hoạt động theo 4 thành phần chính:</w:t>
        <w:br/>
      </w:r>
      <w:r>
        <w:rPr>
          <w:b/>
        </w:rPr>
        <w:t xml:space="preserve">• VietQR: </w:t>
      </w:r>
      <w:r>
        <w:t>Sinh mã QR động chứa sẵn Ngân hàng, Số tài khoản, Số tiền và Mã đơn hàng duy nhất (VD: SEPAY_LL_123456).</w:t>
        <w:br/>
      </w:r>
      <w:r>
        <w:rPr>
          <w:b/>
        </w:rPr>
        <w:t xml:space="preserve">• SePay: </w:t>
      </w:r>
      <w:r>
        <w:t>Đóng vai trò cầu nối bắt biến động số dư ngân hàng qua Open API/App thông báo.</w:t>
        <w:br/>
      </w:r>
      <w:r>
        <w:rPr>
          <w:b/>
        </w:rPr>
        <w:t xml:space="preserve">• Webhook: </w:t>
      </w:r>
      <w:r>
        <w:t>SePay gửi một HTTP POST request kèm JSON chi tiết giao dịch về Backend ngay khi tiền vào tài khoản.</w:t>
        <w:br/>
      </w:r>
      <w:r>
        <w:rPr>
          <w:b/>
        </w:rPr>
        <w:t xml:space="preserve">• Auto-Polling (Frontend): </w:t>
      </w:r>
      <w:r>
        <w:t>Giao diện người dùng thăm dò định kỳ mỗi 3-5 giây. Khi Backend duyệt đơn, màn hình lập tức nhảy sang 'Thành công'.</w:t>
      </w:r>
    </w:p>
    <w:p>
      <w:pPr>
        <w:pStyle w:val="Heading1"/>
      </w:pPr>
      <w:r>
        <w:rPr>
          <w:color w:val="0F172A"/>
          <w:sz w:val="26"/>
        </w:rPr>
        <w:t>2. QUY TRÌNH ĐĂNG KÝ &amp; CẤU HÌNH SEPAY</w:t>
      </w:r>
    </w:p>
    <w:p>
      <w:pPr>
        <w:spacing w:line="276" w:lineRule="auto" w:after="80"/>
      </w:pPr>
      <w:r>
        <w:rPr>
          <w:b/>
          <w:color w:val="2563EB"/>
        </w:rPr>
        <w:t xml:space="preserve">• Bước 1: Đăng ký &amp; Chọn gói dịch vụ: </w:t>
      </w:r>
      <w:r>
        <w:t>Truy cập my.sepay.vn -&gt; Chọn gói FREE (0đ/tháng, 50 giao dịch/tháng miễn phí trọn đời) -&gt; Chọn mục đích 'Chỉ cần chia sẻ biến động số dư'.</w:t>
      </w:r>
    </w:p>
    <w:p>
      <w:pPr>
        <w:spacing w:line="276" w:lineRule="auto" w:after="80"/>
      </w:pPr>
      <w:r>
        <w:rPr>
          <w:b/>
          <w:color w:val="2563EB"/>
        </w:rPr>
        <w:t xml:space="preserve">• Bước 2: Liên kết Ngân hàng (Ví dụ: BIDV): </w:t>
      </w:r>
      <w:r>
        <w:t>Vào mục Ngân hàng (Bank Hub) -&gt; Điền STK, Tên chủ TK, Số CCCD, SĐT (phải trùng với thông tin đăng ký tại ngân hàng) -&gt; Tạo Số VA (Virtual Account) và nhập mã OTP xác thực.</w:t>
      </w:r>
    </w:p>
    <w:p>
      <w:pPr>
        <w:spacing w:line="276" w:lineRule="auto" w:after="80"/>
      </w:pPr>
      <w:r>
        <w:rPr>
          <w:b/>
          <w:color w:val="2563EB"/>
        </w:rPr>
        <w:t xml:space="preserve">• Bước 3: Cấu hình Webhook: </w:t>
      </w:r>
      <w:r>
        <w:t>Vào mục Tích hợp WebHooks -&gt; Bấm Thêm Webhook -&gt; Điền URL nhận Webhook (https://&lt;domain-hoac-ngrok&gt;/api/v1/auth/payment/sepay-webhook) -&gt; Loại: Tiền vào -&gt; Định dạng: JSON -&gt; Bật 'Tự động gửi lại' -&gt; Bảo mật: Không xác thực.</w:t>
      </w:r>
    </w:p>
    <w:p>
      <w:pPr>
        <w:pStyle w:val="Heading1"/>
      </w:pPr>
      <w:r>
        <w:rPr>
          <w:color w:val="0F172A"/>
          <w:sz w:val="26"/>
        </w:rPr>
        <w:t>3. CÁCH VIẾT CODE TRIỂN KHAI (SPRING BOOT &amp; REACT)</w:t>
      </w:r>
    </w:p>
    <w:p>
      <w:pPr>
        <w:spacing w:line="276" w:lineRule="auto"/>
      </w:pPr>
      <w:r>
        <w:rPr>
          <w:b/>
        </w:rPr>
        <w:t>A. Tạo link VietQR động phía Backend/Frontend:</w:t>
        <w:br/>
      </w:r>
      <w:r>
        <w:t>https://img.vietqr.io/image/{BANK_CODE}-{ACCOUNT_NUMBER}-{TEMPLATE}.png?amount={AMOUNT}&amp;addInfo={PAYMENT_CODE}&amp;accountName={ACCOUNT_NAME}</w:t>
      </w:r>
    </w:p>
    <w:p>
      <w:pPr>
        <w:spacing w:line="276" w:lineRule="auto"/>
      </w:pPr>
      <w:r>
        <w:rPr>
          <w:b/>
        </w:rPr>
        <w:t>B. Backend đón Webhook (Controller &amp; Service):</w:t>
        <w:br/>
      </w:r>
      <w:r>
        <w:t>1. Tạo DTO SepayWebhookRequest chứa các trường: id, gateway, content, transferAmount, transferType.</w:t>
        <w:br/>
        <w:t>2. Xử lý nghiệp vụ: Đọc chuỗi content kiểm tra chứa mã paymentCode (dùng contains), kiểm tra transferAmount đủ tiền.</w:t>
        <w:br/>
        <w:t>3. Cập nhật Database (status = 'APPROVED', paymentStatus = 'PAID') và kích hoạt quyền / dịch vụ cho người dùng.</w:t>
      </w:r>
    </w:p>
    <w:p>
      <w:pPr>
        <w:pStyle w:val="Heading1"/>
      </w:pPr>
      <w:r>
        <w:rPr>
          <w:color w:val="B91C1C"/>
          <w:sz w:val="26"/>
        </w:rPr>
        <w:t>4. CÁC LƯU Ý KỸ THUẬT 'XƯƠNG MÁU' CẦN NHỚ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20"/>
              </w:rPr>
              <w:t>Hạng Mục / Vấn Đề</w:t>
            </w:r>
          </w:p>
        </w:tc>
        <w:tc>
          <w:tcPr>
            <w:tcW w:type="dxa" w:w="6624"/>
            <w:shd w:val="clear" w:color="auto" w:fill="F1F5F9"/>
          </w:tcPr>
          <w:p>
            <w:r>
              <w:rPr>
                <w:b/>
                <w:sz w:val="20"/>
              </w:rPr>
              <w:t>Hướng Dẫn Xử Lý &amp; Lưu Ý Bắt Buộc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Tài khoản ảo VA (Virtual Account)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Khi liên kết qua Open API ngân hàng có tạo số VA (như BIDV), khách bắt buộc phải chuyển vào đúng số VA đó, KHÔNG chuyển vào STK chính gốc.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Bảo mật API Gateway &amp; Security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Bắt buộc phải mở quyền truy cập tự do (Whitelist/permitAll) cho Endpoint Webhook ở cả API Gateway và Spring Security, tránh lỗi 401 Unauthorized.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Test môi trường Localhost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Luôn sử dụng Ngrok (ngrok http 8080) để lấy URL Public HTTPS ổn định. Tránh dùng localtunnel vì hay bị chặn bởi trang xác nhận IP.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Đối soát nội dung chuyển khoản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Luôn dùng hàm content.toUpperCase().contains(paymentCode) vì ngân hàng thường tự động thêm tên người gửi vào nội dung chuyển khoản.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Tính bất biến (Idempotency)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Luôn kiểm tra trạng thái đơn trước khi xử lý, nếu đã APPROVED thì bỏ qua để tránh cộng tiền hoặc kích hoạt tài khoản 2 lần khi SePay retry.</w:t>
            </w:r>
          </w:p>
        </w:tc>
      </w:tr>
    </w:tbl>
    <w:p/>
    <w:p>
      <w:pPr>
        <w:jc w:val="right"/>
      </w:pPr>
      <w:r>
        <w:rPr>
          <w:color w:val="94A3B8"/>
          <w:sz w:val="17"/>
        </w:rPr>
        <w:t>Roomily Project • Sepay &amp; VietQR Integration Handbook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