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RiskOps Copilot — 贷后经营复盘报告</w:t>
      </w:r>
    </w:p>
    <w:p>
      <w:pPr>
        <w:jc w:val="center"/>
      </w:pPr>
      <w:r>
        <w:rPr>
          <w:color w:val="595959"/>
          <w:sz w:val="20"/>
        </w:rPr>
        <w:t>生成时间：2026-05-28T11:39:50+00:00</w:t>
      </w:r>
    </w:p>
    <w:p>
      <w:pPr>
        <w:jc w:val="center"/>
      </w:pPr>
      <w:r>
        <w:rPr>
          <w:i/>
          <w:color w:val="595959"/>
          <w:sz w:val="18"/>
        </w:rPr>
        <w:t>⚠ 本报告基于 synthetic data（合成数据），仅用于 demo 演示，不代表真实业务结论。</w:t>
      </w:r>
    </w:p>
    <w:p/>
    <w:p>
      <w:pPr>
        <w:spacing w:before="240" w:after="80"/>
      </w:pPr>
      <w:r>
        <w:rPr>
          <w:b/>
          <w:color w:val="1F4E79"/>
          <w:sz w:val="26"/>
        </w:rPr>
        <w:t>一、核心结论</w:t>
      </w:r>
    </w:p>
    <w:p>
      <w:pPr>
        <w:pStyle w:val="ListBullet"/>
        <w:spacing w:after="40"/>
      </w:pPr>
      <w:r>
        <w:t>M1 D7 回收率变动幅度：-58.20%</w:t>
      </w:r>
    </w:p>
    <w:p>
      <w:pPr>
        <w:pStyle w:val="ListBullet"/>
        <w:spacing w:after="40"/>
      </w:pPr>
      <w:r>
        <w:t>异常数量：7 条（high 5 / medium 2 / low 0）</w:t>
      </w:r>
    </w:p>
    <w:p>
      <w:pPr>
        <w:pStyle w:val="ListBullet"/>
        <w:spacing w:after="40"/>
      </w:pPr>
      <w:r>
        <w:t>归因目标指标：D7 回收率</w:t>
      </w:r>
    </w:p>
    <w:p>
      <w:pPr>
        <w:pStyle w:val="ListBullet"/>
        <w:spacing w:after="40"/>
      </w:pPr>
      <w:r>
        <w:t>数据边界：synthetic data，不代表真实业务决策。</w:t>
      </w:r>
    </w:p>
    <w:p/>
    <w:p>
      <w:pPr>
        <w:spacing w:before="240" w:after="80"/>
      </w:pPr>
      <w:r>
        <w:rPr>
          <w:b/>
          <w:color w:val="1F4E79"/>
          <w:sz w:val="26"/>
        </w:rPr>
        <w:t>二、高优先级异常信号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变动幅度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建议动作</w:t>
            </w:r>
          </w:p>
        </w:tc>
      </w:tr>
      <w:tr>
        <w:tc>
          <w:tcPr>
            <w:tcW w:type="dxa" w:w="2160"/>
          </w:tcPr>
          <w:p>
            <w:r>
              <w:t>M1 回收率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-58.20%</w:t>
            </w:r>
          </w:p>
        </w:tc>
        <w:tc>
          <w:tcPr>
            <w:tcW w:type="dxa" w:w="2160"/>
          </w:tcPr>
          <w:p>
            <w:r>
              <w:t>进入 M3-B 后按供应商、线路、客群结构、AI 覆盖和减免策略下钻归因。</w:t>
            </w:r>
          </w:p>
        </w:tc>
      </w:tr>
      <w:tr>
        <w:tc>
          <w:tcPr>
            <w:tcW w:type="dxa" w:w="2160"/>
          </w:tcPr>
          <w:p>
            <w:r>
              <w:t>接通率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-19.62%</w:t>
            </w:r>
          </w:p>
        </w:tc>
        <w:tc>
          <w:tcPr>
            <w:tcW w:type="dxa" w:w="2160"/>
          </w:tcPr>
          <w:p>
            <w:r>
              <w:t>下钻供应商 B 的线路、催员和触达时段，验证执行资源或号码质量问题。</w:t>
            </w:r>
          </w:p>
        </w:tc>
      </w:tr>
      <w:tr>
        <w:tc>
          <w:tcPr>
            <w:tcW w:type="dxa" w:w="2160"/>
          </w:tcPr>
          <w:p>
            <w:r>
              <w:t>华东线路人均案量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+41.13%</w:t>
            </w:r>
          </w:p>
        </w:tc>
        <w:tc>
          <w:tcPr>
            <w:tcW w:type="dxa" w:w="2160"/>
          </w:tcPr>
          <w:p>
            <w:r>
              <w:t>下钻华东各 line_id 的 active_case_count 与 active_collector_count，评估临时增员或分案转移。</w:t>
            </w:r>
          </w:p>
        </w:tc>
      </w:tr>
      <w:tr>
        <w:tc>
          <w:tcPr>
            <w:tcW w:type="dxa" w:w="2160"/>
          </w:tcPr>
          <w:p>
            <w:r>
              <w:t>高余额高风险客群占比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+66.68%</w:t>
            </w:r>
          </w:p>
        </w:tc>
        <w:tc>
          <w:tcPr>
            <w:tcW w:type="dxa" w:w="2160"/>
          </w:tcPr>
          <w:p>
            <w:r>
              <w:t>进入后续归因阶段后拆分余额段、risk_level 和入案批次，识别结构变化贡献。</w:t>
            </w:r>
          </w:p>
        </w:tc>
      </w:tr>
      <w:tr>
        <w:tc>
          <w:tcPr>
            <w:tcW w:type="dxa" w:w="2160"/>
          </w:tcPr>
          <w:p>
            <w:r>
              <w:t>AI 外呼覆盖率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-41.32%</w:t>
            </w:r>
          </w:p>
        </w:tc>
        <w:tc>
          <w:tcPr>
            <w:tcW w:type="dxa" w:w="2160"/>
          </w:tcPr>
          <w:p>
            <w:r>
              <w:t>检查 AI 外呼线路容量、分案策略和人工替代触达占比。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三、归因分析（M1 D7 回收率）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贡献度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业务解读</w:t>
            </w:r>
          </w:p>
        </w:tc>
      </w:tr>
      <w:tr>
        <w:tc>
          <w:tcPr>
            <w:tcW w:type="dxa" w:w="2160"/>
          </w:tcPr>
          <w:p>
            <w:r>
              <w:t>product_code</w:t>
            </w:r>
          </w:p>
        </w:tc>
        <w:tc>
          <w:tcPr>
            <w:tcW w:type="dxa" w:w="2160"/>
          </w:tcPr>
          <w:p>
            <w:r>
              <w:t>P_CONS</w:t>
            </w:r>
          </w:p>
        </w:tc>
        <w:tc>
          <w:tcPr>
            <w:tcW w:type="dxa" w:w="2160"/>
          </w:tcPr>
          <w:p>
            <w:r>
              <w:t>5.59%</w:t>
            </w:r>
          </w:p>
        </w:tc>
        <w:tc>
          <w:tcPr>
            <w:tcW w:type="dxa" w:w="2160"/>
          </w:tcPr>
          <w:p>
            <w:r>
              <w:t>P_CONS 分组的回收率下降对整体异常有可量化贡献。</w:t>
            </w:r>
          </w:p>
        </w:tc>
      </w:tr>
      <w:tr>
        <w:tc>
          <w:tcPr>
            <w:tcW w:type="dxa" w:w="2160"/>
          </w:tcPr>
          <w:p>
            <w:r>
              <w:t>balance_segment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5.28%</w:t>
            </w:r>
          </w:p>
        </w:tc>
        <w:tc>
          <w:tcPr>
            <w:tcW w:type="dxa" w:w="2160"/>
          </w:tcPr>
          <w:p>
            <w:r>
              <w:t>NORMAL 客群组内回收表现恶化，是资产结构或客户风险迁徙层面的重要信号。</w:t>
            </w:r>
          </w:p>
        </w:tc>
      </w:tr>
      <w:tr>
        <w:tc>
          <w:tcPr>
            <w:tcW w:type="dxa" w:w="2160"/>
          </w:tcPr>
          <w:p>
            <w:r>
              <w:t>risk_level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4.94%</w:t>
            </w:r>
          </w:p>
        </w:tc>
        <w:tc>
          <w:tcPr>
            <w:tcW w:type="dxa" w:w="2160"/>
          </w:tcPr>
          <w:p>
            <w:r>
              <w:t>high 客群组内回收表现恶化，是资产结构或客户风险迁徙层面的重要信号。</w:t>
            </w:r>
          </w:p>
        </w:tc>
      </w:tr>
      <w:tr>
        <w:tc>
          <w:tcPr>
            <w:tcW w:type="dxa" w:w="2160"/>
          </w:tcPr>
          <w:p>
            <w:r>
              <w:t>channel_code</w:t>
            </w:r>
          </w:p>
        </w:tc>
        <w:tc>
          <w:tcPr>
            <w:tcW w:type="dxa" w:w="2160"/>
          </w:tcPr>
          <w:p>
            <w:r>
              <w:t>ECOM</w:t>
            </w:r>
          </w:p>
        </w:tc>
        <w:tc>
          <w:tcPr>
            <w:tcW w:type="dxa" w:w="2160"/>
          </w:tcPr>
          <w:p>
            <w:r>
              <w:t>4.90%</w:t>
            </w:r>
          </w:p>
        </w:tc>
        <w:tc>
          <w:tcPr>
            <w:tcW w:type="dxa" w:w="2160"/>
          </w:tcPr>
          <w:p>
            <w:r>
              <w:t>ECOM 分组的回收率下降对整体异常有可量化贡献。</w:t>
            </w:r>
          </w:p>
        </w:tc>
      </w:tr>
      <w:tr>
        <w:tc>
          <w:tcPr>
            <w:tcW w:type="dxa" w:w="2160"/>
          </w:tcPr>
          <w:p>
            <w:r>
              <w:t>score_band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4.18%</w:t>
            </w:r>
          </w:p>
        </w:tc>
        <w:tc>
          <w:tcPr>
            <w:tcW w:type="dxa" w:w="2160"/>
          </w:tcPr>
          <w:p>
            <w:r>
              <w:t>B 客群组内回收表现恶化，是资产结构或客户风险迁徙层面的重要信号。</w:t>
            </w:r>
          </w:p>
        </w:tc>
      </w:tr>
    </w:tbl>
    <w:p/>
    <w:p>
      <w:r>
        <w:rPr>
          <w:i/>
          <w:color w:val="595959"/>
          <w:sz w:val="18"/>
        </w:rPr>
        <w:t>归因边界：channel_code / province / score_band 为线索，不是最终根因；line_id 为作业队列，不是电话线路。</w:t>
      </w:r>
    </w:p>
    <w:p/>
    <w:p>
      <w:pPr>
        <w:spacing w:before="240" w:after="80"/>
      </w:pPr>
      <w:r>
        <w:rPr>
          <w:b/>
          <w:color w:val="1F4E79"/>
          <w:sz w:val="26"/>
        </w:rPr>
        <w:t>四、策略 ROI 测算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情景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净收益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ROI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回收期</w:t>
            </w:r>
          </w:p>
        </w:tc>
      </w:tr>
      <w:tr>
        <w:tc>
          <w:tcPr>
            <w:tcW w:type="dxa" w:w="2160"/>
          </w:tcPr>
          <w:p>
            <w:r>
              <w:t>提升 AI 外呼覆盖</w:t>
            </w:r>
          </w:p>
        </w:tc>
        <w:tc>
          <w:tcPr>
            <w:tcW w:type="dxa" w:w="2160"/>
          </w:tcPr>
          <w:p>
            <w:r>
              <w:t>29,200.00</w:t>
            </w:r>
          </w:p>
        </w:tc>
        <w:tc>
          <w:tcPr>
            <w:tcW w:type="dxa" w:w="2160"/>
          </w:tcPr>
          <w:p>
            <w:r>
              <w:t>36.50</w:t>
            </w:r>
          </w:p>
        </w:tc>
        <w:tc>
          <w:tcPr>
            <w:tcW w:type="dxa" w:w="2160"/>
          </w:tcPr>
          <w:p>
            <w:r>
              <w:t>&lt;1 天</w:t>
            </w:r>
          </w:p>
        </w:tc>
      </w:tr>
      <w:tr>
        <w:tc>
          <w:tcPr>
            <w:tcW w:type="dxa" w:w="2160"/>
          </w:tcPr>
          <w:p>
            <w:r>
              <w:t>补充人工催收产能</w:t>
            </w:r>
          </w:p>
        </w:tc>
        <w:tc>
          <w:tcPr>
            <w:tcW w:type="dxa" w:w="2160"/>
          </w:tcPr>
          <w:p>
            <w:r>
              <w:t>12,000.00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  <w:tc>
          <w:tcPr>
            <w:tcW w:type="dxa" w:w="2160"/>
          </w:tcPr>
          <w:p>
            <w:r>
              <w:t>12.0 天</w:t>
            </w:r>
          </w:p>
        </w:tc>
      </w:tr>
      <w:tr>
        <w:tc>
          <w:tcPr>
            <w:tcW w:type="dxa" w:w="2160"/>
          </w:tcPr>
          <w:p>
            <w:r>
              <w:t>调整减免使用策略</w:t>
            </w:r>
          </w:p>
        </w:tc>
        <w:tc>
          <w:tcPr>
            <w:tcW w:type="dxa" w:w="2160"/>
          </w:tcPr>
          <w:p>
            <w:r>
              <w:t>12,750.00</w:t>
            </w:r>
          </w:p>
        </w:tc>
        <w:tc>
          <w:tcPr>
            <w:tcW w:type="dxa" w:w="2160"/>
          </w:tcPr>
          <w:p>
            <w:r>
              <w:t>5.67</w:t>
            </w:r>
          </w:p>
        </w:tc>
        <w:tc>
          <w:tcPr>
            <w:tcW w:type="dxa" w:w="2160"/>
          </w:tcPr>
          <w:p>
            <w:r>
              <w:t>4.5 天</w:t>
            </w:r>
          </w:p>
        </w:tc>
      </w:tr>
      <w:tr>
        <w:tc>
          <w:tcPr>
            <w:tcW w:type="dxa" w:w="2160"/>
          </w:tcPr>
          <w:p>
            <w:r>
              <w:t>供应商与作业线资源再分配</w:t>
            </w:r>
          </w:p>
        </w:tc>
        <w:tc>
          <w:tcPr>
            <w:tcW w:type="dxa" w:w="2160"/>
          </w:tcPr>
          <w:p>
            <w:r>
              <w:t>22,000.00</w:t>
            </w:r>
          </w:p>
        </w:tc>
        <w:tc>
          <w:tcPr>
            <w:tcW w:type="dxa" w:w="2160"/>
          </w:tcPr>
          <w:p>
            <w:r>
              <w:t>7.33</w:t>
            </w:r>
          </w:p>
        </w:tc>
        <w:tc>
          <w:tcPr>
            <w:tcW w:type="dxa" w:w="2160"/>
          </w:tcPr>
          <w:p>
            <w:r>
              <w:t>3.6 天</w:t>
            </w:r>
          </w:p>
        </w:tc>
      </w:tr>
      <w:tr>
        <w:tc>
          <w:tcPr>
            <w:tcW w:type="dxa" w:w="2160"/>
          </w:tcPr>
          <w:p>
            <w:r>
              <w:t>D 分客群优先跟进</w:t>
            </w:r>
          </w:p>
        </w:tc>
        <w:tc>
          <w:tcPr>
            <w:tcW w:type="dxa" w:w="2160"/>
          </w:tcPr>
          <w:p>
            <w:r>
              <w:t>8,000.00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6.0 天</w:t>
            </w:r>
          </w:p>
        </w:tc>
      </w:tr>
    </w:tbl>
    <w:p/>
    <w:p>
      <w:r>
        <w:rPr>
          <w:i/>
          <w:color w:val="595959"/>
          <w:sz w:val="18"/>
        </w:rPr>
        <w:t>ROI 边界：demo cost assumptions，不代表真实财务结果。</w:t>
      </w:r>
    </w:p>
    <w:p/>
    <w:p>
      <w:pPr>
        <w:spacing w:before="240" w:after="80"/>
      </w:pPr>
      <w:r>
        <w:rPr>
          <w:b/>
          <w:color w:val="1F4E79"/>
          <w:sz w:val="26"/>
        </w:rPr>
        <w:t>五、AI + ML 边界声明</w:t>
      </w:r>
    </w:p>
    <w:p>
      <w:pPr>
        <w:pStyle w:val="ListBullet"/>
        <w:spacing w:after="40"/>
      </w:pPr>
      <w:r>
        <w:t>synthetic data only — 本报告基于合成数据，不包含真实客户信息。</w:t>
      </w:r>
    </w:p>
    <w:p>
      <w:pPr>
        <w:pStyle w:val="ListBullet"/>
        <w:spacing w:after="40"/>
      </w:pPr>
      <w:r>
        <w:t>no real financial conclusion — ROI 与收益数字来自 demo 假设。</w:t>
      </w:r>
    </w:p>
    <w:p>
      <w:pPr>
        <w:pStyle w:val="ListBullet"/>
        <w:spacing w:after="40"/>
      </w:pPr>
      <w:r>
        <w:t>no real collection action — 不产生真实催收动作。</w:t>
      </w:r>
    </w:p>
    <w:p>
      <w:pPr>
        <w:pStyle w:val="ListBullet"/>
        <w:spacing w:after="40"/>
      </w:pPr>
      <w:r>
        <w:t>no LLM automatic decisioning — LLM 输出仅供参考，需人工确认。</w:t>
      </w:r>
    </w:p>
    <w:p>
      <w:pPr>
        <w:pStyle w:val="ListBullet"/>
        <w:spacing w:after="40"/>
      </w:pPr>
      <w:r>
        <w:t>no production claim — 不宣称真实上线或生产催收结果。</w:t>
      </w:r>
    </w:p>
    <w:p/>
    <w:p>
      <w:pPr>
        <w:spacing w:before="240" w:after="80"/>
      </w:pPr>
      <w:r>
        <w:rPr>
          <w:b/>
          <w:color w:val="1F4E79"/>
          <w:sz w:val="26"/>
        </w:rPr>
        <w:t>六、建议后续动作</w:t>
      </w:r>
    </w:p>
    <w:p>
      <w:pPr>
        <w:pStyle w:val="ListBullet"/>
        <w:spacing w:after="40"/>
      </w:pPr>
      <w:r>
        <w:t>人工复核 M1 D7 回收率口径与观察窗口期。</w:t>
      </w:r>
    </w:p>
    <w:p>
      <w:pPr>
        <w:pStyle w:val="ListBullet"/>
        <w:spacing w:after="40"/>
      </w:pPr>
      <w:r>
        <w:t>下钻 Top5 归因因子的渠道、区域、客群和过程证据。</w:t>
      </w:r>
    </w:p>
    <w:p>
      <w:pPr>
        <w:pStyle w:val="ListBullet"/>
        <w:spacing w:after="40"/>
      </w:pPr>
      <w:r>
        <w:t>复核 ROI 情景的成本假设与收益假设，确认商务边界。</w:t>
      </w:r>
    </w:p>
    <w:p>
      <w:pPr>
        <w:pStyle w:val="ListBullet"/>
        <w:spacing w:after="40"/>
      </w:pPr>
      <w:r>
        <w:t>策略动作进入人工评审流程，不触发真实催收执行。</w:t>
      </w:r>
    </w:p>
    <w:p>
      <w:pPr>
        <w:pStyle w:val="ListBullet"/>
        <w:spacing w:after="40"/>
      </w:pPr>
      <w:r>
        <w:t>补充业务 owner 结论和数据口径确认后，再进入对外材料。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