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c="http://schemas.microsoft.com/office/word/2010/wordprocessingCanvas" xmlns:o="urn:schemas-microsoft-com:office:office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bookmarkStart w:id="0" w:name="toc_auto_0"/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MBTI 性格测评程序 · 需求规格说明书</w:t>
      </w:r>
      <w:bookmarkEnd w:id="0"/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MBTI Personality Assessment · Product Specification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v1.0 · 面向公众的免费 H5 测评工具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2026年09月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OC1"/>
      </w:pPr>
      <w:hyperlink w:anchor="toc_auto_0" w:history="1">
        <w:r>
          <w:rPr>
            <w:rStyle w:val="Hyperlink"/>
          </w:rPr>
          <w:t>MBTI 性格测评程序 · 需求规格说明书</w:t>
        </w:r>
      </w:hyperlink>
    </w:p>
    <w:p>
      <w:pPr>
        <w:pStyle w:val="TOC2"/>
      </w:pPr>
      <w:hyperlink w:anchor="toc_auto_1" w:history="1">
        <w:r>
          <w:rPr>
            <w:rStyle w:val="Hyperlink"/>
          </w:rPr>
          <w:t>1. Problem Statement（问题陈述）</w:t>
        </w:r>
      </w:hyperlink>
    </w:p>
    <w:p>
      <w:pPr>
        <w:pStyle w:val="TOC2"/>
      </w:pPr>
      <w:hyperlink w:anchor="toc_auto_2" w:history="1">
        <w:r>
          <w:rPr>
            <w:rStyle w:val="Hyperlink"/>
          </w:rPr>
          <w:t>2. Proposed Solution（方案描述）</w:t>
        </w:r>
      </w:hyperlink>
    </w:p>
    <w:p>
      <w:pPr>
        <w:pStyle w:val="TOC2"/>
      </w:pPr>
      <w:hyperlink w:anchor="toc_auto_3" w:history="1">
        <w:r>
          <w:rPr>
            <w:rStyle w:val="Hyperlink"/>
          </w:rPr>
          <w:t>3. Target Users（目标用户）</w:t>
        </w:r>
      </w:hyperlink>
    </w:p>
    <w:p>
      <w:pPr>
        <w:pStyle w:val="TOC2"/>
      </w:pPr>
      <w:hyperlink w:anchor="toc_auto_4" w:history="1">
        <w:r>
          <w:rPr>
            <w:rStyle w:val="Hyperlink"/>
          </w:rPr>
          <w:t>4. Core Features（核心功能）</w:t>
        </w:r>
      </w:hyperlink>
    </w:p>
    <w:p>
      <w:pPr>
        <w:pStyle w:val="TOC3"/>
      </w:pPr>
      <w:hyperlink w:anchor="toc_auto_5" w:history="1">
        <w:r>
          <w:rPr>
            <w:rStyle w:val="Hyperlink"/>
          </w:rPr>
          <w:t>F1 测评答题</w:t>
        </w:r>
      </w:hyperlink>
    </w:p>
    <w:p>
      <w:pPr>
        <w:pStyle w:val="TOC3"/>
      </w:pPr>
      <w:hyperlink w:anchor="toc_auto_6" w:history="1">
        <w:r>
          <w:rPr>
            <w:rStyle w:val="Hyperlink"/>
          </w:rPr>
          <w:t>F2 倾向强度计分</w:t>
        </w:r>
      </w:hyperlink>
    </w:p>
    <w:p>
      <w:pPr>
        <w:pStyle w:val="TOC3"/>
      </w:pPr>
      <w:hyperlink w:anchor="toc_auto_7" w:history="1">
        <w:r>
          <w:rPr>
            <w:rStyle w:val="Hyperlink"/>
          </w:rPr>
          <w:t>F3 结果页</w:t>
        </w:r>
      </w:hyperlink>
    </w:p>
    <w:p>
      <w:pPr>
        <w:pStyle w:val="TOC3"/>
      </w:pPr>
      <w:hyperlink w:anchor="toc_auto_8" w:history="1">
        <w:r>
          <w:rPr>
            <w:rStyle w:val="Hyperlink"/>
          </w:rPr>
          <w:t>F4 分享卡片</w:t>
        </w:r>
      </w:hyperlink>
    </w:p>
    <w:p>
      <w:pPr>
        <w:pStyle w:val="TOC2"/>
      </w:pPr>
      <w:hyperlink w:anchor="toc_auto_9" w:history="1">
        <w:r>
          <w:rPr>
            <w:rStyle w:val="Hyperlink"/>
          </w:rPr>
          <w:t>5. Technical Constraints（技术约束）</w:t>
        </w:r>
      </w:hyperlink>
    </w:p>
    <w:p>
      <w:pPr>
        <w:pStyle w:val="TOC2"/>
      </w:pPr>
      <w:hyperlink w:anchor="toc_auto_10" w:history="1">
        <w:r>
          <w:rPr>
            <w:rStyle w:val="Hyperlink"/>
          </w:rPr>
          <w:t>6. Non-goals（明确不做的事）</w:t>
        </w:r>
      </w:hyperlink>
    </w:p>
    <w:p>
      <w:pPr>
        <w:pStyle w:val="TOC2"/>
      </w:pPr>
      <w:hyperlink w:anchor="toc_auto_11" w:history="1">
        <w:r>
          <w:rPr>
            <w:rStyle w:val="Hyperlink"/>
          </w:rPr>
          <w:t>7. Success Criteria（成功标准）</w:t>
        </w:r>
      </w:hyperlink>
    </w:p>
    <w:p>
      <w:pPr>
        <w:pStyle w:val="TOC2"/>
      </w:pPr>
      <w:hyperlink w:anchor="toc_auto_12" w:history="1">
        <w:r>
          <w:rPr>
            <w:rStyle w:val="Hyperlink"/>
          </w:rPr>
          <w:t>附录：已知风险与开放问题</w:t>
        </w:r>
      </w:hyperlink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ind w:firstLine="480"/>
      </w:pPr>
      <w:r>
        <w:rPr>
          <w:b/>
          <w:bCs/>
        </w:rPr>
        <w:t xml:space="preserve">版本</w:t>
      </w:r>
      <w:r>
        <w:t xml:space="preserve">：v1.0（已确认，进入开发）</w:t>
      </w:r>
    </w:p>
    <w:p>
      <w:pPr>
        <w:ind w:firstLine="480"/>
      </w:pPr>
      <w:r>
        <w:rPr>
          <w:b/>
          <w:bCs/>
        </w:rPr>
        <w:t xml:space="preserve">日期</w:t>
      </w:r>
      <w:r>
        <w:t xml:space="preserve">：2026-09-15</w:t>
      </w:r>
    </w:p>
    <w:p>
      <w:pPr>
        <w:ind w:firstLine="480"/>
      </w:pPr>
      <w:r>
        <w:rPr>
          <w:b/>
          <w:bCs/>
        </w:rPr>
        <w:t xml:space="preserve">状态</w:t>
      </w:r>
      <w:r>
        <w:t xml:space="preserve">：已确认；配套实现见 </w:t>
      </w:r>
      <w:r>
        <w:rPr>
          <w:rFonts w:ascii="Consolas" w:cs="Consolas" w:eastAsia="Consolas" w:hAnsi="Consolas"/>
        </w:rPr>
        <w:t xml:space="preserve">index.html</w:t>
      </w:r>
      <w:r>
        <w:t xml:space="preserve">（单文件纯前端 H5）</w:t>
      </w:r>
    </w:p>
    <w:p>
      <w:pPr>
        <w:ind w:firstLine="480"/>
      </w:pPr>
      <w:r>
        <w:rPr>
          <w:b/>
          <w:bCs/>
        </w:rPr>
        <w:t xml:space="preserve">形成方式</w:t>
      </w:r>
      <w:r>
        <w:t xml:space="preserve">：苏格拉底式需求访谈逐项确认</w:t>
      </w:r>
    </w:p>
    <w:p>
      <w:pPr>
        <w:pStyle w:val="Heading2"/>
        <w:spacing w:after="180" w:before="180"/>
        <w:outlineLvl w:val="1"/>
      </w:pPr>
      <w:bookmarkStart w:id="1" w:name="toc_auto_1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1. Problem Statement（问题陈述）</w:t>
      </w:r>
      <w:bookmarkEnd w:id="1"/>
    </w:p>
    <w:p>
      <w:pPr>
        <w:ind w:firstLine="480"/>
      </w:pPr>
      <w:r>
        <w:t xml:space="preserve">中文互联网上目前缺少一个“专业内核 + 社交外壳”的免费 MBTI 测评工具：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海外主流产品</w:t>
      </w:r>
      <w:r>
        <w:t xml:space="preserve">（如 16Personalities）：国内访问慢、加载不稳定、语境偏英文文化；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国内现有测评</w:t>
      </w:r>
      <w:r>
        <w:t xml:space="preserve">普遍两极分化：要么过度娱乐化，题目不严谨、计分随意，MBTI 深度爱好者不认可；要么过于严肃冗长、界面陈旧，年轻用户没有分享欲望；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多数测评要求注册登录</w:t>
      </w:r>
      <w:r>
        <w:t xml:space="preserve">，收集手机号等个人信息，抬高了使用门槛，也带来隐私顾虑。</w:t>
      </w:r>
    </w:p>
    <w:p>
      <w:pPr>
        <w:ind w:firstLine="480"/>
      </w:pPr>
      <w:r>
        <w:t xml:space="preserve">我们要解决的问题：</w:t>
      </w:r>
      <w:r>
        <w:rPr>
          <w:b/>
          <w:bCs/>
        </w:rPr>
        <w:t xml:space="preserve">为中文互联网用户提供一个免费、无门槛、专业与趣味平衡的手机端 MBTI 测评工具，让测评结果成为年轻人的“社交货币”，通过分享实现自然传播。</w:t>
      </w:r>
    </w:p>
    <w:p>
      <w:pPr>
        <w:pStyle w:val="Heading2"/>
        <w:spacing w:after="180" w:before="180"/>
        <w:outlineLvl w:val="1"/>
      </w:pPr>
      <w:bookmarkStart w:id="2" w:name="toc_auto_2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2. Proposed Solution（方案描述）</w:t>
      </w:r>
      <w:bookmarkEnd w:id="2"/>
    </w:p>
    <w:p>
      <w:pPr>
        <w:ind w:firstLine="480"/>
      </w:pPr>
      <w:r>
        <w:rPr>
          <w:b/>
          <w:bCs/>
        </w:rPr>
        <w:t xml:space="preserve">一句话方案</w:t>
      </w:r>
      <w:r>
        <w:t xml:space="preserve">：一个手机 H5 轻量测评应用——点开链接即测，约 10 分钟完成 32-48 题，以倾向强度计分得出 16 型人格结果；结果页以“类型称号 + 维度图表 + 优势盲区”三件套呈现，支持一键生成精美分享卡片，驱动社交传播。</w:t>
      </w:r>
    </w:p>
    <w:p>
      <w:pPr>
        <w:ind w:firstLine="480"/>
      </w:pPr>
      <w:r>
        <w:rPr>
          <w:b/>
          <w:bCs/>
        </w:rPr>
        <w:t xml:space="preserve">产品闭环</w:t>
      </w:r>
      <w:r>
        <w:t xml:space="preserve">：打开链接 → 答题（32-48 题，约 10 分钟）→ 本地即时计分 → 结果页浏览 → 生成/保存分享卡片 → 转发到微信/小红书 → 新用户点入（循环）。</w:t>
      </w:r>
    </w:p>
    <w:p>
      <w:pPr>
        <w:ind w:firstLine="480"/>
      </w:pPr>
      <w:r>
        <w:rPr>
          <w:b/>
          <w:bCs/>
        </w:rPr>
        <w:t xml:space="preserve">三条设计原则</w:t>
      </w:r>
      <w:r>
        <w:t xml:space="preserve">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轻快</w:t>
      </w:r>
      <w:r>
        <w:t xml:space="preserve">：无需注册，即测即走，页面加载快；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平衡</w:t>
      </w:r>
      <w:r>
        <w:t xml:space="preserve">：题库与计分保持严谨（满足深度爱好者），视觉与文案保持年轻化（满足社交圈用户）——“专业内核、年轻外壳”；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分享即增长</w:t>
      </w:r>
      <w:r>
        <w:t xml:space="preserve">：结果页与分享卡片按“值得晒”的标准设计，分享是产品的一等公民而非附加功能。</w:t>
      </w:r>
    </w:p>
    <w:p>
      <w:pPr>
        <w:pStyle w:val="Heading2"/>
        <w:spacing w:after="180" w:before="180"/>
        <w:outlineLvl w:val="1"/>
      </w:pPr>
      <w:bookmarkStart w:id="3" w:name="toc_auto_3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3. Target Users（目标用户）</w:t>
      </w:r>
      <w:bookmarkEnd w:id="3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用户群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定位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特征与诉求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年轻社交圈用户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核心用户、传播主力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18-30 岁，熟悉“i 人 / e 人”话语体系，把 MBTI 当社交话题；要求好玩、好看、好分享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MBTI 深度爱好者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关键口碑群体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了解四维度乃至荣格类型理论，在意题库质量与计分严谨性；要求结果“准”、逻辑可信</w:t>
            </w:r>
          </w:p>
        </w:tc>
      </w:tr>
    </w:tbl>
    <w:p>
      <w:pPr>
        <w:ind w:firstLine="480"/>
      </w:pPr>
      <w:r>
        <w:rPr>
          <w:b/>
          <w:bCs/>
        </w:rPr>
        <w:t xml:space="preserve">典型使用场景</w:t>
      </w:r>
      <w:r>
        <w:t xml:space="preserve">：用户在微信/小红书刷到朋友分享的测评卡片 → 好奇点开链接 → 在手机上花约 10 分钟完成测评 → 查看结果 → 保存自己的卡片再分享。</w:t>
      </w:r>
    </w:p>
    <w:p>
      <w:pPr>
        <w:ind w:firstLine="480"/>
      </w:pPr>
      <w:r>
        <w:rPr>
          <w:b/>
          <w:bCs/>
        </w:rPr>
        <w:t xml:space="preserve">两类用户的张力（本产品的核心设计约束）</w:t>
      </w:r>
      <w:r>
        <w:t xml:space="preserve">：一群人要娱乐性，一群人要专业性。产品策略是不偏科——计分逻辑经得起爱好者推敲，呈现方式经得起年轻人转发。</w:t>
      </w:r>
    </w:p>
    <w:p>
      <w:pPr>
        <w:pStyle w:val="Heading2"/>
        <w:spacing w:after="180" w:before="180"/>
        <w:outlineLvl w:val="1"/>
      </w:pPr>
      <w:bookmarkStart w:id="4" w:name="toc_auto_4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4. Core Features（核心功能）</w:t>
      </w:r>
      <w:bookmarkEnd w:id="4"/>
    </w:p>
    <w:p>
      <w:pPr>
        <w:pStyle w:val="Heading3"/>
        <w:spacing w:after="120" w:before="120"/>
        <w:outlineLvl w:val="2"/>
      </w:pPr>
      <w:bookmarkStart w:id="5" w:name="toc_auto_5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F1 测评答题</w:t>
      </w:r>
      <w:bookmarkEnd w:id="5"/>
    </w:p>
    <w:p>
      <w:pPr>
        <w:pStyle w:val="ListParagraph"/>
        <w:numPr>
          <w:ilvl w:val="0"/>
          <w:numId w:val="4"/>
        </w:numPr>
      </w:pPr>
      <w:r>
        <w:t xml:space="preserve">标准平衡版题库：</w:t>
      </w:r>
      <w:r>
        <w:rPr>
          <w:b/>
          <w:bCs/>
        </w:rPr>
        <w:t xml:space="preserve">32-48 题</w:t>
      </w:r>
      <w:r>
        <w:t xml:space="preserve">，完成时长约 10 分钟；</w:t>
      </w:r>
    </w:p>
    <w:p>
      <w:pPr>
        <w:pStyle w:val="ListParagraph"/>
        <w:numPr>
          <w:ilvl w:val="0"/>
          <w:numId w:val="4"/>
        </w:numPr>
      </w:pPr>
      <w:r>
        <w:t xml:space="preserve">题目来源：网上公开题库（版权风险见附录 R1）；</w:t>
      </w:r>
    </w:p>
    <w:p>
      <w:pPr>
        <w:pStyle w:val="ListParagraph"/>
        <w:numPr>
          <w:ilvl w:val="0"/>
          <w:numId w:val="4"/>
        </w:numPr>
      </w:pPr>
      <w:r>
        <w:t xml:space="preserve">每题提供选项，适配手机单手操作；</w:t>
      </w:r>
    </w:p>
    <w:p>
      <w:pPr>
        <w:pStyle w:val="ListParagraph"/>
        <w:numPr>
          <w:ilvl w:val="0"/>
          <w:numId w:val="4"/>
        </w:numPr>
      </w:pPr>
      <w:r>
        <w:t xml:space="preserve">显示答题进度，支持回退修改上一题。</w:t>
      </w:r>
    </w:p>
    <w:p>
      <w:pPr>
        <w:pStyle w:val="Heading3"/>
        <w:spacing w:after="120" w:before="120"/>
        <w:outlineLvl w:val="2"/>
      </w:pPr>
      <w:bookmarkStart w:id="6" w:name="toc_auto_6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F2 倾向强度计分</w:t>
      </w:r>
      <w:bookmarkEnd w:id="6"/>
    </w:p>
    <w:p>
      <w:pPr>
        <w:pStyle w:val="ListParagraph"/>
        <w:numPr>
          <w:ilvl w:val="0"/>
          <w:numId w:val="5"/>
        </w:numPr>
      </w:pPr>
      <w:r>
        <w:t xml:space="preserve">对四个维度（E/I、S/N、T/F、J/P）</w:t>
      </w:r>
      <w:r>
        <w:rPr>
          <w:b/>
          <w:bCs/>
        </w:rPr>
        <w:t xml:space="preserve">分别计算倾向百分比</w:t>
      </w:r>
      <w:r>
        <w:t xml:space="preserve">；</w:t>
      </w:r>
    </w:p>
    <w:p>
      <w:pPr>
        <w:pStyle w:val="ListParagraph"/>
        <w:numPr>
          <w:ilvl w:val="0"/>
          <w:numId w:val="5"/>
        </w:numPr>
      </w:pPr>
      <w:r>
        <w:t xml:space="preserve">能识别“中间型”用户（如某维度 51% : 49%），结果中明确提示“倾向轻微”；</w:t>
      </w:r>
    </w:p>
    <w:p>
      <w:pPr>
        <w:pStyle w:val="ListParagraph"/>
        <w:numPr>
          <w:ilvl w:val="0"/>
          <w:numId w:val="5"/>
        </w:numPr>
      </w:pPr>
      <w:r>
        <w:t xml:space="preserve">计分在用户设备本地即时完成，不上传任何数据。</w:t>
      </w:r>
    </w:p>
    <w:p>
      <w:pPr>
        <w:pStyle w:val="Heading3"/>
        <w:spacing w:after="120" w:before="120"/>
        <w:outlineLvl w:val="2"/>
      </w:pPr>
      <w:bookmarkStart w:id="7" w:name="toc_auto_7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F3 结果页</w:t>
      </w:r>
      <w:bookmarkEnd w:id="7"/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16 型人格代码 + 中文名称/称号</w:t>
      </w:r>
      <w:r>
        <w:t xml:space="preserve">，视觉化呈现；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四维度倾向简洁图表</w:t>
      </w:r>
      <w:r>
        <w:t xml:space="preserve">（条形/百分比形式），“你有多 E”一目了然；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该类型的优势与潜在盲区</w:t>
      </w:r>
      <w:r>
        <w:t xml:space="preserve">。</w:t>
      </w:r>
    </w:p>
    <w:p>
      <w:pPr>
        <w:pStyle w:val="Heading3"/>
        <w:spacing w:after="120" w:before="120"/>
        <w:outlineLvl w:val="2"/>
      </w:pPr>
      <w:bookmarkStart w:id="8" w:name="toc_auto_8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F4 分享卡片</w:t>
      </w:r>
      <w:bookmarkEnd w:id="8"/>
    </w:p>
    <w:p>
      <w:pPr>
        <w:pStyle w:val="ListParagraph"/>
        <w:numPr>
          <w:ilvl w:val="0"/>
          <w:numId w:val="7"/>
        </w:numPr>
      </w:pPr>
      <w:r>
        <w:t xml:space="preserve">一键生成精美结果卡片图；</w:t>
      </w:r>
    </w:p>
    <w:p>
      <w:pPr>
        <w:pStyle w:val="ListParagraph"/>
        <w:numPr>
          <w:ilvl w:val="0"/>
          <w:numId w:val="7"/>
        </w:numPr>
      </w:pPr>
      <w:r>
        <w:t xml:space="preserve">支持保存到相册 / 直接转发；</w:t>
      </w:r>
    </w:p>
    <w:p>
      <w:pPr>
        <w:pStyle w:val="ListParagraph"/>
        <w:numPr>
          <w:ilvl w:val="0"/>
          <w:numId w:val="7"/>
        </w:numPr>
      </w:pPr>
      <w:r>
        <w:t xml:space="preserve">卡片携带测评入口链接，承接新流量。</w:t>
      </w:r>
    </w:p>
    <w:p>
      <w:pPr>
        <w:ind w:firstLine="480"/>
      </w:pPr>
      <w:r>
        <w:rPr>
          <w:b/>
          <w:bCs/>
        </w:rPr>
        <w:t xml:space="preserve">注</w:t>
      </w:r>
      <w:r>
        <w:t xml:space="preserve">：未列入本期承诺、也未列入非目标（开放项）：多语言支持、AI 对话式解读。</w:t>
      </w:r>
    </w:p>
    <w:p>
      <w:pPr>
        <w:pStyle w:val="Heading2"/>
        <w:spacing w:after="180" w:before="180"/>
        <w:outlineLvl w:val="1"/>
      </w:pPr>
      <w:bookmarkStart w:id="9" w:name="toc_auto_9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5. Technical Constraints（技术约束）</w:t>
      </w:r>
      <w:bookmarkEnd w:id="9"/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形态</w:t>
      </w:r>
      <w:r>
        <w:t xml:space="preserve">：移动端 H5；</w:t>
      </w:r>
      <w:r>
        <w:rPr>
          <w:b/>
          <w:bCs/>
        </w:rPr>
        <w:t xml:space="preserve">微信内置浏览器兼容为硬性要求</w:t>
      </w:r>
      <w:r>
        <w:t xml:space="preserve">（主要传播场景在微信）；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性能目标</w:t>
      </w:r>
      <w:r>
        <w:t xml:space="preserve">：国内用户点开链接后快速可交互，页面轻量（首屏资源建议 &lt; 1.5MB）；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数据与隐私</w:t>
      </w:r>
      <w:r>
        <w:t xml:space="preserve">：匿名即测即走——不注册、不登录、不收集、不存储任何用户个人信息与答题数据；计分与分享卡片生成均在用户设备本地完成；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技术栈</w:t>
      </w:r>
      <w:r>
        <w:t xml:space="preserve">：不预设。实现方自行选择（纯前端静态方案即可满足全部需求；如引入后端须另行说明理由）；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部署目标</w:t>
      </w:r>
      <w:r>
        <w:t xml:space="preserve">：国内主流网络环境下访问流畅（是否备案、用何种 CDN 等由实现方按目标自行决定）；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内容合规</w:t>
      </w:r>
      <w:r>
        <w:t xml:space="preserve">：产品以娱乐与自我探索工具定位呈现，页面包含“本测评仅供娱乐参考，非心理诊断工具”类免责声明；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版权</w:t>
      </w:r>
      <w:r>
        <w:t xml:space="preserve">：题库取自网上公开来源，授权状态不明确，存在版权风险（见附录 R1，上线前须处理）。</w:t>
      </w:r>
    </w:p>
    <w:p>
      <w:pPr>
        <w:pStyle w:val="Heading2"/>
        <w:spacing w:after="180" w:before="180"/>
        <w:outlineLvl w:val="1"/>
      </w:pPr>
      <w:bookmarkStart w:id="10" w:name="toc_auto_10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6. Non-goals（明确不做的事）</w:t>
      </w:r>
      <w:bookmarkEnd w:id="10"/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不做账号体系</w:t>
      </w:r>
      <w:r>
        <w:t xml:space="preserve">——不注册、不登录、不存档；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不做商业化变现</w:t>
      </w:r>
      <w:r>
        <w:t xml:space="preserve">——无付费报告、无会员、无广告；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不做社区/交友功能</w:t>
      </w:r>
      <w:r>
        <w:t xml:space="preserve">——无评论区、无匹配交友、无聊天室；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不做 App / 小程序</w:t>
      </w:r>
      <w:r>
        <w:t xml:space="preserve">——专注 H5，不做 iOS/Android App 和微信小程序；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不做管理后台</w:t>
      </w:r>
      <w:r>
        <w:t xml:space="preserve">——无题库自定义编辑器、无运营后台；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不提供心理诊断/咨询</w:t>
      </w:r>
      <w:r>
        <w:t xml:space="preserve">——不输出任何心理咨询、治疗建议，不宣称科学诊断效力。</w:t>
      </w:r>
    </w:p>
    <w:p>
      <w:pPr>
        <w:pStyle w:val="Heading2"/>
        <w:spacing w:after="180" w:before="180"/>
        <w:outlineLvl w:val="1"/>
      </w:pPr>
      <w:bookmarkStart w:id="11" w:name="toc_auto_11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7. Success Criteria（成功标准）</w:t>
      </w:r>
      <w:bookmarkEnd w:id="11"/>
    </w:p>
    <w:p>
      <w:pPr>
        <w:ind w:firstLine="480"/>
      </w:pPr>
      <w:r>
        <w:t xml:space="preserve">本期（MVP）成功标准：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闭环可用</w:t>
      </w:r>
      <w:r>
        <w:t xml:space="preserve">：打开链接 → 答题 → 出结果 → 生成分享卡片，全流程在主流环境（iOS Safari、微信内置浏览器、Android Chrome）完整跑通；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无重大缺陷</w:t>
      </w:r>
      <w:r>
        <w:t xml:space="preserve">：核心流程零阻断性错误；边界情况（答题中途退出、快速连续点击、极端百分比等）不崩溃、不出错；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流畅体验</w:t>
      </w:r>
      <w:r>
        <w:t xml:space="preserve">：国内主流网络环境下快速可交互，答题到出结果全程无明显卡顿；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内容完整</w:t>
      </w:r>
      <w:r>
        <w:t xml:space="preserve">：16 型人格的称号、描述、优势盲区文案完整覆盖，无错别字，文案与计分结果一致。</w:t>
      </w:r>
    </w:p>
    <w:p>
      <w:pPr>
        <w:ind w:firstLine="480"/>
      </w:pPr>
      <w:r>
        <w:rPr>
          <w:b/>
          <w:bCs/>
        </w:rPr>
        <w:t xml:space="preserve">建议</w:t>
      </w:r>
      <w:r>
        <w:t xml:space="preserve">：后续版本引入量化传播指标（完成率、分享卡片生成率、自然传播量），本期不作为验收条件。</w:t>
      </w:r>
    </w:p>
    <w:p>
      <w:pPr>
        <w:pStyle w:val="Heading2"/>
        <w:spacing w:after="180" w:before="180"/>
        <w:outlineLvl w:val="1"/>
      </w:pPr>
      <w:bookmarkStart w:id="12" w:name="toc_auto_12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附录：已知风险与开放问题</w:t>
      </w:r>
      <w:bookmarkEnd w:id="12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风险/问题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说明与缓解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题库版权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网上公开题库授权状态不明。缓解：上线前对题目做实质性改写（或替换为自编题），不标注“MBTI 官方”，降低侵权风险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MBTI 科学性争议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MBTI 在心理学界信效度存在争议。缓解：明确定位娱乐/自我探索工具，页面免责声明（已列入技术约束），拒绝用于招聘等严肃场景（已列入非目标）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冷启动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成功标准未含传播量指标，传播依赖内容质量。开放问题：第一批种子流量从哪里来（朋友圈？小红书账号？）需要运营计划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中间型判定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某维度接近 50:50 时，结果呈现须明确标注“倾向轻微”，避免用户被误导为典型型</w:t>
            </w:r>
          </w:p>
        </w:tc>
      </w:tr>
    </w:tbl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a4361d40-1302-4fac-b95f-236427b95d79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MBTI 性格测评程序 · 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</w:style>
  <w:style w:type="paragraph" w:styleId="TOC2">
    <w:name w:val="TOC 2"/>
    <w:basedOn w:val="Normal"/>
    <w:pPr>
      <w:ind w:left="720"/>
    </w:pPr>
  </w:style>
  <w:style w:type="paragraph" w:styleId="TOC3">
    <w:name w:val="TOC 3"/>
    <w:basedOn w:val="Normal"/>
    <w:pPr>
      <w:ind w:left="108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2026-09-15T10:44:37.139Z</dcterms:created>
  <dcterms:modified xsi:type="dcterms:W3CDTF">2026-09-15T10:44:37.141Z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a4361d40-1302-4fac-b95f-236427b95d79","ReservedCode1":"efdde855-7e09-4c02-a530-0b6c6f6b0717","ContentPropagator":"001191110102MAD55U9H0F10002","PropagateID":"a4361d40-1302-4fac-b95f-236427b95d79","ReservedCode2":"efdde855-7e09-4c02-a530-0b6c6f6b0717"}</vt:lpwstr>
  </property>
</Properties>
</file>