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0"/>
        <w:jc w:val="center"/>
      </w:pPr>
      <w:r>
        <w:rPr>
          <w:rFonts w:ascii="Calibri" w:hAnsi="Calibri"/>
          <w:b/>
          <w:i w:val="0"/>
          <w:color w:val="173B2A"/>
          <w:sz w:val="20"/>
        </w:rPr>
        <w:t>GUÍA DE DISEÑO</w:t>
      </w:r>
    </w:p>
    <w:p>
      <w:pPr>
        <w:spacing w:after="160"/>
        <w:jc w:val="center"/>
      </w:pPr>
      <w:r>
        <w:rPr>
          <w:rFonts w:ascii="Calibri" w:hAnsi="Calibri"/>
          <w:b/>
          <w:i w:val="0"/>
          <w:color w:val="18231D"/>
          <w:sz w:val="54"/>
        </w:rPr>
        <w:t>Jugabilidad, progresión y sistema A.D.A.</w:t>
      </w:r>
    </w:p>
    <w:p>
      <w:pPr>
        <w:spacing w:after="560"/>
        <w:jc w:val="center"/>
      </w:pPr>
      <w:r>
        <w:rPr>
          <w:rFonts w:ascii="Calibri" w:hAnsi="Calibri"/>
          <w:b w:val="0"/>
          <w:i/>
          <w:color w:val="64736A"/>
          <w:sz w:val="26"/>
        </w:rPr>
        <w:t>Marco educativo para convertir la programación en la herramienta principal del juego</w:t>
      </w:r>
    </w:p>
    <w:p>
      <w:pPr>
        <w:pStyle w:val="Callout"/>
        <w:shd w:fill="EAF6ED"/>
      </w:pPr>
      <w:r>
        <w:rPr>
          <w:rFonts w:ascii="Calibri" w:hAnsi="Calibri"/>
          <w:b/>
          <w:i w:val="0"/>
          <w:color w:val="173B2A"/>
          <w:sz w:val="19"/>
        </w:rPr>
        <w:t xml:space="preserve">PROPÓSITO  </w:t>
      </w:r>
      <w:r>
        <w:rPr>
          <w:rFonts w:ascii="Calibri" w:hAnsi="Calibri"/>
          <w:b w:val="0"/>
          <w:i w:val="0"/>
          <w:color w:val="18231D"/>
          <w:sz w:val="21"/>
        </w:rPr>
        <w:t>Guiar el desarrollo de una experiencia donde el jugador aprende programación al controlar, automatizar y depurar las acciones de su rover.</w:t>
      </w:r>
    </w:p>
    <w:p>
      <w:pPr>
        <w:spacing w:before="1500"/>
        <w:jc w:val="center"/>
      </w:pPr>
      <w:r>
        <w:rPr>
          <w:rFonts w:ascii="Calibri" w:hAnsi="Calibri"/>
          <w:b w:val="0"/>
          <w:i w:val="0"/>
          <w:color w:val="64736A"/>
          <w:sz w:val="20"/>
        </w:rPr>
        <w:t>Documento de dirección de diseño  •  Versión inicial</w:t>
      </w:r>
    </w:p>
    <w:p>
      <w:r>
        <w:br w:type="page"/>
      </w:r>
    </w:p>
    <w:p>
      <w:pPr>
        <w:pStyle w:val="Heading1"/>
      </w:pPr>
      <w:r>
        <w:t>1. Visión de jugabilidad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18231D"/>
          <w:sz w:val="22"/>
        </w:rPr>
        <w:t>El jugador no debe aprender programación leyendo teoría aislada. Aprende porque necesita programar el rover para explorar, recolectar recursos y resolver problemas concretos del mundo.</w:t>
      </w:r>
    </w:p>
    <w:p>
      <w:pPr>
        <w:pStyle w:val="Callout"/>
        <w:shd w:fill="EAF6ED"/>
      </w:pPr>
      <w:r>
        <w:rPr>
          <w:rFonts w:ascii="Calibri" w:hAnsi="Calibri"/>
          <w:b/>
          <w:i w:val="0"/>
          <w:color w:val="173B2A"/>
          <w:sz w:val="19"/>
        </w:rPr>
        <w:t xml:space="preserve">PRINCIPIO RECTOR  </w:t>
      </w:r>
      <w:r>
        <w:rPr>
          <w:rFonts w:ascii="Calibri" w:hAnsi="Calibri"/>
          <w:b w:val="0"/>
          <w:i w:val="0"/>
          <w:color w:val="18231D"/>
          <w:sz w:val="21"/>
        </w:rPr>
        <w:t>La programación es la herramienta principal del juego, no un cuestionario ni un minijuego separado.</w:t>
      </w:r>
    </w:p>
    <w:p>
      <w:pPr>
        <w:pStyle w:val="Heading2"/>
      </w:pPr>
      <w:r>
        <w:t>Ciclo principal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18231D"/>
          <w:sz w:val="22"/>
        </w:rPr>
        <w:t>Observar el problema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18231D"/>
          <w:sz w:val="22"/>
        </w:rPr>
        <w:t>Planificar una solución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18231D"/>
          <w:sz w:val="22"/>
        </w:rPr>
        <w:t>Escribir código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18231D"/>
          <w:sz w:val="22"/>
        </w:rPr>
        <w:t>Ejecutarlo paso a paso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18231D"/>
          <w:sz w:val="22"/>
        </w:rPr>
        <w:t>Observar el resultado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18231D"/>
          <w:sz w:val="22"/>
        </w:rPr>
        <w:t>Detectar y corregir errores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18231D"/>
          <w:sz w:val="22"/>
        </w:rPr>
        <w:t>Completar la misión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18231D"/>
          <w:sz w:val="22"/>
        </w:rPr>
        <w:t>Desbloquear un nuevo concepto</w:t>
      </w:r>
    </w:p>
    <w:p>
      <w:pPr>
        <w:pStyle w:val="Heading1"/>
      </w:pPr>
      <w:r>
        <w:t>2. Progresión educativa</w:t>
      </w:r>
    </w:p>
    <w:p>
      <w:pPr>
        <w:pStyle w:val="Heading2"/>
      </w:pPr>
      <w:r>
        <w:t>Objetos y métodos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18231D"/>
          <w:sz w:val="22"/>
        </w:rPr>
        <w:t>Entender que rover es un objeto y que sus métodos producen acciones.</w:t>
      </w:r>
    </w:p>
    <w:p>
      <w:pPr>
        <w:pStyle w:val="CodeBlock"/>
        <w:keepLines/>
        <w:shd w:fill="101A14"/>
      </w:pPr>
      <w:r>
        <w:rPr>
          <w:rFonts w:ascii="Consolas" w:hAnsi="Consolas"/>
          <w:b w:val="0"/>
          <w:i w:val="0"/>
          <w:color w:val="BDF7C7"/>
          <w:sz w:val="19"/>
        </w:rPr>
        <w:t>rover.minar()</w:t>
        <w:br/>
      </w:r>
      <w:r>
        <w:rPr>
          <w:rFonts w:ascii="Consolas" w:hAnsi="Consolas"/>
          <w:b w:val="0"/>
          <w:i w:val="0"/>
          <w:color w:val="BDF7C7"/>
          <w:sz w:val="19"/>
        </w:rPr>
        <w:t>rover.transferir()</w:t>
      </w:r>
    </w:p>
    <w:p>
      <w:pPr>
        <w:pStyle w:val="Heading2"/>
      </w:pPr>
      <w:r>
        <w:t>Secuencias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18231D"/>
          <w:sz w:val="22"/>
        </w:rPr>
        <w:t>Ordenar instrucciones para construir una solución completa.</w:t>
      </w:r>
    </w:p>
    <w:p>
      <w:pPr>
        <w:pStyle w:val="CodeBlock"/>
        <w:keepLines/>
        <w:shd w:fill="101A14"/>
      </w:pPr>
      <w:r>
        <w:rPr>
          <w:rFonts w:ascii="Consolas" w:hAnsi="Consolas"/>
          <w:b w:val="0"/>
          <w:i w:val="0"/>
          <w:color w:val="BDF7C7"/>
          <w:sz w:val="19"/>
        </w:rPr>
        <w:t>rover.norte()</w:t>
        <w:br/>
      </w:r>
      <w:r>
        <w:rPr>
          <w:rFonts w:ascii="Consolas" w:hAnsi="Consolas"/>
          <w:b w:val="0"/>
          <w:i w:val="0"/>
          <w:color w:val="BDF7C7"/>
          <w:sz w:val="19"/>
        </w:rPr>
        <w:t>rover.este()</w:t>
        <w:br/>
      </w:r>
      <w:r>
        <w:rPr>
          <w:rFonts w:ascii="Consolas" w:hAnsi="Consolas"/>
          <w:b w:val="0"/>
          <w:i w:val="0"/>
          <w:color w:val="BDF7C7"/>
          <w:sz w:val="19"/>
        </w:rPr>
        <w:t>rover.minar()</w:t>
      </w:r>
    </w:p>
    <w:p>
      <w:pPr>
        <w:pStyle w:val="Heading2"/>
      </w:pPr>
      <w:r>
        <w:t>Parámetros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18231D"/>
          <w:sz w:val="22"/>
        </w:rPr>
        <w:t>Modificar el comportamiento de una instrucción sin repetirla.</w:t>
      </w:r>
    </w:p>
    <w:p>
      <w:pPr>
        <w:pStyle w:val="CodeBlock"/>
        <w:keepLines/>
        <w:shd w:fill="101A14"/>
      </w:pPr>
      <w:r>
        <w:rPr>
          <w:rFonts w:ascii="Consolas" w:hAnsi="Consolas"/>
          <w:b w:val="0"/>
          <w:i w:val="0"/>
          <w:color w:val="BDF7C7"/>
          <w:sz w:val="19"/>
        </w:rPr>
        <w:t>rover.norte(3)</w:t>
      </w:r>
    </w:p>
    <w:p>
      <w:pPr>
        <w:pStyle w:val="Heading2"/>
      </w:pPr>
      <w:r>
        <w:t>Bucle for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18231D"/>
          <w:sz w:val="22"/>
        </w:rPr>
        <w:t>Repetir una acción una cantidad conocida de veces.</w:t>
      </w:r>
    </w:p>
    <w:p>
      <w:pPr>
        <w:pStyle w:val="CodeBlock"/>
        <w:keepLines/>
        <w:shd w:fill="101A14"/>
      </w:pPr>
      <w:r>
        <w:rPr>
          <w:rFonts w:ascii="Consolas" w:hAnsi="Consolas"/>
          <w:b w:val="0"/>
          <w:i w:val="0"/>
          <w:color w:val="BDF7C7"/>
          <w:sz w:val="19"/>
        </w:rPr>
        <w:t>for i in range(3):</w:t>
        <w:br/>
      </w:r>
      <w:r>
        <w:rPr>
          <w:rFonts w:ascii="Consolas" w:hAnsi="Consolas"/>
          <w:b w:val="0"/>
          <w:i w:val="0"/>
          <w:color w:val="BDF7C7"/>
          <w:sz w:val="19"/>
        </w:rPr>
        <w:t xml:space="preserve">    rover.norte()</w:t>
      </w:r>
    </w:p>
    <w:p>
      <w:pPr>
        <w:pStyle w:val="Heading2"/>
      </w:pPr>
      <w:r>
        <w:t>Condicional if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18231D"/>
          <w:sz w:val="22"/>
        </w:rPr>
        <w:t>Tomar decisiones según el estado del entorno.</w:t>
      </w:r>
    </w:p>
    <w:p>
      <w:pPr>
        <w:pStyle w:val="CodeBlock"/>
        <w:keepLines/>
        <w:shd w:fill="101A14"/>
      </w:pPr>
      <w:r>
        <w:rPr>
          <w:rFonts w:ascii="Consolas" w:hAnsi="Consolas"/>
          <w:b w:val="0"/>
          <w:i w:val="0"/>
          <w:color w:val="BDF7C7"/>
          <w:sz w:val="19"/>
        </w:rPr>
        <w:t>if rover.hay_mineral():</w:t>
        <w:br/>
      </w:r>
      <w:r>
        <w:rPr>
          <w:rFonts w:ascii="Consolas" w:hAnsi="Consolas"/>
          <w:b w:val="0"/>
          <w:i w:val="0"/>
          <w:color w:val="BDF7C7"/>
          <w:sz w:val="19"/>
        </w:rPr>
        <w:t xml:space="preserve">    rover.minar()</w:t>
      </w:r>
    </w:p>
    <w:p>
      <w:pPr>
        <w:pStyle w:val="Heading2"/>
      </w:pPr>
      <w:r>
        <w:t>Bucle while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18231D"/>
          <w:sz w:val="22"/>
        </w:rPr>
        <w:t>Repetir mientras una condición continúe siendo verdadera.</w:t>
      </w:r>
    </w:p>
    <w:p>
      <w:pPr>
        <w:pStyle w:val="CodeBlock"/>
        <w:keepLines/>
        <w:shd w:fill="101A14"/>
      </w:pPr>
      <w:r>
        <w:rPr>
          <w:rFonts w:ascii="Consolas" w:hAnsi="Consolas"/>
          <w:b w:val="0"/>
          <w:i w:val="0"/>
          <w:color w:val="BDF7C7"/>
          <w:sz w:val="19"/>
        </w:rPr>
        <w:t>while not rover.inventario_lleno():</w:t>
        <w:br/>
      </w:r>
      <w:r>
        <w:rPr>
          <w:rFonts w:ascii="Consolas" w:hAnsi="Consolas"/>
          <w:b w:val="0"/>
          <w:i w:val="0"/>
          <w:color w:val="BDF7C7"/>
          <w:sz w:val="19"/>
        </w:rPr>
        <w:t xml:space="preserve">    rover.minar()</w:t>
      </w:r>
    </w:p>
    <w:p>
      <w:pPr>
        <w:pStyle w:val="Heading2"/>
      </w:pPr>
      <w:r>
        <w:t>Variables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18231D"/>
          <w:sz w:val="22"/>
        </w:rPr>
        <w:t>Guardar y reutilizar valores dentro de una solución.</w:t>
      </w:r>
    </w:p>
    <w:p>
      <w:pPr>
        <w:pStyle w:val="CodeBlock"/>
        <w:keepLines/>
        <w:shd w:fill="101A14"/>
      </w:pPr>
      <w:r>
        <w:rPr>
          <w:rFonts w:ascii="Consolas" w:hAnsi="Consolas"/>
          <w:b w:val="0"/>
          <w:i w:val="0"/>
          <w:color w:val="BDF7C7"/>
          <w:sz w:val="19"/>
        </w:rPr>
        <w:t>pasos = 3</w:t>
        <w:br/>
      </w:r>
      <w:r>
        <w:rPr>
          <w:rFonts w:ascii="Consolas" w:hAnsi="Consolas"/>
          <w:b w:val="0"/>
          <w:i w:val="0"/>
          <w:color w:val="BDF7C7"/>
          <w:sz w:val="19"/>
        </w:rPr>
        <w:t>rover.norte(pasos)</w:t>
      </w:r>
    </w:p>
    <w:p>
      <w:pPr>
        <w:pStyle w:val="Heading2"/>
      </w:pPr>
      <w:r>
        <w:t>Funciones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18231D"/>
          <w:sz w:val="22"/>
        </w:rPr>
        <w:t>Crear rutinas reutilizables para problemas repetidos.</w:t>
      </w:r>
    </w:p>
    <w:p>
      <w:pPr>
        <w:pStyle w:val="CodeBlock"/>
        <w:keepLines/>
        <w:shd w:fill="101A14"/>
      </w:pPr>
      <w:r>
        <w:rPr>
          <w:rFonts w:ascii="Consolas" w:hAnsi="Consolas"/>
          <w:b w:val="0"/>
          <w:i w:val="0"/>
          <w:color w:val="BDF7C7"/>
          <w:sz w:val="19"/>
        </w:rPr>
        <w:t>func recolectar():</w:t>
        <w:br/>
      </w:r>
      <w:r>
        <w:rPr>
          <w:rFonts w:ascii="Consolas" w:hAnsi="Consolas"/>
          <w:b w:val="0"/>
          <w:i w:val="0"/>
          <w:color w:val="BDF7C7"/>
          <w:sz w:val="19"/>
        </w:rPr>
        <w:t xml:space="preserve">    rover.minar()</w:t>
        <w:br/>
      </w:r>
      <w:r>
        <w:rPr>
          <w:rFonts w:ascii="Consolas" w:hAnsi="Consolas"/>
          <w:b w:val="0"/>
          <w:i w:val="0"/>
          <w:color w:val="BDF7C7"/>
          <w:sz w:val="19"/>
        </w:rPr>
        <w:t xml:space="preserve">    rover.transferir()</w:t>
      </w:r>
    </w:p>
    <w:p>
      <w:pPr>
        <w:pStyle w:val="Heading1"/>
      </w:pPr>
      <w:r>
        <w:t>3. Papel de A.D.A.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18231D"/>
          <w:sz w:val="22"/>
        </w:rPr>
        <w:t>A.D.A. es una compañera educativa integrada en la historia. Debe explicar, demostrar, acompañar y corregir, sin quitarle al jugador la oportunidad de descubrir la solución.</w:t>
      </w:r>
    </w:p>
    <w:p>
      <w:pPr>
        <w:pStyle w:val="Heading2"/>
      </w:pPr>
      <w:r>
        <w:t>Enseñar conceptos nuevos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18231D"/>
          <w:sz w:val="22"/>
        </w:rPr>
        <w:t>Cuando se instala un módulo, A.D.A. presenta su propósito con lenguaje sencillo y un ejemplo relacionado directamente con el rover.</w:t>
      </w:r>
    </w:p>
    <w:p>
      <w:pPr>
        <w:pStyle w:val="Callout"/>
        <w:shd w:fill="EAF6ED"/>
      </w:pPr>
      <w:r>
        <w:rPr>
          <w:rFonts w:ascii="Calibri" w:hAnsi="Calibri"/>
          <w:b/>
          <w:i w:val="0"/>
          <w:color w:val="173B2A"/>
          <w:sz w:val="19"/>
        </w:rPr>
        <w:t xml:space="preserve">A.D.A.  </w:t>
      </w:r>
      <w:r>
        <w:rPr>
          <w:rFonts w:ascii="Calibri" w:hAnsi="Calibri"/>
          <w:b w:val="0"/>
          <w:i w:val="0"/>
          <w:color w:val="18231D"/>
          <w:sz w:val="21"/>
        </w:rPr>
        <w:t>Nuevo módulo instalado: Bucle FOR. Permite repetir instrucciones una cantidad determinada de veces sin escribirlas nuevamente.</w:t>
      </w:r>
    </w:p>
    <w:p>
      <w:pPr>
        <w:pStyle w:val="CodeBlock"/>
        <w:keepLines/>
        <w:shd w:fill="101A14"/>
      </w:pPr>
      <w:r>
        <w:rPr>
          <w:rFonts w:ascii="Consolas" w:hAnsi="Consolas"/>
          <w:b w:val="0"/>
          <w:i w:val="0"/>
          <w:color w:val="BDF7C7"/>
          <w:sz w:val="19"/>
        </w:rPr>
        <w:t>for i in range(3):</w:t>
        <w:br/>
      </w:r>
      <w:r>
        <w:rPr>
          <w:rFonts w:ascii="Consolas" w:hAnsi="Consolas"/>
          <w:b w:val="0"/>
          <w:i w:val="0"/>
          <w:color w:val="BDF7C7"/>
          <w:sz w:val="19"/>
        </w:rPr>
        <w:t xml:space="preserve">    rover.norte()</w:t>
      </w:r>
    </w:p>
    <w:p>
      <w:pPr>
        <w:pStyle w:val="Heading2"/>
      </w:pPr>
      <w:r>
        <w:t>Mostrar cómo funciona el código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18231D"/>
          <w:sz w:val="22"/>
        </w:rPr>
        <w:t>La línea activa debe resaltarse mientras A.D.A. explica cada repetición o decisión.</w:t>
      </w:r>
    </w:p>
    <w:p>
      <w:pPr>
        <w:pStyle w:val="CodeBlock"/>
        <w:keepLines/>
        <w:shd w:fill="101A14"/>
      </w:pPr>
      <w:r>
        <w:rPr>
          <w:rFonts w:ascii="Consolas" w:hAnsi="Consolas"/>
          <w:b w:val="0"/>
          <w:i w:val="0"/>
          <w:color w:val="BDF7C7"/>
          <w:sz w:val="19"/>
        </w:rPr>
        <w:t>Repetición 1 de 3  →  rover.norte()</w:t>
        <w:br/>
      </w:r>
      <w:r>
        <w:rPr>
          <w:rFonts w:ascii="Consolas" w:hAnsi="Consolas"/>
          <w:b w:val="0"/>
          <w:i w:val="0"/>
          <w:color w:val="BDF7C7"/>
          <w:sz w:val="19"/>
        </w:rPr>
        <w:t>Repetición 2 de 3  →  rover.norte()</w:t>
        <w:br/>
      </w:r>
      <w:r>
        <w:rPr>
          <w:rFonts w:ascii="Consolas" w:hAnsi="Consolas"/>
          <w:b w:val="0"/>
          <w:i w:val="0"/>
          <w:color w:val="BDF7C7"/>
          <w:sz w:val="19"/>
        </w:rPr>
        <w:t>Repetición 3 de 3  →  rover.norte()</w:t>
      </w:r>
    </w:p>
    <w:p>
      <w:pPr>
        <w:pStyle w:val="Heading2"/>
      </w:pPr>
      <w:r>
        <w:t>Explicar los errores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18231D"/>
          <w:sz w:val="22"/>
        </w:rPr>
        <w:t>Los errores deben enseñar. En lugar de mostrar únicamente un mensaje técnico, A.D.A. identifica la ubicación, explica la causa y recuerda la regla relevante.</w:t>
      </w:r>
    </w:p>
    <w:p>
      <w:pPr>
        <w:pStyle w:val="Callout"/>
        <w:shd w:fill="EAF6ED"/>
      </w:pPr>
      <w:r>
        <w:rPr>
          <w:rFonts w:ascii="Calibri" w:hAnsi="Calibri"/>
          <w:b/>
          <w:i w:val="0"/>
          <w:color w:val="173B2A"/>
          <w:sz w:val="19"/>
        </w:rPr>
        <w:t xml:space="preserve">EJEMPLO  </w:t>
      </w:r>
      <w:r>
        <w:rPr>
          <w:rFonts w:ascii="Calibri" w:hAnsi="Calibri"/>
          <w:b w:val="0"/>
          <w:i w:val="0"/>
          <w:color w:val="18231D"/>
          <w:sz w:val="21"/>
        </w:rPr>
        <w:t>Al bucle for le faltan los dos puntos (:). Estos indican que comienza el bloque de instrucciones que se repetirá.</w:t>
      </w:r>
    </w:p>
    <w:p>
      <w:pPr>
        <w:pStyle w:val="Heading2"/>
      </w:pPr>
      <w:r>
        <w:t>Pistas progresivas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8231D"/>
          <w:sz w:val="22"/>
        </w:rPr>
        <w:t>Pista 1: recordar el concepto.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8231D"/>
          <w:sz w:val="22"/>
        </w:rPr>
        <w:t>Pista 2: señalar la parte problemática.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8231D"/>
          <w:sz w:val="22"/>
        </w:rPr>
        <w:t>Pista 3: mostrar un ejemplo parecido.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8231D"/>
          <w:sz w:val="22"/>
        </w:rPr>
        <w:t>Solución: revelar el código completo solamente como último recurso.</w:t>
      </w:r>
    </w:p>
    <w:p>
      <w:pPr>
        <w:pStyle w:val="Heading1"/>
      </w:pPr>
      <w:r>
        <w:t>4. Flujo de cada módulo educativo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18231D"/>
          <w:sz w:val="22"/>
        </w:rPr>
        <w:t>Desbloqueo del módulo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18231D"/>
          <w:sz w:val="22"/>
        </w:rPr>
        <w:t>Explicación breve de A.D.A.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18231D"/>
          <w:sz w:val="22"/>
        </w:rPr>
        <w:t>Ejemplo ejecutado visualmente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18231D"/>
          <w:sz w:val="22"/>
        </w:rPr>
        <w:t>Ejercicio para completar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18231D"/>
          <w:sz w:val="22"/>
        </w:rPr>
        <w:t>Misión de aplicación real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18231D"/>
          <w:sz w:val="22"/>
        </w:rPr>
        <w:t>Resumen del aprendizaje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18231D"/>
          <w:sz w:val="22"/>
        </w:rPr>
        <w:t>Entrada añadida al archivo de conocimientos</w:t>
      </w:r>
    </w:p>
    <w:p>
      <w:pPr>
        <w:pStyle w:val="Heading2"/>
      </w:pPr>
      <w:r>
        <w:t>Archivo de conocimientos de A.D.A.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18231D"/>
          <w:sz w:val="22"/>
        </w:rPr>
        <w:t>El jugador podrá consultar todos los conceptos aprendidos. Cada entrada deberá incluir: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8231D"/>
          <w:sz w:val="22"/>
        </w:rPr>
        <w:t>Explicación sencilla.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8231D"/>
          <w:sz w:val="22"/>
        </w:rPr>
        <w:t>Sintaxis del concepto.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8231D"/>
          <w:sz w:val="22"/>
        </w:rPr>
        <w:t>Ejemplo relacionado con el rover.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8231D"/>
          <w:sz w:val="22"/>
        </w:rPr>
        <w:t>Errores frecuentes.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8231D"/>
          <w:sz w:val="22"/>
        </w:rPr>
        <w:t>Demostración paso a paso.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8231D"/>
          <w:sz w:val="22"/>
        </w:rPr>
        <w:t>Misión opcional de práctica.</w:t>
      </w:r>
    </w:p>
    <w:p>
      <w:pPr>
        <w:pStyle w:val="Heading1"/>
      </w:pPr>
      <w:r>
        <w:t>5. Campaña inicial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1900"/>
        <w:gridCol w:w="4860"/>
      </w:tblGrid>
      <w:tr>
        <w:tc>
          <w:tcPr>
            <w:tcW w:type="dxa" w:w="2600"/>
            <w:shd w:fill="173B2A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MISIÓN</w:t>
            </w:r>
          </w:p>
        </w:tc>
        <w:tc>
          <w:tcPr>
            <w:tcW w:type="dxa" w:w="1900"/>
            <w:shd w:fill="173B2A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CONCEPTO</w:t>
            </w:r>
          </w:p>
        </w:tc>
        <w:tc>
          <w:tcPr>
            <w:tcW w:type="dxa" w:w="4860"/>
            <w:shd w:fill="173B2A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OBJETIVO</w:t>
            </w:r>
          </w:p>
        </w:tc>
      </w:tr>
      <w:tr>
        <w:tc>
          <w:tcPr>
            <w:tcW w:type="dxa" w:w="2600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Calibri" w:hAnsi="Calibri"/>
                <w:b/>
                <w:i w:val="0"/>
                <w:color w:val="18231D"/>
                <w:sz w:val="19"/>
              </w:rPr>
              <w:t>Primera muestra</w:t>
            </w:r>
          </w:p>
        </w:tc>
        <w:tc>
          <w:tcPr>
            <w:tcW w:type="dxa" w:w="1900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8231D"/>
                <w:sz w:val="19"/>
              </w:rPr>
              <w:t>Métodos</w:t>
            </w:r>
          </w:p>
        </w:tc>
        <w:tc>
          <w:tcPr>
            <w:tcW w:type="dxa" w:w="4860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8231D"/>
                <w:sz w:val="19"/>
              </w:rPr>
              <w:t>Minar y transferir</w:t>
            </w:r>
          </w:p>
        </w:tc>
      </w:tr>
      <w:tr>
        <w:tc>
          <w:tcPr>
            <w:tcW w:type="dxa" w:w="2600"/>
            <w:shd w:fill="F3F6F4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Calibri" w:hAnsi="Calibri"/>
                <w:b/>
                <w:i w:val="0"/>
                <w:color w:val="18231D"/>
                <w:sz w:val="19"/>
              </w:rPr>
              <w:t>Ruta de calibración</w:t>
            </w:r>
          </w:p>
        </w:tc>
        <w:tc>
          <w:tcPr>
            <w:tcW w:type="dxa" w:w="1900"/>
            <w:shd w:fill="F3F6F4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8231D"/>
                <w:sz w:val="19"/>
              </w:rPr>
              <w:t>Secuencias</w:t>
            </w:r>
          </w:p>
        </w:tc>
        <w:tc>
          <w:tcPr>
            <w:tcW w:type="dxa" w:w="4860"/>
            <w:shd w:fill="F3F6F4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8231D"/>
                <w:sz w:val="19"/>
              </w:rPr>
              <w:t>Llegar hasta un mineral</w:t>
            </w:r>
          </w:p>
        </w:tc>
      </w:tr>
      <w:tr>
        <w:tc>
          <w:tcPr>
            <w:tcW w:type="dxa" w:w="2600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Calibri" w:hAnsi="Calibri"/>
                <w:b/>
                <w:i w:val="0"/>
                <w:color w:val="18231D"/>
                <w:sz w:val="19"/>
              </w:rPr>
              <w:t>Camino largo</w:t>
            </w:r>
          </w:p>
        </w:tc>
        <w:tc>
          <w:tcPr>
            <w:tcW w:type="dxa" w:w="1900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8231D"/>
                <w:sz w:val="19"/>
              </w:rPr>
              <w:t>Parámetros</w:t>
            </w:r>
          </w:p>
        </w:tc>
        <w:tc>
          <w:tcPr>
            <w:tcW w:type="dxa" w:w="4860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8231D"/>
                <w:sz w:val="19"/>
              </w:rPr>
              <w:t>Recorrer varias casillas</w:t>
            </w:r>
          </w:p>
        </w:tc>
      </w:tr>
      <w:tr>
        <w:tc>
          <w:tcPr>
            <w:tcW w:type="dxa" w:w="2600"/>
            <w:shd w:fill="F3F6F4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Calibri" w:hAnsi="Calibri"/>
                <w:b/>
                <w:i w:val="0"/>
                <w:color w:val="18231D"/>
                <w:sz w:val="19"/>
              </w:rPr>
              <w:t>Producción en serie</w:t>
            </w:r>
          </w:p>
        </w:tc>
        <w:tc>
          <w:tcPr>
            <w:tcW w:type="dxa" w:w="1900"/>
            <w:shd w:fill="F3F6F4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8231D"/>
                <w:sz w:val="19"/>
              </w:rPr>
              <w:t>for</w:t>
            </w:r>
          </w:p>
        </w:tc>
        <w:tc>
          <w:tcPr>
            <w:tcW w:type="dxa" w:w="4860"/>
            <w:shd w:fill="F3F6F4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8231D"/>
                <w:sz w:val="19"/>
              </w:rPr>
              <w:t>Recolectar minerales alineados</w:t>
            </w:r>
          </w:p>
        </w:tc>
      </w:tr>
      <w:tr>
        <w:tc>
          <w:tcPr>
            <w:tcW w:type="dxa" w:w="2600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Calibri" w:hAnsi="Calibri"/>
                <w:b/>
                <w:i w:val="0"/>
                <w:color w:val="18231D"/>
                <w:sz w:val="19"/>
              </w:rPr>
              <w:t>Señales inciertas</w:t>
            </w:r>
          </w:p>
        </w:tc>
        <w:tc>
          <w:tcPr>
            <w:tcW w:type="dxa" w:w="1900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8231D"/>
                <w:sz w:val="19"/>
              </w:rPr>
              <w:t>if</w:t>
            </w:r>
          </w:p>
        </w:tc>
        <w:tc>
          <w:tcPr>
            <w:tcW w:type="dxa" w:w="4860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8231D"/>
                <w:sz w:val="19"/>
              </w:rPr>
              <w:t>Minar solamente donde corresponda</w:t>
            </w:r>
          </w:p>
        </w:tc>
      </w:tr>
      <w:tr>
        <w:tc>
          <w:tcPr>
            <w:tcW w:type="dxa" w:w="2600"/>
            <w:shd w:fill="F3F6F4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Calibri" w:hAnsi="Calibri"/>
                <w:b/>
                <w:i w:val="0"/>
                <w:color w:val="18231D"/>
                <w:sz w:val="19"/>
              </w:rPr>
              <w:t>Inventario automático</w:t>
            </w:r>
          </w:p>
        </w:tc>
        <w:tc>
          <w:tcPr>
            <w:tcW w:type="dxa" w:w="1900"/>
            <w:shd w:fill="F3F6F4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8231D"/>
                <w:sz w:val="19"/>
              </w:rPr>
              <w:t>while</w:t>
            </w:r>
          </w:p>
        </w:tc>
        <w:tc>
          <w:tcPr>
            <w:tcW w:type="dxa" w:w="4860"/>
            <w:shd w:fill="F3F6F4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8231D"/>
                <w:sz w:val="19"/>
              </w:rPr>
              <w:t>Recolectar hasta llenar el rover</w:t>
            </w:r>
          </w:p>
        </w:tc>
      </w:tr>
      <w:tr>
        <w:tc>
          <w:tcPr>
            <w:tcW w:type="dxa" w:w="2600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Calibri" w:hAnsi="Calibri"/>
                <w:b/>
                <w:i w:val="0"/>
                <w:color w:val="18231D"/>
                <w:sz w:val="19"/>
              </w:rPr>
              <w:t>Ruta reutilizable</w:t>
            </w:r>
          </w:p>
        </w:tc>
        <w:tc>
          <w:tcPr>
            <w:tcW w:type="dxa" w:w="1900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8231D"/>
                <w:sz w:val="19"/>
              </w:rPr>
              <w:t>Funciones</w:t>
            </w:r>
          </w:p>
        </w:tc>
        <w:tc>
          <w:tcPr>
            <w:tcW w:type="dxa" w:w="4860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8231D"/>
                <w:sz w:val="19"/>
              </w:rPr>
              <w:t>Crear una rutina de recolección</w:t>
            </w:r>
          </w:p>
        </w:tc>
      </w:tr>
    </w:tbl>
    <w:p>
      <w:pPr>
        <w:pStyle w:val="Heading1"/>
      </w:pPr>
      <w:r>
        <w:t>6. Sistemas necesarios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8231D"/>
          <w:sz w:val="22"/>
        </w:rPr>
        <w:t>Intérprete real para for, if, while, variables y funciones.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8231D"/>
          <w:sz w:val="22"/>
        </w:rPr>
        <w:t>Ejecución estrictamente secuencial.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8231D"/>
          <w:sz w:val="22"/>
        </w:rPr>
        <w:t>Ejecución paso a paso y resaltado de la línea activa.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8231D"/>
          <w:sz w:val="22"/>
        </w:rPr>
        <w:t>Sistema de misiones y objetivos verificables.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8231D"/>
          <w:sz w:val="22"/>
        </w:rPr>
        <w:t>Un único mapa persistente que evoluciona durante toda la campaña; cada concepto se enseña mediante nuevos objetivos, recursos, obstáculos, eventos y reglas dentro del mismo escenario.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8231D"/>
          <w:sz w:val="22"/>
        </w:rPr>
        <w:t>Consola de errores visible dentro del juego.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8231D"/>
          <w:sz w:val="22"/>
        </w:rPr>
        <w:t>Sistema de pistas y archivo de conocimientos de A.D.A.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8231D"/>
          <w:sz w:val="22"/>
        </w:rPr>
        <w:t>Controles para ejecutar, pausar, avanzar y reiniciar.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8231D"/>
          <w:sz w:val="22"/>
        </w:rPr>
        <w:t>Seguimiento de conceptos aprendidos y dominados.</w:t>
      </w:r>
    </w:p>
    <w:p>
      <w:pPr>
        <w:pStyle w:val="Heading1"/>
      </w:pPr>
      <w:r>
        <w:t>7. Principios que no debemos olvidar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8231D"/>
          <w:sz w:val="22"/>
        </w:rPr>
        <w:t>No enseñar sintaxis sin darle una utilidad jugable.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8231D"/>
          <w:sz w:val="22"/>
        </w:rPr>
        <w:t>No convertir la recolección de minerales en repetición sin aprendizaje.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8231D"/>
          <w:sz w:val="22"/>
        </w:rPr>
        <w:t>No desbloquear estructuras que el intérprete todavía no puede ejecutar.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8231D"/>
          <w:sz w:val="22"/>
        </w:rPr>
        <w:t>No mostrar errores técnicos incomprensibles.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8231D"/>
          <w:sz w:val="22"/>
        </w:rPr>
        <w:t>No entregar inmediatamente la solución.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8231D"/>
          <w:sz w:val="22"/>
        </w:rPr>
        <w:t>Permitir experimentar y reiniciar sin castigo.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8231D"/>
          <w:sz w:val="22"/>
        </w:rPr>
        <w:t>Premiar soluciones claras, reutilizables y eficientes.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8231D"/>
          <w:sz w:val="22"/>
        </w:rPr>
        <w:t>Mantener una relación visible entre cada línea y la acción del rover.</w:t>
      </w:r>
    </w:p>
    <w:p>
      <w:pPr>
        <w:pStyle w:val="Heading1"/>
      </w:pPr>
      <w:r>
        <w:t>8. Orden recomendado de implementación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18231D"/>
          <w:sz w:val="22"/>
        </w:rPr>
        <w:t>Diseñar las primeras cuatro misiones.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18231D"/>
          <w:sz w:val="22"/>
        </w:rPr>
        <w:t>Construir el intérprete capaz de ejecutar las estructuras enseñadas.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18231D"/>
          <w:sz w:val="22"/>
        </w:rPr>
        <w:t>Implementar ejecución secuencial y resaltado línea por línea.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18231D"/>
          <w:sz w:val="22"/>
        </w:rPr>
        <w:t>Crear el primer diálogo educativo de A.D.A.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18231D"/>
          <w:sz w:val="22"/>
        </w:rPr>
        <w:t>Construir la misión tutorial completa.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18231D"/>
          <w:sz w:val="22"/>
        </w:rPr>
        <w:t>Probarla con una persona que no sepa programar.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18231D"/>
          <w:sz w:val="22"/>
        </w:rPr>
        <w:t>Ajustar explicaciones, pistas y dificultad según sus resultados.</w:t>
      </w:r>
    </w:p>
    <w:p>
      <w:pPr>
        <w:pStyle w:val="Callout"/>
        <w:shd w:fill="EAF6ED"/>
      </w:pPr>
      <w:r>
        <w:rPr>
          <w:rFonts w:ascii="Calibri" w:hAnsi="Calibri"/>
          <w:b/>
          <w:i w:val="0"/>
          <w:color w:val="173B2A"/>
          <w:sz w:val="19"/>
        </w:rPr>
        <w:t xml:space="preserve">META  </w:t>
      </w:r>
      <w:r>
        <w:rPr>
          <w:rFonts w:ascii="Calibri" w:hAnsi="Calibri"/>
          <w:b w:val="0"/>
          <w:i w:val="0"/>
          <w:color w:val="18231D"/>
          <w:sz w:val="21"/>
        </w:rPr>
        <w:t>Que una persona pueda comenzar sin conocimientos y termine comprendiendo realmente qué son un objeto, un método, una secuencia, una condición y un bucle.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/>
        <w:i w:val="0"/>
        <w:color w:val="64736A"/>
        <w:sz w:val="18"/>
      </w:rPr>
      <w:t xml:space="preserve">EDUCODE  |  </w:t>
    </w:r>
    <w:r>
      <w:rPr>
        <w:rFonts w:ascii="Calibri" w:hAnsi="Calibri"/>
        <w:b w:val="0"/>
        <w:i w:val="0"/>
        <w:color w:val="64736A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i w:val="0"/>
        <w:color w:val="64736A"/>
        <w:sz w:val="17"/>
      </w:rPr>
      <w:t>EDUCODE  /  DISEÑO DE EXPERIENCIA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8231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73B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173B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73B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100" w:after="160" w:line="252" w:lineRule="auto"/>
      <w:ind w:left="216" w:right="216"/>
    </w:pPr>
    <w:rPr>
      <w:rFonts w:ascii="Consolas" w:hAnsi="Consolas"/>
      <w:sz w:val="19"/>
    </w:rPr>
  </w:style>
  <w:style w:type="paragraph" w:customStyle="1" w:styleId="Callout">
    <w:name w:val="Callout"/>
    <w:pPr>
      <w:spacing w:before="120" w:after="200" w:line="288" w:lineRule="auto"/>
      <w:ind w:left="173" w:right="173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jugabilidad, progresión y sistema A.D.A.</dc:title>
  <dc:subject>Dirección de diseño educativo de EduCode</dc:subject>
  <dc:creator>Equipo EduCode</dc:creator>
  <cp:keywords>EduCode, A.D.A., programación, diseño educativo, jugabilidad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