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PTSans-bold.ttf" ContentType="application/x-font-ttf"/>
  <Override PartName="/word/fonts/PTSans-boldItalic.ttf" ContentType="application/x-font-ttf"/>
  <Override PartName="/word/fonts/PTSans-italic.ttf" ContentType="application/x-font-ttf"/>
  <Override PartName="/word/fonts/PT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jc w:val="center"/>
        <w:rPr>
          <w:rFonts w:ascii="Cambria" w:cs="Cambria" w:eastAsia="Cambria" w:hAnsi="Cambria"/>
          <w:color w:val="002755"/>
          <w:sz w:val="56"/>
          <w:szCs w:val="56"/>
        </w:rPr>
      </w:pPr>
      <w:r w:rsidDel="00000000" w:rsidR="00000000" w:rsidRPr="00000000">
        <w:rPr>
          <w:rFonts w:ascii="Cambria" w:cs="Cambria" w:eastAsia="Cambria" w:hAnsi="Cambria"/>
          <w:color w:val="002755"/>
          <w:sz w:val="56"/>
          <w:szCs w:val="56"/>
          <w:rtl w:val="0"/>
        </w:rPr>
        <w:t xml:space="preserve">Cesar Ramos </w:t>
      </w:r>
    </w:p>
    <w:p w:rsidR="00000000" w:rsidDel="00000000" w:rsidP="00000000" w:rsidRDefault="00000000" w:rsidRPr="00000000" w14:paraId="0000000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77" w:line="240" w:lineRule="auto"/>
        <w:jc w:val="center"/>
        <w:rPr>
          <w:rFonts w:ascii="Cambria" w:cs="Cambria" w:eastAsia="Cambria" w:hAnsi="Cambria"/>
          <w:color w:val="002755"/>
          <w:sz w:val="32"/>
          <w:szCs w:val="32"/>
        </w:rPr>
      </w:pPr>
      <w:r w:rsidDel="00000000" w:rsidR="00000000" w:rsidRPr="00000000">
        <w:rPr>
          <w:rFonts w:ascii="Cambria" w:cs="Cambria" w:eastAsia="Cambria" w:hAnsi="Cambria"/>
          <w:color w:val="002755"/>
          <w:sz w:val="30"/>
          <w:szCs w:val="32"/>
          <w:rtl w:val="0"/>
        </w:rPr>
        <w:t>AI ENABLEMENT &amp; ADOPTION | LEARNING TRANSFORMATION</w:t>
        <w:br/>
      </w:r>
      <w:r w:rsidDel="00000000" w:rsidR="00000000" w:rsidRPr="00000000">
        <w:rPr>
          <w:rFonts w:ascii="Cambria" w:cs="Cambria" w:eastAsia="Cambria" w:hAnsi="Cambria"/>
          <w:color w:val="000000"/>
          <w:sz w:val="20"/>
          <w:szCs w:val="20"/>
          <w:rtl w:val="0"/>
        </w:rPr>
        <w:t xml:space="preserve">Tampa, Florida | 813-400-4566 | caramos0918@gmail.com | </w:t>
      </w:r>
      <w:hyperlink r:id="rId7">
        <w:r w:rsidDel="00000000" w:rsidR="00000000" w:rsidRPr="00000000">
          <w:rPr>
            <w:rFonts w:ascii="Cambria" w:cs="Cambria" w:eastAsia="Cambria" w:hAnsi="Cambria"/>
            <w:color w:val="0000ff"/>
            <w:sz w:val="20"/>
            <w:szCs w:val="20"/>
            <w:u w:val="single"/>
            <w:rtl w:val="0"/>
          </w:rPr>
          <w:t xml:space="preserve">Portfolio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40" w:lineRule="auto"/>
        <w:ind w:left="4" w:firstLine="0"/>
        <w:rPr>
          <w:rFonts w:ascii="Cambria" w:cs="Cambria" w:eastAsia="Cambria" w:hAnsi="Cambria"/>
          <w:b w:val="1"/>
          <w:bCs w:val="1"/>
          <w:color w:val="002755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755"/>
          <w:sz w:val="27"/>
          <w:szCs w:val="27"/>
          <w:rtl w:val="0"/>
        </w:rPr>
        <w:t xml:space="preserve">Summary </w:t>
        <w:br w:type="textWrapping"/>
        <w:br w:type="textWrapping"/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rtl w:val="0"/>
        </w:rPr>
        <w:t>AI enablement and learning transformation leader with 3+ years of corporate L&amp;D experience, backed by 8+ years in education and a master’s in Instructional Design and Technology. Combines enterprise AI adoption, role-specific enablement, workflow redesign, and hands-on AI-assisted development to turn emerging tools into repeatable business use. Built custom AI-assisted applications and learning products, coached cross-functional teams from regional operations through HR and Finance, and scaled content production to 29 courses in one month during acquisition integration.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22" w:line="240" w:lineRule="auto"/>
        <w:ind w:left="5" w:firstLine="0"/>
        <w:rPr>
          <w:rFonts w:ascii="Cambria" w:cs="Cambria" w:eastAsia="Cambria" w:hAnsi="Cambria"/>
          <w:b w:val="1"/>
          <w:bCs w:val="1"/>
          <w:color w:val="002755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755"/>
          <w:sz w:val="27"/>
          <w:szCs w:val="27"/>
          <w:rtl w:val="0"/>
        </w:rPr>
        <w:t xml:space="preserve">Experience </w:t>
        <w:br w:type="textWrapping"/>
      </w:r>
    </w:p>
    <w:p w:rsidR="00000000" w:rsidDel="00000000" w:rsidP="00000000" w:rsidRDefault="00000000" w:rsidRPr="00000000" w14:paraId="00000005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87" w:lineRule="auto"/>
        <w:ind w:left="184" w:right="407" w:hanging="181"/>
        <w:rPr>
          <w:rFonts w:ascii="Cambria" w:cs="Cambria" w:eastAsia="Cambria" w:hAnsi="Cambria"/>
          <w:b w:val="1"/>
          <w:bC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62626"/>
          <w:rtl w:val="0"/>
        </w:rPr>
        <w:t xml:space="preserve">LEARNING EXPERIENCE MANAGER | CERTUS | SEPTEMBER 2025 – PRESENT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>Scaled AI-assisted learning production during acquisition integration, developing 29 courses in one month by embedding generative AI into analysis, drafting, media creation, and course-authoring workflows while preserving SME review.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>Designed and deployed an AI-assisted custom event engagement app using Vercel and Supabase with a live leaderboard, attendee photo uploads, and executive Q&amp;A; delivered specialized functionality in-house that would commonly require a $10K+ custom-development engagement.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highlight w:val="white"/>
          <w:u w:val="none"/>
          <w:vertAlign w:val="baseline"/>
          <w:rtl w:val="0"/>
        </w:rPr>
        <w:t>Designed an AI-assisted adaptive learning experience to address technician recertification failures, using performance-based question buckets to identify knowledge gaps and dynamically increase practice in weak areas; targeting a 9% improvement in first-attempt pass rates and a 14% reduction in remediation time.</w:t>
      </w:r>
    </w:p>
    <w:p w:rsidR="00000000" w:rsidDel="00000000" w:rsidP="00000000" w:rsidRDefault="00000000" w:rsidRPr="00000000" w14:paraId="00000009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87" w:lineRule="auto"/>
        <w:ind w:left="3" w:right="407" w:firstLine="0"/>
        <w:rPr>
          <w:rFonts w:ascii="Cambria" w:cs="Cambria" w:eastAsia="Cambria" w:hAnsi="Cambria"/>
          <w:b w:val="1"/>
          <w:bC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62626"/>
          <w:rtl w:val="0"/>
        </w:rPr>
        <w:t xml:space="preserve">LEAD INSTRUCTIONAL DESIGNER | DEPLOYED SERVICES | MAY 2024 – AUGUST 2025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Led a team of 4 instructional designers, using mentorship, shared design standards, and QA checkpoints to improve course quality ratings by 7% across compliance training modules.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Integrated AI-enabled production workflows using HeyGen and Synthesia, reducing course development time by 20% while increasing learner completion rates by 15%.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Redesigned the end-to-end development methodology using ADDIE and Rapid Prototyping, improving instructional consistency and reducing rework by 10%.</w:t>
      </w:r>
    </w:p>
    <w:p w:rsidR="00000000" w:rsidDel="00000000" w:rsidP="00000000" w:rsidRDefault="00000000" w:rsidRPr="00000000" w14:paraId="0000000D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87" w:lineRule="auto"/>
        <w:ind w:left="184" w:right="263" w:hanging="181"/>
        <w:rPr>
          <w:rFonts w:ascii="Noto Sans Symbols" w:cs="Noto Sans Symbols" w:eastAsia="Noto Sans Symbols" w:hAnsi="Noto Sans Symbols"/>
          <w:color w:val="c00000"/>
          <w:sz w:val="18"/>
          <w:szCs w:val="18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62626"/>
          <w:rtl w:val="0"/>
        </w:rPr>
        <w:t xml:space="preserve">INSTRUCTIONAL DESIGNER | CARLEY CORPORATION | MAY 2023 – APRIL 2024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Developed standardized eLearning in MELD for 12+ training programs, translating federal and technical requirements into scalable, learner-ready instruction.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Partnered with subject matter experts to translate complex technical content for nontechnical audiences, contributing to consistently high QA evaluations across deliverables.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Managed concurrent projects in Jira and maintained 100% on-time delivery by improving communication, prioritization, and task visibility.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87" w:lineRule="auto"/>
        <w:ind w:right="263"/>
        <w:rPr>
          <w:rFonts w:ascii="PT Sans" w:cs="PT Sans" w:eastAsia="PT Sans" w:hAnsi="PT Sans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62626"/>
          <w:rtl w:val="0"/>
        </w:rPr>
        <w:t xml:space="preserve">ESE CASE MANAGER | HILLSBOROUGH COUNTY PUBLIC SCHOOLS | AUGUST 2017 – MAY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Managed compliance tracking, performance data, and targeted interventions in federally regulated learning environments, building a data-informed foundation later applied to enterprise LMS, risk, and enablement work.</w:t>
      </w:r>
    </w:p>
    <w:p w:rsidR="00000000" w:rsidDel="00000000" w:rsidP="00000000" w:rsidRDefault="00000000" w:rsidRPr="00000000" w14:paraId="00000016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87" w:lineRule="auto"/>
        <w:ind w:left="184" w:right="407" w:hanging="181"/>
        <w:rPr>
          <w:rFonts w:ascii="Cambria" w:cs="Cambria" w:eastAsia="Cambria" w:hAnsi="Cambria"/>
          <w:b w:val="1"/>
          <w:bCs w:val="1"/>
          <w:color w:val="262626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262626"/>
          <w:rtl w:val="0"/>
        </w:rPr>
        <w:t xml:space="preserve">TEACHER | EAST BATON ROUGE PARISH SCHOOL SYSTEM | OCTOBER 2014 - MAY 2017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1" w:line="287" w:lineRule="auto"/>
        <w:ind w:left="413" w:right="407" w:hanging="360"/>
        <w:jc w:val="left"/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T Sans" w:cs="PT Sans" w:eastAsia="PT Sans" w:hAnsi="PT Sans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>Designed data-informed curriculum for diverse audiences and trained educators on practical instructional strategies, building early expertise in facilitation, accessibility, stakeholder coaching, and behavior change.</w:t>
      </w:r>
    </w:p>
    <w:p w:rsidR="00000000" w:rsidDel="00000000" w:rsidP="00000000" w:rsidRDefault="00000000" w:rsidRPr="00000000" w14:paraId="0000001A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316" w:line="240" w:lineRule="auto"/>
        <w:ind w:left="5" w:firstLine="0"/>
        <w:rPr>
          <w:rFonts w:ascii="Cambria" w:cs="Cambria" w:eastAsia="Cambria" w:hAnsi="Cambria"/>
          <w:b w:val="1"/>
          <w:bCs w:val="1"/>
          <w:color w:val="002755"/>
          <w:sz w:val="27"/>
          <w:szCs w:val="27"/>
        </w:rPr>
        <w:sectPr>
          <w:pgSz w:h="15840" w:w="12240" w:orient="portrait"/>
          <w:pgMar w:bottom="768" w:top="792" w:left="1159" w:right="1152" w:header="0" w:footer="720"/>
          <w:pgNumType w:start="1"/>
        </w:sect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755"/>
          <w:sz w:val="27"/>
          <w:szCs w:val="27"/>
          <w:rtl w:val="0"/>
        </w:rPr>
        <w:t xml:space="preserve">Education</w:t>
      </w:r>
    </w:p>
    <w:tbl>
      <w:tblPr>
        <w:tblStyle w:val="Table1"/>
        <w:tblW w:w="9918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400"/>
      </w:tblPr>
      <w:tblGrid>
        <w:gridCol w:w="3330"/>
        <w:gridCol w:w="3690"/>
        <w:gridCol w:w="2898"/>
        <w:tblGridChange w:id="0">
          <w:tblGrid>
            <w:gridCol w:w="3330"/>
            <w:gridCol w:w="3690"/>
            <w:gridCol w:w="289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Master of Education </w:t>
            </w:r>
          </w:p>
          <w:p w:rsidR="00000000" w:rsidDel="00000000" w:rsidP="00000000" w:rsidRDefault="00000000" w:rsidRPr="00000000" w14:paraId="0000001D">
            <w:pPr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Instructional Design and Technology </w:t>
            </w:r>
          </w:p>
          <w:p w:rsidR="00000000" w:rsidDel="00000000" w:rsidP="00000000" w:rsidRDefault="00000000" w:rsidRPr="00000000" w14:paraId="0000001E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American College of Education</w:t>
            </w:r>
          </w:p>
          <w:p w:rsidR="00000000" w:rsidDel="00000000" w:rsidP="00000000" w:rsidRDefault="00000000" w:rsidRPr="00000000" w14:paraId="00000020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November 2022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2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Bachelor of Science </w:t>
            </w:r>
          </w:p>
          <w:p w:rsidR="00000000" w:rsidDel="00000000" w:rsidP="00000000" w:rsidRDefault="00000000" w:rsidRPr="00000000" w14:paraId="00000023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Secondary English Education</w:t>
            </w:r>
          </w:p>
        </w:tc>
        <w:tc>
          <w:tcPr/>
          <w:p w:rsidR="00000000" w:rsidDel="00000000" w:rsidP="00000000" w:rsidRDefault="00000000" w:rsidRPr="00000000" w14:paraId="00000024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University of South Florida</w:t>
            </w:r>
          </w:p>
        </w:tc>
        <w:tc>
          <w:tcPr/>
          <w:p w:rsidR="00000000" w:rsidDel="00000000" w:rsidP="00000000" w:rsidRDefault="00000000" w:rsidRPr="00000000" w14:paraId="00000025">
            <w:pPr>
              <w:widowControl w:val="0"/>
              <w:spacing w:before="0" w:line="231" w:lineRule="auto" w:after="0"/>
              <w:rPr>
                <w:rFonts w:ascii="Cambria" w:cs="Cambria" w:eastAsia="Cambria" w:hAnsi="Cambria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Cambria" w:cs="Cambria" w:eastAsia="Cambria" w:hAnsi="Cambria"/>
                <w:color w:val="000000"/>
                <w:sz w:val="18"/>
                <w:szCs w:val="18"/>
                <w:rtl w:val="0"/>
              </w:rPr>
              <w:t xml:space="preserve">May 2011</w:t>
            </w:r>
          </w:p>
        </w:tc>
      </w:tr>
    </w:tbl>
    <w:p w:rsidR="00000000" w:rsidDel="00000000" w:rsidP="00000000" w:rsidRDefault="00000000" w:rsidRPr="00000000" w14:paraId="00000027">
      <w:pPr>
        <w:keepNext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40" w:lineRule="auto"/>
        <w:rPr>
          <w:rFonts w:ascii="Cambria" w:cs="Cambria" w:eastAsia="Cambria" w:hAnsi="Cambria"/>
          <w:b w:val="1"/>
          <w:bCs w:val="1"/>
          <w:color w:val="002755"/>
          <w:sz w:val="27"/>
          <w:szCs w:val="27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color w:val="002755"/>
          <w:sz w:val="27"/>
          <w:szCs w:val="27"/>
          <w:rtl w:val="0"/>
        </w:rPr>
        <w:t xml:space="preserve">SKILLS &amp; ABILITIES </w:t>
      </w:r>
    </w:p>
    <w:p w:rsidR="00000000" w:rsidDel="00000000" w:rsidP="00000000" w:rsidRDefault="00000000" w:rsidRPr="00000000" w14:paraId="00000028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 w:after="0"/>
        <w:ind w:left="112" w:firstLine="0"/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  <w:rtl w:val="0"/>
        </w:rPr>
        <w:t>AI Enablement &amp; Adoption</w:t>
      </w:r>
    </w:p>
    <w:p w:rsidR="00000000" w:rsidDel="00000000" w:rsidP="00000000" w:rsidRDefault="00000000" w:rsidRPr="00000000" w14:paraId="0000002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94" w:lineRule="auto" w:after="0"/>
        <w:ind w:left="109" w:right="249" w:hanging="8.000000000000007"/>
        <w:rPr>
          <w:rFonts w:ascii="PT Sans" w:cs="PT Sans" w:eastAsia="PT Sans" w:hAnsi="PT Sans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  <w:t>AI Literacy &amp; Training, Role-Specific Enablement, Adoption Strategy, Use-Case Discovery, Stakeholder Coaching, Prompt Engineering, Context-Rich Prompting, Workflow Redesign, Change Management, ROI &amp; Impact Measurement</w:t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rtl w:val="0"/>
        </w:rPr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</w:r>
    </w:p>
    <w:p w:rsidR="00000000" w:rsidDel="00000000" w:rsidP="00000000" w:rsidRDefault="00000000" w:rsidRPr="00000000" w14:paraId="0000002A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 w:after="0"/>
        <w:ind w:left="109" w:firstLine="0"/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  <w:rtl w:val="0"/>
        </w:rPr>
        <w:t>Generative AI &amp; Rapid Development</w:t>
      </w:r>
    </w:p>
    <w:p w:rsidR="00000000" w:rsidDel="00000000" w:rsidP="00000000" w:rsidRDefault="00000000" w:rsidRPr="00000000" w14:paraId="0000002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94" w:lineRule="auto" w:after="0"/>
        <w:ind w:left="114" w:right="98" w:hanging="14.000000000000004"/>
        <w:rPr>
          <w:rFonts w:ascii="PT Sans" w:cs="PT Sans" w:eastAsia="PT Sans" w:hAnsi="PT Sans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  <w:t>ChatGPT, Claude, Claude Code, OpenAI Codex, Microsoft Copilot, Grok, Articulate AI, Canva AI, HeyGen, Synthesia, 11Labs, AI-Assisted Development, Cross-Model AI Workflows, Rapid Prototyping</w:t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rtl w:val="0"/>
        </w:rPr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</w:r>
    </w:p>
    <w:p w:rsidR="00000000" w:rsidDel="00000000" w:rsidP="00000000" w:rsidRDefault="00000000" w:rsidRPr="00000000" w14:paraId="0000002C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 w:after="0"/>
        <w:ind w:left="98" w:firstLine="0"/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  <w:rtl w:val="0"/>
        </w:rPr>
        <w:t>Platforms &amp; Learning Technology</w:t>
      </w:r>
    </w:p>
    <w:p w:rsidR="00000000" w:rsidDel="00000000" w:rsidP="00000000" w:rsidRDefault="00000000" w:rsidRPr="00000000" w14:paraId="0000002D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94" w:lineRule="auto" w:after="0"/>
        <w:ind w:left="109" w:right="515" w:hanging="1.999999999999993"/>
        <w:rPr>
          <w:rFonts w:ascii="PT Sans" w:cs="PT Sans" w:eastAsia="PT Sans" w:hAnsi="PT Sans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  <w:t>Vercel, Supabase, Paylocity LMS, Articulate Storyline, Rise 360, Camtasia, Captivate, LMS Administration, Gamified Learning, Interactive Learning Experiences</w:t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rtl w:val="0"/>
        </w:rPr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</w:r>
    </w:p>
    <w:p w:rsidR="00000000" w:rsidDel="00000000" w:rsidP="00000000" w:rsidRDefault="00000000" w:rsidRPr="00000000" w14:paraId="0000002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 w:after="0"/>
        <w:ind w:left="109" w:firstLine="0"/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  <w:rtl w:val="0"/>
        </w:rPr>
        <w:t>Learning Strategy &amp; Delivery</w:t>
      </w:r>
    </w:p>
    <w:p w:rsidR="00000000" w:rsidDel="00000000" w:rsidP="00000000" w:rsidRDefault="00000000" w:rsidRPr="00000000" w14:paraId="0000002F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94" w:lineRule="auto" w:after="0"/>
        <w:ind w:left="158" w:right="252" w:hanging="6.999999999999993"/>
        <w:rPr>
          <w:rFonts w:ascii="PT Sans" w:cs="PT Sans" w:eastAsia="PT Sans" w:hAnsi="PT Sans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rtl w:val="0"/>
        </w:rPr>
        <w:t>Performance Consulting, ADDIE, Backward Design, Rapid Prototyping, Design Thinking, Learning Objectives Analysis, Agile Workflows, Jira, Monday.com, Strategic Planning</w:t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</w:r>
    </w:p>
    <w:p w:rsidR="00000000" w:rsidDel="00000000" w:rsidP="00000000" w:rsidRDefault="00000000" w:rsidRPr="00000000" w14:paraId="0000003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100" w:line="240" w:lineRule="auto" w:after="0"/>
        <w:ind w:left="109" w:firstLine="0"/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</w:rPr>
      </w:pPr>
      <w:r w:rsidDel="00000000" w:rsidR="00000000" w:rsidRPr="00000000">
        <w:rPr>
          <w:rFonts w:ascii="PT Sans" w:cs="PT Sans" w:eastAsia="PT Sans" w:hAnsi="PT Sans"/>
          <w:b w:val="1"/>
          <w:bCs w:val="1"/>
          <w:color w:val="000000"/>
          <w:sz w:val="18"/>
          <w:szCs w:val="18"/>
          <w:highlight w:val="white"/>
          <w:rtl w:val="0"/>
        </w:rPr>
        <w:t>Accessibility &amp; Compliance</w:t>
      </w:r>
    </w:p>
    <w:p w:rsidR="00000000" w:rsidDel="00000000" w:rsidP="00000000" w:rsidRDefault="00000000" w:rsidRPr="00000000" w14:paraId="00000031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before="20" w:line="294" w:lineRule="auto" w:after="0"/>
        <w:ind w:left="165" w:right="34" w:firstLine="0"/>
        <w:rPr>
          <w:rFonts w:ascii="Cambria" w:cs="Cambria" w:eastAsia="Cambria" w:hAnsi="Cambria"/>
          <w:color w:val="2a7b88"/>
        </w:rPr>
      </w:pP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highlight w:val="white"/>
          <w:rtl w:val="0"/>
        </w:rPr>
        <w:t>Section 508 Compliance, Universal Design for Learning (UDL), WCAG Principles</w:t>
      </w:r>
      <w:r w:rsidDel="00000000" w:rsidR="00000000" w:rsidRPr="00000000">
        <w:rPr>
          <w:rFonts w:ascii="PT Sans" w:cs="PT Sans" w:eastAsia="PT Sans" w:hAnsi="PT Sans"/>
          <w:color w:val="000000"/>
          <w:sz w:val="18"/>
          <w:szCs w:val="18"/>
          <w:rtl w:val="0"/>
        </w:rPr>
      </w:r>
      <w:r w:rsidDel="00000000" w:rsidR="00000000" w:rsidRPr="00000000">
        <w:rPr>
          <w:rtl w:val="0"/>
        </w:rPr>
      </w:r>
    </w:p>
    <w:sectPr>
      <w:type w:val="continuous"/>
      <w:pgSz w:h="15840" w:w="12240" w:orient="portrait"/>
      <w:pgMar w:bottom="768" w:top="792" w:left="1159" w:right="1152" w:header="0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ambr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PT Sans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•"/>
      <w:lvlJc w:val="left"/>
      <w:pPr>
        <w:ind w:left="413" w:hanging="360"/>
      </w:pPr>
      <w:rPr>
        <w:rFonts w:ascii="Arial" w:cs="Arial" w:eastAsia="Arial" w:hAnsi="Arial"/>
        <w:b w:val="0"/>
        <w:bCs w:val="0"/>
        <w:color w:val="002755"/>
        <w:sz w:val="18"/>
        <w:szCs w:val="18"/>
      </w:rPr>
    </w:lvl>
    <w:lvl w:ilvl="1">
      <w:start w:val="1"/>
      <w:numFmt w:val="bullet"/>
      <w:lvlText w:val="o"/>
      <w:lvlJc w:val="left"/>
      <w:pPr>
        <w:ind w:left="149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1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3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5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7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9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1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3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leaddesignercesar.github.io/cesar-instructional-design/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PTSans-regular.ttf"/><Relationship Id="rId4" Type="http://schemas.openxmlformats.org/officeDocument/2006/relationships/font" Target="fonts/PTSans-bold.ttf"/><Relationship Id="rId5" Type="http://schemas.openxmlformats.org/officeDocument/2006/relationships/font" Target="fonts/PTSans-italic.ttf"/><Relationship Id="rId6" Type="http://schemas.openxmlformats.org/officeDocument/2006/relationships/font" Target="fonts/PT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mBbjhLZcMDNoDX/IQb3JZZizVCg==">CgMxLjA4AHIhMWwtOTkyN01zOTlVMG9LNXNSNU9BanJORnMza3lzcUF1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