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Vakya AI Contract Audit Report</w:t>
      </w:r>
    </w:p>
    <w:p>
      <w:pPr>
        <w:pStyle w:val="Heading1"/>
      </w:pPr>
      <w:r>
        <w:t>Executive Summary</w:t>
      </w:r>
    </w:p>
    <w:p>
      <w:r>
        <w:t>This report provides an automated AI-driven analysis of Vendor_Agreement_TechCorp.pdf. A total of 18 clauses were reviewed for commercial risk, legal compliance, and one-sided terms.</w:t>
      </w:r>
    </w:p>
    <w:p>
      <w:pPr>
        <w:pStyle w:val="Heading2"/>
      </w:pPr>
      <w:r>
        <w:t>Overall Risk Assessment</w:t>
      </w:r>
    </w:p>
    <w:p>
      <w:r>
        <w:t>The document contains 14 critical risks and 4 moderate risks. Immediate renegotiation is strongly recommended for the critical clauses before signing.</w:t>
      </w:r>
    </w:p>
    <w:p>
      <w:pPr>
        <w:pStyle w:val="Heading2"/>
      </w:pPr>
      <w:r>
        <w:t>Key Recommendations</w:t>
      </w:r>
    </w:p>
    <w:p>
      <w:pPr>
        <w:pStyle w:val="ListBullet"/>
      </w:pPr>
      <w:r>
        <w:t>Renegotiate "Definitions and Construction": Clause requiring mutual agreement on any Specification modifications proposed by the Supplier | Limitation of Intellectual Property Rights to only those necessary for the Products, with explicit exclusion of Supplier's pre-existing IP | Amendment to Delivery Date definition adding a 10-day grace period for delays due to force majeure or unforeseen events | Provision requiring Buyer to agree in writing to any revised Delivery Date requested by the Supplier | Arbitration clause specifying that disputes regarding IP ownership shall be resolved through neutral third-party arbitration</w:t>
      </w:r>
    </w:p>
    <w:p>
      <w:pPr>
        <w:pStyle w:val="ListBullet"/>
      </w:pPr>
      <w:r>
        <w:t>Renegotiate "Liability": Limit Supplier's non-exclusive rights to products that do not use Buyer's proprietary IP | Make 85% forecast commitment optional with binding purchase orders required for confirmation | Require Supplier to maintain inventory based on confirmed orders, not forecasted volumes | Add force majeure clause allowing inventory adjustments for supply chain disruptions | Include termination rights if Supplier fails to meet confirmed order inventory requirements</w:t>
      </w:r>
    </w:p>
    <w:p>
      <w:pPr>
        <w:pStyle w:val="ListBullet"/>
      </w:pPr>
      <w:r>
        <w:t>Renegotiate "Payment Terms": Require Supplier to provide detailed feasibility assessment including cost breakdowns for expedited delivery requests | Cap expedited fee at 15% of base unit price based on documented incremental costs | Grant Buyer right to enforce Purchase Order terms independently of Supplier's confirmation | Mandate third-party dispute resolution for conflicting interpretations of feasibility assessments</w:t>
      </w:r>
    </w:p>
    <w:p>
      <w:pPr>
        <w:pStyle w:val="ListBullet"/>
      </w:pPr>
      <w:r>
        <w:t>Renegotiate "Payment Terms": Amend the pricing basis from Ex-Works to FOB with Supplier responsibility for export-related costs | Cap unilateral price adjustments at 12% with reciprocal rights for cost reductions | Require Supplier to provide quarterly cost breakdowns and third-party verification for price change requests | Establish a joint price review committee with equal decision-making authority | Limit price adjustment triggers to material cost fluctuations exceeding 12% with 90-day notice period</w:t>
      </w:r>
    </w:p>
    <w:p>
      <w:pPr>
        <w:pStyle w:val="ListBullet"/>
      </w:pPr>
      <w:r>
        <w:t>Renegotiate "Payment Terms": Cap statutory interest penalties at 1.5 times the bank rate instead of three times | Make statutory interest penalties fully tax-deductible as a business expense | Require Buyer to provide 30-day notice of any statutory changes impacting payment terms | Limit total interest charges to 20% of the outstanding invoice value | Allow Supplier to offset statutory interest charges against payable amounts</w:t>
      </w:r>
    </w:p>
    <w:p>
      <w:r>
        <w:br w:type="page"/>
      </w:r>
    </w:p>
    <w:p>
      <w:pPr>
        <w:pStyle w:val="Heading1"/>
      </w:pPr>
      <w:r>
        <w:t>Clause-by-Clause Detailed Analysis</w:t>
      </w:r>
    </w:p>
    <w:p>
      <w:pPr>
        <w:pStyle w:val="Heading2"/>
      </w:pPr>
      <w:r>
        <w:t>Clause 1: Definitions and Construction [Risk: Critical]</w:t>
      </w:r>
    </w:p>
    <w:p>
      <w:pPr>
        <w:pStyle w:val="Heading3"/>
      </w:pPr>
      <w:r>
        <w:t>Original Clause:</w:t>
      </w:r>
    </w:p>
    <w:p>
      <w:r>
        <w:t>1. Definitions and Rules of Construction. For all purposes of this Agreement, except</w:t>
        <w:br/>
        <w:t>as otherwise expressly provided or unless the context otherwise explicitly requires, the following</w:t>
        <w:br/>
        <w:t>terms shall possess the structural definitions allocated to them herein. The term "Specifications" shall</w:t>
        <w:br/>
        <w:t>denote  the  definitive  technical  blueprints,  operational  constraints,  thermal  tolerances,  voltage</w:t>
        <w:br/>
        <w:t>parameters, physical dimensions, material compositions, and performance benchmarks detailed in the</w:t>
        <w:br/>
        <w:t>baseline engineering documents attached hereto as Addendum A, which are incorporated into the</w:t>
        <w:br/>
        <w:t>body of this text by reference as if fully set forth. The term "Products" shall mean the specific</w:t>
        <w:br/>
        <w:t>semiconductor configurations, integrated circuits, microcontrollers, and related physical hardware</w:t>
        <w:br/>
        <w:t>modules manufactured by the Supplier under the design parameters mandated by the Specifications.</w:t>
        <w:br/>
        <w:t>The term "Effective Date" shall mean the calendar date first written above, signaling the formal</w:t>
        <w:br/>
        <w:t>initialization of all binding performance metrics. The term "Purchase Order" shall mean any formal</w:t>
        <w:br/>
        <w:t>written or electronic procurement document issued by the Buyer to the Supplier authorizing the</w:t>
        <w:br/>
        <w:t>fabrication and shipment of specific unit quantities of the Products. The term "Delivery Date" shall</w:t>
        <w:br/>
        <w:t>1</w:t>
        <w:br/>
        <w:br/>
        <w:t>mean the specific calendar date by which a designated shipment of Products must arrive at the</w:t>
        <w:br/>
        <w:t>designated point of entry specified within an active Purchase Order. The term "Intellectual Property</w:t>
        <w:br/>
        <w:t>Rights"  shall  mean  all  global  patent  rights,  copyrights,  trade  secrets,  trademarks,  mask  work</w:t>
        <w:br/>
        <w:t>registrations, industrial design rights, and utility models, whether registered or unregistered, including</w:t>
        <w:br/>
        <w:t>all applications for the same and all rights to apply for protection under any applicable jurisdiction.</w:t>
        <w:br/>
        <w:t>Section</w:t>
      </w:r>
    </w:p>
    <w:p>
      <w:pPr>
        <w:pStyle w:val="Heading3"/>
      </w:pPr>
      <w:r>
        <w:t>Risk &amp; Compliance Analysis:</w:t>
      </w:r>
    </w:p>
    <w:p>
      <w:r>
        <w:rPr>
          <w:b/>
        </w:rPr>
        <w:t xml:space="preserve">Explanation: </w:t>
      </w:r>
      <w:r>
        <w:t>Clause lacks essential GST compliance elements (taxable supplies, GSTIN, tax rates) and missing standard contractual clauses under Companies Act (governing law, dispute resolution). Definitions do not align with GST Law's definition of 'supply' and lack provisions for tax liability allocation. — The clause creates significant imbalance by allowing Buyer to unilaterally define critical technical parameters, broadly claim IP rights, and enforce rigid delivery timelines without reciprocal obligations or flexibility provisions. — Missing: Definition of 'supply' under GST Law, GSTIN details of parties, Taxable event and rate of GST, Governing law clause, Dispute resolution mechanism</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1. Definitions and Rules of Construction. For all purposes of this Agreement, except as otherwise expressly provided or unless the context otherwise explicitly requires, the following terms shall possess the structural definitions allocated to them herein. The term 'Specifications' shall denote the definitive technical blueprints, operational constraints, thermal tolerances, voltage parameters, physical dimensions, material compositions, and performance benchmarks detailed in the baseline engineering documents attached hereto as Addendum A, with the Supplier retaining the right to propose reasonable modifications subject to Buyer's approval. The term 'Products' shall mean the specific semiconductor configurations, integrated circuits, microcontrollers, and related physical hardware modules manufactured by the Supplier under the design parameters mandated by the Specifications, provided that the Supplier shall own all intellectual property rights developed exclusively for this Agreement. The term 'Effective Date' shall mean the calendar date first written above, signaling the formal initialization of all binding performance metrics. The term 'Purchase Order' shall mean any formal written or electronic procurement document issued by the Buyer to the Supplier authorizing the fabrication and shipment of specific unit quantities of the Products. The term 'Delivery Date' shall mean the specific calendar date by which a designated shipment of Products must arrive at the designated point of entry specified within an active Purchase Order, with a 10-day grace period for delays caused by force majeure or unforeseen events. The term 'Intellectual Property Rights' shall mean all patent rights, copyrights, trade secrets, trademarks, mask work registrations, industrial design rights, and utility models, whether registered or unregistered, including all applications for the same and all rights to apply for protection under any applicable jurisdiction, solely for the Products and excluding any intellectual property rights of the Supplier developed independently or for other purposes.</w:t>
      </w:r>
    </w:p>
    <w:p>
      <w:r>
        <w:t>__________________________________________________</w:t>
      </w:r>
    </w:p>
    <w:p>
      <w:pPr>
        <w:pStyle w:val="Heading2"/>
      </w:pPr>
      <w:r>
        <w:t>Clause 2: Liability [Risk: Critical]</w:t>
      </w:r>
    </w:p>
    <w:p>
      <w:pPr>
        <w:pStyle w:val="Heading3"/>
      </w:pPr>
      <w:r>
        <w:t>Original Clause:</w:t>
      </w:r>
    </w:p>
    <w:p>
      <w:r>
        <w:t>2. Scope of Supply and Order Allocation Infrastructure. The Supplier hereby grants</w:t>
        <w:br/>
        <w:t>the Buyer the non-exclusive right to purchase the Products in high-volume allocations, and the</w:t>
        <w:br/>
        <w:t>Supplier commits to reserving adequate cleanroom capacity, raw silicon wafers, substrate materials,</w:t>
        <w:br/>
        <w:t>and assembly line throughput to satisfy the rolling forecasts provided by the Buyer. The relationship</w:t>
        <w:br/>
        <w:t>governed by this document is non-exclusive, meaning the Supplier retains the unrestricted right to</w:t>
        <w:br/>
        <w:t>design, manufacture, market, and sell similar or identical semiconductor components to alternative</w:t>
        <w:br/>
        <w:t>third-party entities, provided that such manufacturing pipelines do not infringe upon the proprietary</w:t>
        <w:br/>
        <w:t>designs or utilize the strict confidential information belonging to the Buyer. Within the first five</w:t>
        <w:br/>
        <w:t>business days of each operational calendar quarter, the Buyer shall transmit to the Supplier a non-</w:t>
        <w:br/>
        <w:t>binding rolling twelve-month procurement forecast detailing the projected unit volume requirements</w:t>
        <w:br/>
        <w:t>for the subsequent four quarters. The first three months of any such rolling forecast shall be deemed a</w:t>
        <w:br/>
        <w:t>"Firm Commitment Window," wherein the Buyer is legally obligated to issue Purchase Orders</w:t>
        <w:br/>
        <w:t>matching at least eighty-five percent of the stated volume, and the Supplier is legally obligated to</w:t>
        <w:br/>
        <w:t>maintain raw material inventory sufficient to execute one hundred percent of the stated volume. For</w:t>
        <w:br/>
        <w:t>the remaining nine months of the forecast window, the metrics remain planning estimates only,</w:t>
        <w:br/>
        <w:t>designed to guide global supply chain logistics, substrate procurement, and foundry scheduling.</w:t>
        <w:br/>
        <w:t>Section</w:t>
      </w:r>
    </w:p>
    <w:p>
      <w:pPr>
        <w:pStyle w:val="Heading3"/>
      </w:pPr>
      <w:r>
        <w:t>Risk &amp; Compliance Analysis:</w:t>
      </w:r>
    </w:p>
    <w:p>
      <w:r>
        <w:rPr>
          <w:b/>
        </w:rPr>
        <w:t xml:space="preserve">Explanation: </w:t>
      </w:r>
      <w:r>
        <w:t>Clause lacks specific provisions for GST compliance, statutory audit requirements, and clear liability parameters for non-exclusive supply arrangements. Missing data protection safeguards for confidential information under IT Act 2000 and inadequate dispute resolution framework under Section 185 of Companies Act 2013. — The clause creates an imbalanced obligation where the Buyer is legally bound to meet minimum purchase commitments while the Supplier maintains flexibility to prioritize other customers. The Firm Commitment Window requirements impose significant financial risk on the Buyer without corresponding obligations from the Supplier. — Missing: Dispute resolution mechanism, Liability for breach of firm commitment obligations, GST registration and tax liability allocation, Data protection and confidentiality breach remedies, Governing law clause under Companies Act 2013</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Supplier grants Buyer a non-exclusive, non-transferable right to purchase Products, subject to Supplier's obligation to prioritize Buyer's orders over third-party demands. Supplier may not manufacture/sell similar products using Buyer's proprietary designs or confidential information. Buyer's 85% commitment is optional and binding only if confirmed in a binding purchase order. Supplier must maintain inventory based on confirmed orders, not forecasts. Forecast data remains a planning tool for supply chain coordination without contractual obligation.</w:t>
      </w:r>
    </w:p>
    <w:p>
      <w:r>
        <w:t>__________________________________________________</w:t>
      </w:r>
    </w:p>
    <w:p>
      <w:pPr>
        <w:pStyle w:val="Heading2"/>
      </w:pPr>
      <w:r>
        <w:t>Clause 3: Payment Terms [Risk: Critical]</w:t>
      </w:r>
    </w:p>
    <w:p>
      <w:pPr>
        <w:pStyle w:val="Heading3"/>
      </w:pPr>
      <w:r>
        <w:t>Original Clause:</w:t>
      </w:r>
    </w:p>
    <w:p>
      <w:r>
        <w:t>3. Purchase Order Mechanics and Lead Time Management. All procurement under</w:t>
        <w:br/>
        <w:t>this Agreement must be initiated through the issuance of a formal Purchase Order by the Buyer. Each</w:t>
        <w:br/>
        <w:t>Purchase  Order  must  clearly  delineate  the  specific  product  identification  codes,  the  exact  unit</w:t>
        <w:br/>
        <w:t>quantities ordered, the requested delivery dates, the chosen freight forwarder, and the designated</w:t>
        <w:br/>
        <w:t>destination dock. The Supplier shall evaluate each incoming Purchase Order against current foundry</w:t>
        <w:br/>
        <w:t>capacity and shall issue a formal written confirmation or rejection within forty-eight hours of receipt.</w:t>
        <w:br/>
        <w:t>A Purchase Order shall only be deemed accepted and binding upon the issuance of the Supplier's</w:t>
        <w:br/>
        <w:t>written  confirmation.  The  baseline  lead  time  required  for  standard  volume  production  runs  is</w:t>
        <w:br/>
        <w:t>established at exactly ninety calendar days from the date of Purchase Order confirmation to the date</w:t>
        <w:br/>
        <w:t>of initial factory dispatch. Any request by the Buyer to expedite a delivery window below the ninety-</w:t>
        <w:br/>
        <w:t>day threshold shall be subject to an expedited foundry fee amounting to twenty-five percent of the</w:t>
        <w:br/>
        <w:t>base unit price for all affected volumes, conditional upon the Supplier's manual verification that safety</w:t>
        <w:br/>
        <w:t>and quality compliance protocols can be maintained during the accelerated manufacturing run.</w:t>
        <w:br/>
        <w:t>Section</w:t>
      </w:r>
    </w:p>
    <w:p>
      <w:pPr>
        <w:pStyle w:val="Heading3"/>
      </w:pPr>
      <w:r>
        <w:t>Risk &amp; Compliance Analysis:</w:t>
      </w:r>
    </w:p>
    <w:p>
      <w:r>
        <w:rPr>
          <w:b/>
        </w:rPr>
        <w:t xml:space="preserve">Explanation: </w:t>
      </w:r>
      <w:r>
        <w:t>Clause lacks essential payment terms required under Companies Act 2013 (Section 49(3)) and GST provisions. Absence of GST tax details makes the agreement non-compliant with tax laws. Expedited fee structure may require GST registration and proper tax classification. — The clause creates significant imbalance by allowing Supplier to unilaterally decide expedited delivery terms and binding status of Purchase Orders, imposing financial burdens without reciprocal obligations or safeguards for Buyer. — Missing: Payment schedule and due dates, Mode of payment (e.g., bank transfer, cheque), Penalties for non-payment, GST taxability, rates, and place of supply, Dispute resolution mechanism</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3. Purchase Order Mechanics and Lead Time Management. All procurement under this Agreement must be initiated through a formal Purchase Order by the Buyer. Each Purchase Order must specify product identification codes, quantities, delivery dates, freight forwarder, and destination dock. The Supplier must conduct a thorough feasibility assessment of expedited delivery requests, including safety and quality compliance verification, and provide a detailed written response within forty-eight hours. The Supplier's confirmation shall constitute a binding commitment to the agreed terms, not a condition precedent to the enforceability of the Purchase Order. The baseline lead time for standard production is ninety calendar days from Purchase Order confirmation to factory dispatch. Expedited delivery requests below this threshold shall incur a fee calculated based on the Supplier's documented incremental costs, not exceeding 15% of the base unit price. The Buyer retains the right to enforce the Purchase Order terms independently of the Supplier's confirmation, with the Supplier obligated to fulfill obligations upon agreed terms.</w:t>
      </w:r>
    </w:p>
    <w:p>
      <w:r>
        <w:t>__________________________________________________</w:t>
      </w:r>
    </w:p>
    <w:p>
      <w:pPr>
        <w:pStyle w:val="Heading2"/>
      </w:pPr>
      <w:r>
        <w:t>Clause 4: Payment Terms [Risk: Critical]</w:t>
      </w:r>
    </w:p>
    <w:p>
      <w:pPr>
        <w:pStyle w:val="Heading3"/>
      </w:pPr>
      <w:r>
        <w:t>Original Clause:</w:t>
      </w:r>
    </w:p>
    <w:p>
      <w:r>
        <w:t>4. Commercial Pricing Structure, Invoicing Protocol, and Currency Risk. The</w:t>
        <w:br/>
        <w:t>baseline pricing for all Products supplied under this agreement is fixed according to the high-volume</w:t>
        <w:br/>
        <w:t>matrix set forth in the operational pricing tables, denominated exclusively in lawful currency. Prices</w:t>
        <w:br/>
        <w:t>2</w:t>
        <w:br/>
        <w:br/>
        <w:t>are calculated on an Ex-Works basis from the Supplier's principal manufacturing facilities, meaning</w:t>
        <w:br/>
        <w:t>the stated unit cost excludes all freight expenses, customs duties, import tariffs, value-added taxes,</w:t>
        <w:br/>
        <w:t>regional assessments, and specialized transit insurance, all of which shall be borne solely by the</w:t>
        <w:br/>
        <w:t>Buyer. The Supplier shall generate a comprehensive electronic commercial invoice immediately upon</w:t>
        <w:br/>
        <w:t>the dispatch of any confirmed shipment from the loading bay. Each invoice must explicitly cross-</w:t>
        <w:br/>
        <w:t>reference  the  corresponding  Purchase  Order  number,  total  unit  counts,  lot  numbers,  and  total</w:t>
        <w:br/>
        <w:t>aggregate fees due. In the event that international supply chain disruptions cause the baseline cost of</w:t>
        <w:br/>
        <w:t>raw silicon substrate or specialty gases to increase by more than twelve percent over any continuous</w:t>
        <w:br/>
        <w:t>sixty-day period, the Supplier reserves the structural right to initiate a mandatory price adjustment</w:t>
        <w:br/>
        <w:t>negotiation by providing thirty days written notice to the Buyer, during which time the Parties must</w:t>
        <w:br/>
        <w:t>negotiate a revised pricing matrix in good faith based on verified market cost data.</w:t>
        <w:br/>
        <w:t>Section</w:t>
      </w:r>
    </w:p>
    <w:p>
      <w:pPr>
        <w:pStyle w:val="Heading3"/>
      </w:pPr>
      <w:r>
        <w:t>Risk &amp; Compliance Analysis:</w:t>
      </w:r>
    </w:p>
    <w:p>
      <w:r>
        <w:rPr>
          <w:b/>
        </w:rPr>
        <w:t xml:space="preserve">Explanation: </w:t>
      </w:r>
      <w:r>
        <w:t>The invoice lacks mandatory GST details required under Section 36 of the CGST Act, 2017, including GSTIN, tax rates, tax amounts, and date of supply. The clause also does not specify tax liability attribution or mention taxability of the supply, which is essential for GST compliance. — The clause disproportionately shifts supply chain risk to the Buyer while granting the Supplier disproportionate pricing adjustment authority. The Ex-Works terms transfer all logistics and compliance costs to the Buyer, and the price adjustment mechanism creates an unbalanced power dynamic where the Supplier can unilaterally trigger renegotiations without equivalent buyer protections. — Missing: GSTIN of the Supplier, Tax rates and tax amounts, Date of supply, Recipient's details (if applicable), Taxability of supply</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4. Commercial Pricing Structure, Invoicing Protocol, and Currency Risk. The baseline pricing for all Products shall be determined by a mutually agreed pricing matrix, denominated in lawful currency. Prices shall be calculated on an FOB (Free On Board) basis from the Supplier's principal manufacturing facilities, with the Supplier responsible for freight costs, customs duties, import tariffs, value-added taxes, regional assessments, and specialized transit insurance up to the point of export. The Buyer shall bear transportation costs from the port of export to the final destination. The Supplier shall generate a comprehensive electronic commercial invoice immediately upon shipment confirmation, cross-referencing the Purchase Order number, unit counts, lot numbers, and total fees due. In the event of international supply chain disruptions, both Parties shall jointly review raw material cost fluctuations. The Supplier may request a price adjustment if raw material costs increase by more than 12% over any 60-day period, provided the Buyer has reciprocal rights to request cost reductions if their procurement costs decrease by more than 12% over the same period. All price adjustments shall require mutual agreement, supported by verifiable market data and third-party cost analysis.</w:t>
      </w:r>
    </w:p>
    <w:p>
      <w:r>
        <w:t>__________________________________________________</w:t>
      </w:r>
    </w:p>
    <w:p>
      <w:pPr>
        <w:pStyle w:val="Heading2"/>
      </w:pPr>
      <w:r>
        <w:t>Clause 5: Payment Terms [Risk: Critical]</w:t>
      </w:r>
    </w:p>
    <w:p>
      <w:pPr>
        <w:pStyle w:val="Heading3"/>
      </w:pPr>
      <w:r>
        <w:t>Original Clause:</w:t>
      </w:r>
    </w:p>
    <w:p>
      <w:r>
        <w:t>5. Payment Terms, Latency Restrictions, and Statutory MSME Compliance. The</w:t>
        <w:br/>
        <w:t>Buyer shall settle all verified, non-disputed invoices within a strict window of ninety calendar days</w:t>
        <w:br/>
        <w:t>from the date of initial invoice receipt. All payments must be executed via electronic funds transfer or</w:t>
        <w:br/>
        <w:t>direct wire transmission into the corporate banking repository designated by the Supplier. Any invoice</w:t>
        <w:br/>
        <w:t>remaining unpaid past the ninety-day threshold shall automatically accumulate late interest penalties</w:t>
        <w:br/>
        <w:t>calculated at a rate of one and one-half percent per month, compounding continuously until the full</w:t>
        <w:br/>
        <w:t>outstanding balance is cleared. Notwithstanding the foregoing ninety-day payment structure, the</w:t>
        <w:br/>
        <w:t>Parties explicitly acknowledge that if the Supplier is formally registered as a Micro, Small, or</w:t>
        <w:br/>
        <w:t>Medium Enterprise under regional statutory frameworks, including the Indian Micro, Small and</w:t>
        <w:br/>
        <w:t>Medium Enterprises Development Act, then any contractual payment window exceeding forty-five</w:t>
        <w:br/>
        <w:t>days  from  the  formal  date  of  product  acceptance  is  legally  invalid.  In  such  specific  statutory</w:t>
        <w:br/>
        <w:t>circumstances, the Buyer is strictly obligated by law to settle all undisputed invoices within forty-five</w:t>
        <w:br/>
        <w:t>days of physical delivery, and any failure to do so will automatically trigger statutory interest</w:t>
        <w:br/>
        <w:t>penalties set at three times the bank rate notified by the central banking authority, which interest</w:t>
        <w:br/>
        <w:t>cannot be claimed as a tax-deductible expense by the Buyer.</w:t>
        <w:br/>
        <w:t>Section</w:t>
      </w:r>
    </w:p>
    <w:p>
      <w:pPr>
        <w:pStyle w:val="Heading3"/>
      </w:pPr>
      <w:r>
        <w:t>Risk &amp; Compliance Analysis:</w:t>
      </w:r>
    </w:p>
    <w:p>
      <w:r>
        <w:rPr>
          <w:b/>
        </w:rPr>
        <w:t xml:space="preserve">Explanation: </w:t>
      </w:r>
      <w:r>
        <w:t>Clause incorrectly references 'product acceptance' instead of 'delivery date' for MSME payment timelines. Statutory interest rate calculation (three times bank rate) may exceed RBI permissible limits. Tax-deductibility clause conflicts with Income Tax Act provisions. Missing GST compliance requirements for tax invoice issuance and payment breakdown. — The clause imposes disproportionately harsh financial penalties on the Buyer (three times bank rate) when the Supplier is an MSME, while also denying the Buyer the ability to deduct these penalties as a tax expense. This creates an asymmetric risk burden, violating statutory protections for MSMEs and unfairly shifting financial risk to the Buyer. — Missing: GST registration and tax invoice issuance obligations, Specific mention of statutory interest rate limits under RBI regulations, Clarification on tax-deductibility of statutory interest under Income Tax Act</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The Buyer shall settle all verified, non-disputed invoices within ninety calendar days of invoice receipt. Late interest penalties shall be calculated at 1.5 times the bank rate, compounded monthly, and shall be fully tax-deductible as a business expense. For MSME Suppliers, the statutory payment window of forty-five days from product acceptance remains enforceable, with interest penalties set at 1.5 times the bank rate and deductible as a tax expense. The Buyer shall promptly notify the Supplier of any statutory changes affecting payment terms.</w:t>
      </w:r>
    </w:p>
    <w:p>
      <w:r>
        <w:t>__________________________________________________</w:t>
      </w:r>
    </w:p>
    <w:p>
      <w:pPr>
        <w:pStyle w:val="Heading2"/>
      </w:pPr>
      <w:r>
        <w:t>Clause 6: Liability [Risk: Critical]</w:t>
      </w:r>
    </w:p>
    <w:p>
      <w:pPr>
        <w:pStyle w:val="Heading3"/>
      </w:pPr>
      <w:r>
        <w:t>Original Clause:</w:t>
      </w:r>
    </w:p>
    <w:p>
      <w:r>
        <w:t>6.  Shipping,  Risk  Allocation,  and  Customs  Clearance  Logistics. All  shipping</w:t>
        <w:br/>
        <w:t>arrangements  shall  be  executed  under  the  strict  guidance  of  Incoterms  2020  rules,  configured</w:t>
        <w:br/>
        <w:t>explicitly as Ex-Works at the Supplier's designated domestic logistics center. Title to the Products and</w:t>
        <w:br/>
        <w:t>all associated risk of physical loss, degradation, contamination, or destruction shall pass completely to</w:t>
        <w:br/>
        <w:t>the Buyer at the exact moment the carrier secures the crates onto the transit vehicle at the Supplier's</w:t>
        <w:br/>
        <w:t>loading dock. The Buyer is entirely responsible for retaining a certified freight forwarder, booking</w:t>
        <w:br/>
        <w:t>shipping containers, securing cargo insurance, and managing all international customs clearances,</w:t>
        <w:br/>
        <w:t>import declarations, and harbor handling protocols. If the Buyer's carrier fails to collect a confirmed</w:t>
        <w:br/>
        <w:t>shipment within seven calendar days of receiving a formal notice of readiness from the Supplier, the</w:t>
        <w:br/>
        <w:t>Supplier shall store the shipment at the Buyer's sole risk, charging a continuous daily warehouse</w:t>
        <w:br/>
        <w:t>storage fee equal to one-tenth of a percent of the total invoice value of the delayed cargo.</w:t>
        <w:br/>
        <w:t>3</w:t>
        <w:br/>
        <w:br/>
        <w:t>Section</w:t>
      </w:r>
    </w:p>
    <w:p>
      <w:pPr>
        <w:pStyle w:val="Heading3"/>
      </w:pPr>
      <w:r>
        <w:t>Risk &amp; Compliance Analysis:</w:t>
      </w:r>
    </w:p>
    <w:p>
      <w:r>
        <w:rPr>
          <w:b/>
        </w:rPr>
        <w:t xml:space="preserve">Explanation: </w:t>
      </w:r>
      <w:r>
        <w:t>Clause lacks explicit GST responsibility assignment, fails to define ownership transfer timing critical for tax liability, and does not address supplier's obligations beyond storage fees under Companies Act 2013 Section 185 — The clause imposes disproportionate financial and operational burdens on the Buyer by requiring them to manage complex logistics and bear all risks, while the Supplier retains control over critical aspects. The storage fee structure creates a potential for significant financial exposure for the Buyer if delays occur. — Missing: GST liability allocation (Section 9(3) of CGST Act), Ownership transfer timing for tax liability, Supplier's liability for carrier default beyond storage fee</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Supplier agrees to cap daily storage fees at 0.05% of the shipment's actual landed cost, with a maximum storage duration of 14 calendar days. Buyer retains responsibility for customs clearance, but Supplier must provide all required documentation and cooperate with customs authorities. If storage exceeds 14 days, fees shall be calculated based on Supplier's actual storage costs, not invoice value.</w:t>
      </w:r>
    </w:p>
    <w:p>
      <w:r>
        <w:t>__________________________________________________</w:t>
      </w:r>
    </w:p>
    <w:p>
      <w:pPr>
        <w:pStyle w:val="Heading2"/>
      </w:pPr>
      <w:r>
        <w:t>Clause 7: Liability [Risk: Critical]</w:t>
      </w:r>
    </w:p>
    <w:p>
      <w:pPr>
        <w:pStyle w:val="Heading3"/>
      </w:pPr>
      <w:r>
        <w:t>Original Clause:</w:t>
      </w:r>
    </w:p>
    <w:p>
      <w:r>
        <w:t>7.  Quality  Assurance  Protocols  and  Incoming  Inspection  Frameworks. The</w:t>
        <w:br/>
        <w:t>Supplier matches all manufacturing operations to rigorous internal quality management systems and</w:t>
        <w:br/>
        <w:t>advanced automated optical inspection standards. Upon the physical arrival of a Product shipment at</w:t>
        <w:br/>
        <w:t>the Buyer's central processing facility, the Buyer shall possess a window of exactly fifteen business</w:t>
        <w:br/>
        <w:t>days to conduct standard incoming inspection tests, functional validation, and counting verification.</w:t>
        <w:br/>
        <w:t>This window constitutes the "Inspection Window." If the Buyer identifies any units that fail to</w:t>
        <w:br/>
        <w:t>conform to the precise performance parameters set forth in the Specifications, or identifies shortfalls</w:t>
        <w:br/>
        <w:t>in total unit counts, the Buyer must issue a formal written Defect Notice within the Inspection</w:t>
        <w:br/>
        <w:t>Window. This notice must contain comprehensive diagnostic logs, failure analysis data, photographs</w:t>
        <w:br/>
        <w:t>of packaging degradation, and lot tracking numbers. Any shipment that does not receive a formal</w:t>
        <w:br/>
        <w:t>Defect Notice before the expiration of the fifteen-day Inspection Window shall be deemed completely,</w:t>
        <w:br/>
        <w:t>irrevocably, and unconditionally accepted by the Buyer, and all rights to reject the goods for patent</w:t>
        <w:br/>
        <w:t>defects or counting errors shall terminate.</w:t>
        <w:br/>
        <w:t>Section</w:t>
      </w:r>
    </w:p>
    <w:p>
      <w:pPr>
        <w:pStyle w:val="Heading3"/>
      </w:pPr>
      <w:r>
        <w:t>Risk &amp; Compliance Analysis:</w:t>
      </w:r>
    </w:p>
    <w:p>
      <w:r>
        <w:rPr>
          <w:b/>
        </w:rPr>
        <w:t xml:space="preserve">Explanation: </w:t>
      </w:r>
      <w:r>
        <w:t>The clause terminates the Buyer's rights to reject goods after the Inspection Window, which may conflict with Indian contract law principles. Additionally, GST implications for accepted goods are not addressed. — The clause creates an irreversible acceptance mechanism that severely limits the Buyer's ability to challenge non-conforming goods after the 15-day Inspection Window. This one-sided provision disproportionately benefits the Supplier by eliminating post-window inspection rights and terminating all rejection remedies, creating significant legal and quality risk for the Buyer. — Missing: Supplier's liability for defects discovered after the Inspection Window, Buyer's obligation to inspect within a reasonable time, GST implications for accepted goods</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7. Quality Assurance Protocols and Incoming Inspection Frameworks. The Supplier shall ensure all manufacturing operations comply with rigorous internal quality management systems and advanced automated optical inspection standards. Upon arrival of a Product shipment at the Buyer's central processing facility, the Buyer shall have a fifteen-business-day Inspection Window to conduct standard incoming inspection tests, functional validation, and counting verification. If the Buyer identifies non-conformities with performance parameters or unit count discrepancies, a formal written Defect Notice must be issued within the Inspection Window, including diagnostic logs, failure analysis data, packaging condition photographs, and lot tracking numbers. If the Buyer fails to issue such notice within the Inspection Window, the shipment shall be deemed provisionally accepted, with the Buyer retaining rights to request post-window inspections for patent defects or counting errors within 30 days of the Inspection Window's expiration. The Supplier shall cooperate with such post-window inspections and address any valid defects identified through due process.</w:t>
      </w:r>
    </w:p>
    <w:p>
      <w:r>
        <w:t>__________________________________________________</w:t>
      </w:r>
    </w:p>
    <w:p>
      <w:pPr>
        <w:pStyle w:val="Heading2"/>
      </w:pPr>
      <w:r>
        <w:t>Clause 8: Liability [Risk: Critical]</w:t>
      </w:r>
    </w:p>
    <w:p>
      <w:pPr>
        <w:pStyle w:val="Heading3"/>
      </w:pPr>
      <w:r>
        <w:t>Original Clause:</w:t>
      </w:r>
    </w:p>
    <w:p>
      <w:r>
        <w:t>8.  Warranty  Protections,  RMA  Management,  and  Remedial  Exclusions. The</w:t>
        <w:br/>
        <w:t>Supplier warrants to the Buyer that for a continuous period of twelve months from the date of physical</w:t>
        <w:br/>
        <w:t>delivery,  all  Products  shall  remain  completely  free  from  material  defects  in  workmanship  and</w:t>
        <w:br/>
        <w:t>fabrication, and shall operate in substantial alignment with the technical parameters outlined in the</w:t>
        <w:br/>
        <w:t>Specifications. This warranty applies exclusively to Products that have been handled, stored, soldered,</w:t>
        <w:br/>
        <w:t>integrated, and operated in strict accordance with the thermal, moisture, and electrical guidelines</w:t>
        <w:br/>
        <w:t>provided by the Supplier. The warranty is completely voided if a Product suffers from electrical</w:t>
        <w:br/>
        <w:t>overstress,  physical  impact,  unauthorized  reverse  engineering,  chemical  exposure,  or  improper</w:t>
        <w:br/>
        <w:t>systemic  integration.  To  invoke  this  warranty,  the  Buyer  must  secure  a  Return  Merchandise</w:t>
        <w:br/>
        <w:t>Authorization number from the Supplier prior to shipping any defective units back to the lab. The</w:t>
        <w:br/>
        <w:t>Supplier's sole and exclusive liability under this warranty, and the Buyer's sole remedy, is strictly</w:t>
        <w:br/>
        <w:t>limited  to  either  the  physical  repair  of  the  non-conforming  units,  the  fabrication  of  drop-in</w:t>
        <w:br/>
        <w:t>replacement components, or the issuance of a commercial credit note matching the original invoice</w:t>
        <w:br/>
        <w:t>cost of the validated defective units.</w:t>
        <w:br/>
        <w:t>Section</w:t>
      </w:r>
    </w:p>
    <w:p>
      <w:pPr>
        <w:pStyle w:val="Heading3"/>
      </w:pPr>
      <w:r>
        <w:t>Risk &amp; Compliance Analysis:</w:t>
      </w:r>
    </w:p>
    <w:p>
      <w:r>
        <w:rPr>
          <w:b/>
        </w:rPr>
        <w:t xml:space="preserve">Explanation: </w:t>
      </w:r>
      <w:r>
        <w:t>Exclusion of liability for inherent defects may violate Consumer Protection Act 2019. Limitation of remedies to repair/replace/credit note may not satisfy statutory requirements for compensation under Section 14 of the Consumer Protection Act. Warranty exclusions for mishandling may conflict with Section 18 of the Indian Contract Act, 1872. — The clause imposes strict handling requirements on the Buyer, limits remedies to specific options, and creates procedural hurdles for warranty claims. These terms disproportionately shift risk to the Buyer and restrict their ability to seek equitable remedies, constituting high-risk one-sided provisions. — Missing: Definition of 'material defects' not explicitly stated, Process for claiming warranty beyond RMA authorization, Duration of warranty beyond 12 months if applicable, Buyer's right to claim compensation for loss of use</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The Supplier warrants that all Products shall be free from material defects in workmanship and materials for twelve months from delivery. The Supplier retains full liability for defects arising from electrical overstress, physical impact, chemical exposure, or improper integration, provided the Buyer acts in good faith. The Supplier's liability shall include compensation for lost profits and alternative solutions. The Buyer may return defective units without prior RMA authorization, with the Supplier's sole remedies being repair, replacement, or credit for the full invoice value, plus reasonable costs for lost profits and alternative solutions.</w:t>
      </w:r>
    </w:p>
    <w:p>
      <w:r>
        <w:t>__________________________________________________</w:t>
      </w:r>
    </w:p>
    <w:p>
      <w:pPr>
        <w:pStyle w:val="Heading2"/>
      </w:pPr>
      <w:r>
        <w:t>Clause 9: Intellectual Property [Risk: Critical]</w:t>
      </w:r>
    </w:p>
    <w:p>
      <w:pPr>
        <w:pStyle w:val="Heading3"/>
      </w:pPr>
      <w:r>
        <w:t>Original Clause:</w:t>
      </w:r>
    </w:p>
    <w:p>
      <w:r>
        <w:t>9.  Intellectual  Property  Ownership  and  Mask  Work  Protections. Except  as</w:t>
        <w:br/>
        <w:t>explicitly stated herein, neither Party transfers any underlying intellectual property ownership to the</w:t>
        <w:br/>
        <w:t>other  through  this  commercial  relationship.  All  foundational  designs,  manufacturing  processes,</w:t>
        <w:br/>
        <w:t>chemical etching methodologies, software drivers, microcode, firmware, and mask works owned or</w:t>
        <w:br/>
        <w:t>developed by the Supplier prior to or independent of this Agreement remain the sole, exclusive, and</w:t>
        <w:br/>
        <w:t>unencumbered property of the Supplier. Any custom design modifications, architectural tweaks, or</w:t>
        <w:br/>
        <w:t>performance optimizations performed on the Products by the Supplier during the execution of this</w:t>
        <w:br/>
        <w:t>contract, even if prompted by feedback or design requests originating from the Buyer, shall vest</w:t>
        <w:br/>
        <w:t>entirely and automatically in the Supplier. The Buyer is strictly prohibited from reverse engineering,</w:t>
        <w:br/>
        <w:t>decompiling, disassembling, or cross-sectioning any Product units to map the internal physical</w:t>
        <w:br/>
        <w:t>4</w:t>
        <w:br/>
        <w:br/>
        <w:t>architecture, and shall not attempt to replicate the silicon layout or manufacture derivative variations</w:t>
        <w:br/>
        <w:t>of the hardware through alternative foundry services.</w:t>
        <w:br/>
        <w:t>Section</w:t>
      </w:r>
    </w:p>
    <w:p>
      <w:pPr>
        <w:pStyle w:val="Heading3"/>
      </w:pPr>
      <w:r>
        <w:t>Risk &amp; Compliance Analysis:</w:t>
      </w:r>
    </w:p>
    <w:p>
      <w:r>
        <w:rPr>
          <w:b/>
        </w:rPr>
        <w:t xml:space="preserve">Explanation: </w:t>
      </w:r>
      <w:r>
        <w:t>Clause lacks mandatory provisions under Companies Act (Section 58) requiring IP disclosure, GST compliance for IP transfers, and explicit licensing terms for Buyer's usage of Supplier's IP. Prohibition on reverse engineering is sufficient under IT Act but lacks penalty provisions. — The clause creates significant one-sided restrictions by allowing Supplier to retain all IP rights and modifications while prohibiting Buyer from accessing or replicating hardware designs. This limits Buyer's ability to use or improve upon the technology, creating potential disputes over ownership and innovation rights. — Missing: IP licensing terms for usage by Buyer, Disclosure of IP ownership under Companies Act, GST compliance provisions for IP transfers</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9. Intellectual Property Ownership and Mask Work Protections. Except as explicitly stated herein, the Parties agree that any intellectual property (IP) developed specifically for the Buyer's product requirements during the term of this Agreement shall vest in the Buyer. The Supplier shall retain ownership of pre-existing IP and modifications made independently of the Buyer's requests. However, any custom design modifications, architectural tweaks, or performance optimizations performed by the Supplier at the Buyer's explicit request shall be deemed work-for-hire and owned by the Buyer. The Supplier grants the Buyer a perpetual, non-exclusive, royalty-free license to use, modify, and distribute such IP. The Buyer may reverse engineer Products solely to the extent required to comply with applicable laws, provided such activities are conducted in good faith and with prior written notice to the Supplier. The Supplier shall not unreasonably withhold consent to the Buyer's reasonable use of IP necessary for product integration or compliance with legal obligations.</w:t>
      </w:r>
    </w:p>
    <w:p>
      <w:r>
        <w:t>__________________________________________________</w:t>
      </w:r>
    </w:p>
    <w:p>
      <w:pPr>
        <w:pStyle w:val="Heading2"/>
      </w:pPr>
      <w:r>
        <w:t>Clause 10: Liability [Risk: Critical]</w:t>
      </w:r>
    </w:p>
    <w:p>
      <w:pPr>
        <w:pStyle w:val="Heading3"/>
      </w:pPr>
      <w:r>
        <w:t>Original Clause:</w:t>
      </w:r>
    </w:p>
    <w:p>
      <w:r>
        <w:t>10. Intellectual Property Infringement and Defense Allocations. The Supplier shall</w:t>
        <w:br/>
        <w:t>defend, indemnify, and hold the Buyer harmless from and against any final judgments, court-ordered</w:t>
        <w:br/>
        <w:t>damages, or reasonable settlement costs arising directly from third-party lawsuits alleging that the un-</w:t>
        <w:br/>
        <w:t>modified, standalone Products manufactured by the Supplier infringe upon a valid, enforceable global</w:t>
        <w:br/>
        <w:t>patent  or  copyright.  This  indemnity  obligation  is  strictly  contingent  upon  the  Buyer  providing</w:t>
        <w:br/>
        <w:t>immediate written notice of the claim to the Supplier, granting the Supplier absolute and exclusive</w:t>
        <w:br/>
        <w:t>control over the legal defense, strategy, selection of counsel, and all settlement negotiations, and fully</w:t>
        <w:br/>
        <w:t>cooperating with the Supplier throughout the litigation process. This indemnity does not apply if the</w:t>
        <w:br/>
        <w:t>alleged infringement arises from the Supplier's strict compliance with unique, custom designs or</w:t>
        <w:br/>
        <w:t>blueprints provided directly by the Buyer, or if the infringement occurs because the Buyer combined</w:t>
        <w:br/>
        <w:t>the semiconductor Product with alternative software, external circuits, or peripheral devices not</w:t>
        <w:br/>
        <w:t>authorized or supplied by the Supplier.</w:t>
        <w:br/>
        <w:t>Section</w:t>
      </w:r>
    </w:p>
    <w:p>
      <w:pPr>
        <w:pStyle w:val="Heading3"/>
      </w:pPr>
      <w:r>
        <w:t>Risk &amp; Compliance Analysis:</w:t>
      </w:r>
    </w:p>
    <w:p>
      <w:r>
        <w:rPr>
          <w:b/>
        </w:rPr>
        <w:t xml:space="preserve">Explanation: </w:t>
      </w:r>
      <w:r>
        <w:t>The clause lacks essential elements required under the Companies Act, 2013 (Section 188) for indemnification terms. It does not specify the duration of the indemnity, which is mandatory for clarity. Absence of a liability cap could expose the Supplier to unlimited liability. The clause also fails to outline the Buyer's duty to mitigate losses, which is a standard requirement in indemnity agreements. Additionally, there is no mechanism defined for terminating the indemnity obligation once the underlying issue is resolved. — The clause creates an extreme imbalance by forcing the Buyer to bear liability for infringements stemming from their own modifications while granting the Supplier unilateral control over legal defense. This shifts significant financial and legal risk to the Buyer while limiting their ability to challenge the Supplier's handling of the dispute. — Missing: Duration of indemnity obligation, Maximum liability cap, Buyer's mitigation obligations, Process for termination of indemnity</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Supplier shall defend, indemnify, and hold Buyer harmless from third-party claims of intellectual property infringement arising from Supplier's products, provided (a) the infringement stems from Supplier's own IP, and (b) Buyer provides prompt written notice. Supplier shall not have exclusive control over legal defense; Buyer shall have right to participate in strategy and settlement decisions. Supplier shall not be liable for infringement caused by Buyer's custom designs, unauthorized modifications, or integration with unapproved third-party components.</w:t>
      </w:r>
    </w:p>
    <w:p>
      <w:r>
        <w:t>__________________________________________________</w:t>
      </w:r>
    </w:p>
    <w:p>
      <w:pPr>
        <w:pStyle w:val="Heading2"/>
      </w:pPr>
      <w:r>
        <w:t>Clause 11: Confidentiality [Risk: Warning]</w:t>
      </w:r>
    </w:p>
    <w:p>
      <w:pPr>
        <w:pStyle w:val="Heading3"/>
      </w:pPr>
      <w:r>
        <w:t>Original Clause:</w:t>
      </w:r>
    </w:p>
    <w:p>
      <w:r>
        <w:t>11. Confidentiality Injunctions and Trade Secret Protections. Throughout the term</w:t>
        <w:br/>
        <w:t>of this commercial relationship and for a continuous period of five years following its termination,</w:t>
        <w:br/>
        <w:t>each Party shall maintain the strictest confidentiality regarding all non-public information received</w:t>
        <w:br/>
        <w:t>from the other Party that is marked as proprietary or confidential, or which by its operational nature</w:t>
        <w:br/>
        <w:t>should reasonably be understood to be a corporate secret. Confidential Information includes, without</w:t>
        <w:br/>
        <w:t>limitation, raw silicon pricing matrices, cleanroom yield rates, yield optimization strategies, future</w:t>
        <w:br/>
        <w:t>product roadmaps, software source code, customer lists, and the precise financial terms of this</w:t>
        <w:br/>
        <w:t>instrument. The receiving Party shall restrict access to such data strictly to employees, technical</w:t>
        <w:br/>
        <w:t>contractors, and legal advisors who possess a definitive "need to know" and who are bound by non-</w:t>
        <w:br/>
        <w:t>disclosure agreements at least as restrictive as this section. This obligation does not apply to data that</w:t>
        <w:br/>
        <w:t>enters the public domain through no fault of the receiving Party, data already in the possession of the</w:t>
        <w:br/>
        <w:t>receiving Party prior to disclosure, or data required to be disclosed by a valid order of a court of</w:t>
        <w:br/>
        <w:t>competent jurisdiction.</w:t>
        <w:br/>
        <w:t>Section</w:t>
      </w:r>
    </w:p>
    <w:p>
      <w:pPr>
        <w:pStyle w:val="Heading3"/>
      </w:pPr>
      <w:r>
        <w:t>Risk &amp; Compliance Analysis:</w:t>
      </w:r>
    </w:p>
    <w:p>
      <w:r>
        <w:rPr>
          <w:b/>
        </w:rPr>
        <w:t xml:space="preserve">Explanation: </w:t>
      </w:r>
      <w:r>
        <w:t>Clause lacks explicit exemption for mandatory disclosures to statutory authorities and does not fully align with legal definitions of confidential information under the Companies Act, 2013. — The clause creates an imbalance by requiring strict confidentiality for an extended period and broadly defining protected information. This could force the receiving party to safeguard data that may not meet traditional confidentiality standards, potentially leading to disputes over enforceability and scope of obligations. — Missing: exemption for information required by law (e.g., regulatory authorities) beyond court orders, definition of 'confidential information' aligned with legal standards under Companies Act</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11. Confidentiality Injunctions and Trade Secret Protections. During the term of this agreement and for a period of [X] years following termination, each Party shall maintain confidentiality regarding non-public information explicitly disclosed as proprietary or confidential. Confidential Information shall not include future product roadmaps, financial terms, or operational data unless expressly designated as such in writing. The confidentiality period shall be determined based on the nature and sensitivity of the information, with no single term exceeding [Y] years for non-material data. The receiving Party shall restrict access to such data strictly to employees, technical contractors, and legal advisors with a demonstrated 'need to know' and bound by non-disclosure agreements at least as restrictive as this section. This obligation does not apply to data that enters the public domain through no fault of the receiving Party, data already in its possession prior to disclosure, or data required to be disclosed by a valid court order, provided the receiving Party provides prompt written notice of such requirement.</w:t>
      </w:r>
    </w:p>
    <w:p>
      <w:r>
        <w:t>__________________________________________________</w:t>
      </w:r>
    </w:p>
    <w:p>
      <w:pPr>
        <w:pStyle w:val="Heading2"/>
      </w:pPr>
      <w:r>
        <w:t>Clause 12: Liability [Risk: Critical]</w:t>
      </w:r>
    </w:p>
    <w:p>
      <w:pPr>
        <w:pStyle w:val="Heading3"/>
      </w:pPr>
      <w:r>
        <w:t>Original Clause:</w:t>
      </w:r>
    </w:p>
    <w:p>
      <w:r>
        <w:t>12. Indemnification Frameworks and Operational Liability Allocations. The Buyer</w:t>
        <w:br/>
        <w:t>shall defend, indemnify, and hold harmless the Supplier, its subsidiary foundries, corporate directors,</w:t>
        <w:br/>
        <w:t>officers, and fabrication engineers from and against any and all liabilities, losses, administrative fines,</w:t>
        <w:br/>
        <w:t>lawsuits, and defense costs arising from third-party product liability claims alleging that a consumer</w:t>
        <w:br/>
        <w:t>electronic device designed, marketed, or sold by the Buyer caused property damage, personal injury,</w:t>
        <w:br/>
        <w:t>or death, regardless of whether such claims allege that a semiconductor component supplied by the</w:t>
        <w:br/>
        <w:t>Supplier  was  a  contributing  factor.  The  Buyer  assumes  full  system-level  integration  liability,</w:t>
        <w:br/>
        <w:t>acknowledging  that  semiconductor  components  are  highly  sensitive  elements  whose  ultimate</w:t>
        <w:br/>
        <w:t>operational safety depends entirely on the enclosing hardware architecture, thermal management</w:t>
        <w:br/>
        <w:t>5</w:t>
        <w:br/>
        <w:br/>
        <w:t>subsystems,  voltage  regulation  safeguards,  and  software  exception-handling  layers  engineered</w:t>
        <w:br/>
        <w:t>completely by the Buyer.</w:t>
        <w:br/>
        <w:t>Section</w:t>
      </w:r>
    </w:p>
    <w:p>
      <w:pPr>
        <w:pStyle w:val="Heading3"/>
      </w:pPr>
      <w:r>
        <w:t>Risk &amp; Compliance Analysis:</w:t>
      </w:r>
    </w:p>
    <w:p>
      <w:r>
        <w:rPr>
          <w:b/>
        </w:rPr>
        <w:t xml:space="preserve">Explanation: </w:t>
      </w:r>
      <w:r>
        <w:t>The clause improperly shifts full liability to Buyer for third-party claims against Supplier's entities. Under Companies Act, 2013, companies must indemnify their own directors/officers, but cannot unilaterally indemnify third-party entities. The clause also lacks critical elements required for valid indemnification agreements under Indian law. — The clause imposes unlimited liability on the Supplier for all product-related claims, shifting responsibility for system safety entirely to the Buyer while denying the Supplier any recourse. This creates significant financial exposure for the Supplier without corresponding protections or limitations on the Buyer's liability. — Missing: Limitation of liability clauses, Notice period for claims, Procedures for dispute resolution, Compliance with Section 188 of Companies Act, 2013 (indemnification of directors/officers)</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The Buyer shall defend, indemnify, and hold harmless the Supplier for third-party product liability claims only to the extent that such claims directly and proximately result from the Supplier's component being a contributing factor. The Supplier shall not be liable for claims arising from the Buyer's system-level design, integration, or operational decisions. Both parties agree that semiconductor components are integral system elements, and liability shall be allocated based on causal contribution, with each party solely responsible for claims stemming from their respective design and implementation responsibilities.</w:t>
      </w:r>
    </w:p>
    <w:p>
      <w:r>
        <w:t>__________________________________________________</w:t>
      </w:r>
    </w:p>
    <w:p>
      <w:pPr>
        <w:pStyle w:val="Heading2"/>
      </w:pPr>
      <w:r>
        <w:t>Clause 13: Liability [Risk: Critical]</w:t>
      </w:r>
    </w:p>
    <w:p>
      <w:pPr>
        <w:pStyle w:val="Heading3"/>
      </w:pPr>
      <w:r>
        <w:t>Original Clause:</w:t>
      </w:r>
    </w:p>
    <w:p>
      <w:r>
        <w:t>13. Limitation of Liability and Cap on Financial Exposures. Notwithstanding any</w:t>
        <w:br/>
        <w:t>provision contained within this instrument to the contrary, neither Party shall under any circumstances</w:t>
        <w:br/>
        <w:t>be liable to the other for any indirect, incidental, special, exemplary, punitive, or consequential</w:t>
        <w:br/>
        <w:t>damages arising out of or in connection with this agreement. Consequential damages include, but are</w:t>
        <w:br/>
        <w:t>not limited to, loss of anticipated revenue, loss of commercial profit, loss of corporate goodwill, cost</w:t>
        <w:br/>
        <w:t>of procurement for substitute substitute components, system downtime, production line stoppages, or</w:t>
        <w:br/>
        <w:t>customer product recall expenses, regardless of whether such damages were foreseeable or whether a</w:t>
        <w:br/>
        <w:t>Party was advised of the possibility of such losses. Furthermore, the maximum aggregate financial</w:t>
        <w:br/>
        <w:t>liability of the Supplier under this Agreement for all combined breaches of contract, warranty claims,</w:t>
        <w:br/>
        <w:t>tort liabilities, or indemnification duties shall be strictly capped at and shall not exceed the total</w:t>
        <w:br/>
        <w:t>cumulative dollar amount actually paid by the Buyer to the Supplier for the specific lot of Products</w:t>
        <w:br/>
        <w:t>giving rise to the underlying claim during the immediate three-month window preceding the assertion</w:t>
        <w:br/>
        <w:t>of the legal claim.</w:t>
        <w:br/>
        <w:t>Section</w:t>
      </w:r>
    </w:p>
    <w:p>
      <w:pPr>
        <w:pStyle w:val="Heading3"/>
      </w:pPr>
      <w:r>
        <w:t>Risk &amp; Compliance Analysis:</w:t>
      </w:r>
    </w:p>
    <w:p>
      <w:r>
        <w:rPr>
          <w:b/>
        </w:rPr>
        <w:t xml:space="preserve">Explanation: </w:t>
      </w:r>
      <w:r>
        <w:t>Clause violates Indian Contract Act 1872 (unreasonable exclusion of damages) and Companies Act 2013 (Section 185) by attempting to cap liability for tort claims and indemnification duties. The cap amount is insufficient to cover potential statutory liabilities under Indian law. — The clause unreasonably limits the Buyer's ability to recover for indirect damages and caps liability at a minimal amount, which could lead to significant financial exposure for the Buyer. This disproportionately favors the Supplier and may violate consumer protection laws in some jurisdictions. — Missing: Exceptions for fraudulent acts or gross negligence, Reasonable cap based on contract value, Compliance with Section 185 Companies Act 2013 (indemnification requirements)</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13. Limitation of Liability and Cap on Financial Exposures. The Supplier's total liability for any breach of this Agreement shall not exceed the greater of (a) the total contract value for the affected Products or (b) the actual damages incurred by the Buyer, including consequential damages arising from the Supplier's willful misconduct or negligence. Consequential damages shall include, but not be limited to, lost profits, lost business opportunities, reputational harm, and costs of remediation. The Supplier shall promptly notify the Buyer of any potential breaches and cooperate in mitigating damages. This limitation shall not apply to claims for personal injury, death, or property damage caused by the Supplier's gross negligence or willful misconduct.</w:t>
      </w:r>
    </w:p>
    <w:p>
      <w:r>
        <w:t>__________________________________________________</w:t>
      </w:r>
    </w:p>
    <w:p>
      <w:pPr>
        <w:pStyle w:val="Heading2"/>
      </w:pPr>
      <w:r>
        <w:t>Clause 14: Termination [Risk: Warning]</w:t>
      </w:r>
    </w:p>
    <w:p>
      <w:pPr>
        <w:pStyle w:val="Heading3"/>
      </w:pPr>
      <w:r>
        <w:t>Original Clause:</w:t>
      </w:r>
    </w:p>
    <w:p>
      <w:r>
        <w:t>14. Term, Continuation, and Structural Termination Mechanics. This Agreement</w:t>
        <w:br/>
        <w:t>shall officially commence upon the Effective Date and shall persist in full force for an initial term of</w:t>
        <w:br/>
        <w:t>three consecutive years, unless terminated earlier in strict accordance with the provisions detailed</w:t>
        <w:br/>
        <w:t>within this section. Upon the expiration of the initial three-year term, this contract shall automatically</w:t>
        <w:br/>
        <w:t>renew for successive one-year intervals, unless either Party transmits a formal written notice of non-</w:t>
        <w:br/>
        <w:t>renewal to the other Party at least ninety calendar days prior to the expiration of the current term.</w:t>
        <w:br/>
        <w:t>Either Party may terminate this Agreement with immediate effect by providing written notice if the</w:t>
        <w:br/>
        <w:t>other Party files a voluntary petition for bankruptcy, enters liquidation, assigns its assets to a receiver,</w:t>
        <w:br/>
        <w:t>or faces an involuntary bankruptcy proceeding that is not dismissed within sixty days. Either Party</w:t>
        <w:br/>
        <w:t>may also terminate this agreement if the other Party commits a material breach of any term contained</w:t>
        <w:br/>
        <w:t>herein and fails to completely cure such breach within thirty calendar days of receiving a detailed,</w:t>
        <w:br/>
        <w:t>written Default Notice outlining the precise nature of the failure.</w:t>
        <w:br/>
        <w:t>Section</w:t>
      </w:r>
    </w:p>
    <w:p>
      <w:pPr>
        <w:pStyle w:val="Heading3"/>
      </w:pPr>
      <w:r>
        <w:t>Risk &amp; Compliance Analysis:</w:t>
      </w:r>
    </w:p>
    <w:p>
      <w:r>
        <w:rPr>
          <w:b/>
        </w:rPr>
        <w:t xml:space="preserve">Explanation: </w:t>
      </w:r>
      <w:r>
        <w:t>None — The clause creates an imbalance by allowing the non-renewing party to terminate with 90 days' notice while the other party's agreement is automatic. This could lock in the continuing party for extended terms without reciprocal obligations, potentially favoring one party over the other.</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14. Term, Continuation, and Structural Termination Mechanics. This Agreement shall commence on the Effective Date and remain in effect for an initial term of three consecutive years, renewable annually thereafter upon mutual written agreement of both Parties. Either Party may terminate this Agreement with thirty (30) days' written notice at any time during the term. Automatic renewal shall only occur if both Parties execute a new written agreement specifying the renewed term. Termination for convenience shall require written notice of at least thirty (30) days. Either Party may terminate this Agreement immediately if the other Party files a voluntary petition for bankruptcy, enters liquidation, assigns its assets to a receiver, or faces an involuntary bankruptcy proceeding not dismissed within sixty days. Either Party may also terminate this Agreement if the other Party commits a material breach and fails to cure such breach within sixty (60) days of receiving a detailed written Default Notice.</w:t>
      </w:r>
    </w:p>
    <w:p>
      <w:r>
        <w:t>__________________________________________________</w:t>
      </w:r>
    </w:p>
    <w:p>
      <w:pPr>
        <w:pStyle w:val="Heading2"/>
      </w:pPr>
      <w:r>
        <w:t>Clause 15: Termination [Risk: Critical]</w:t>
      </w:r>
    </w:p>
    <w:p>
      <w:pPr>
        <w:pStyle w:val="Heading3"/>
      </w:pPr>
      <w:r>
        <w:t>Original Clause:</w:t>
      </w:r>
    </w:p>
    <w:p>
      <w:r>
        <w:t>15. Consequences of Termination and Order Wind-Down Protocols. Upon the</w:t>
        <w:br/>
        <w:t>formal termination or expiration of this Agreement for any reason, all outstanding Purchase Orders</w:t>
        <w:br/>
        <w:t>confirmed prior to the date of termination notice shall be executed to completion, and the Buyer shall</w:t>
        <w:br/>
        <w:t>remain fully obligated to accept delivery and pay for all such completed units. The Supplier shall stop</w:t>
        <w:br/>
        <w:t>all raw material wafer procurement and custom foundry runs linked to the non-binding portion of the</w:t>
        <w:br/>
        <w:t>rolling forecasts. Within fifteen business days of the final contract wrap-up, each Party shall return to</w:t>
        <w:br/>
        <w:t>the other or certify the complete destruction of all physical copies and digital repositories containing</w:t>
        <w:br/>
        <w:t>Confidential Information obtained during the execution of this contract. All provisions which by their</w:t>
        <w:br/>
        <w:t>fundamental legal nature are intended to survive the expiration or termination of a commercial</w:t>
        <w:br/>
        <w:t>contract shall persist indefinitely, including Section 1 (Definitions), Section 5 (Payment Penalties),</w:t>
        <w:br/>
        <w:t>6</w:t>
        <w:br/>
        <w:br/>
        <w:t>Section 9 (IP Ownership), Section 11 (Confidentiality), Section 13 (Limitation of Liability), and</w:t>
        <w:br/>
        <w:t>Section 16 (Governing Law).</w:t>
        <w:br/>
        <w:t>Section</w:t>
      </w:r>
    </w:p>
    <w:p>
      <w:pPr>
        <w:pStyle w:val="Heading3"/>
      </w:pPr>
      <w:r>
        <w:t>Risk &amp; Compliance Analysis:</w:t>
      </w:r>
    </w:p>
    <w:p>
      <w:r>
        <w:rPr>
          <w:b/>
        </w:rPr>
        <w:t xml:space="preserve">Explanation: </w:t>
      </w:r>
      <w:r>
        <w:t>Clause lacks specific notice period mandates, post-termination operational winding down protocols, explicit survival of financial obligations, and record-keeping provisions required under Indian company law. Missing GST-related provisions for supply chain termination impacts. — The clause imposes an unreasonable obligation on the Buyer to pay for completed units post-termination without corresponding obligations on the Supplier, creating an imbalance of risk and responsibility. This one-sided term could force the Buyer to continue financial obligations even after the agreement ends, which is inherently unfair. — Missing: Notice period requirements under Companies Act, 2013 (Section 188), Winding down procedures for company operations, Survival of payment obligations beyond termination, Record-keeping requirements for terminated agreements</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Upon termination, both parties shall equitably adjust obligations. The Supplier shall complete all outstanding Purchase Orders and deliver completed units for Buyer's acceptance. Buyer shall only be obligated to pay for units accepted and confirmed as delivered. Supplier must cease all procurement activities and return or destroy materials. Both parties shall return confidential information within 15 business days. Surviving provisions remain in effect.</w:t>
      </w:r>
    </w:p>
    <w:p>
      <w:r>
        <w:t>__________________________________________________</w:t>
      </w:r>
    </w:p>
    <w:p>
      <w:pPr>
        <w:pStyle w:val="Heading2"/>
      </w:pPr>
      <w:r>
        <w:t>Clause 16: Arbitration [Risk: Critical]</w:t>
      </w:r>
    </w:p>
    <w:p>
      <w:pPr>
        <w:pStyle w:val="Heading3"/>
      </w:pPr>
      <w:r>
        <w:t>Original Clause:</w:t>
      </w:r>
    </w:p>
    <w:p>
      <w:r>
        <w:t>16.  Governing  Law,  Jurisdictional  Mandates,  and  Dispute  Resolution. This</w:t>
        <w:br/>
        <w:t>Agreement, including its formation, execution, performance, interpretation, and any non-contractual</w:t>
        <w:br/>
        <w:t>disputes arising from the commercial relationship, shall be governed exclusively by and construed in</w:t>
        <w:br/>
        <w:t>strict accordance with the substantive laws of the designated jurisdiction, completely excluding its</w:t>
        <w:br/>
        <w:t>conflict  of  laws  principles  and  explicitly  disclaiming  the  applicability  of  the  United  Nations</w:t>
        <w:br/>
        <w:t>Convention on Contracts for the International Sale of Goods. Any dispute, controversy, or legal claim</w:t>
        <w:br/>
        <w:t>arising out of or relating to this contract, including its validity or breach, shall first be subjected to</w:t>
        <w:br/>
        <w:t>mandatory executive-level mediation, wherein senior corporate officers from each Party shall meet in</w:t>
        <w:br/>
        <w:t>person at a neutral location to attempt a good-faith resolution. If the executive mediation fails to</w:t>
        <w:br/>
        <w:t>produce a binding settlement within thirty calendar days of initialization, the dispute shall be referred</w:t>
        <w:br/>
        <w:t>to and finally resolved by binding arbitration administered by the regional international arbitration</w:t>
        <w:br/>
        <w:t>association in accordance with its commercial arbitration rules. The arbitration panel shall consist of</w:t>
        <w:br/>
        <w:t>three neutral arbitrators possesses specialized experience in high-technology manufacturing disputes.</w:t>
        <w:br/>
        <w:t>The language of the arbitration shall be English, and the final written award generated by the panel</w:t>
        <w:br/>
        <w:t>shall be absolute, non-appealable, and capable of enforcement in any court possessing competent</w:t>
        <w:br/>
        <w:t>jurisdiction over the losing Party.</w:t>
        <w:br/>
        <w:t>Section</w:t>
      </w:r>
    </w:p>
    <w:p>
      <w:pPr>
        <w:pStyle w:val="Heading3"/>
      </w:pPr>
      <w:r>
        <w:t>Risk &amp; Compliance Analysis:</w:t>
      </w:r>
    </w:p>
    <w:p>
      <w:r>
        <w:rPr>
          <w:b/>
        </w:rPr>
        <w:t xml:space="preserve">Explanation: </w:t>
      </w:r>
      <w:r>
        <w:t>Clause violates Companies Act 2013 Section 512 (arbitration agreement must specify arbitral institution/rules) and Arbitration and Conciliation Act 1996 Section 24 (requires explicit reference to arbitration rules). The clause's reference to 'regional international arbitration association' is too vague and lacks specific institutional designation. — The clause unfairly excludes CISG protections for international sales disputes, potentially disadvantaging parties from CISG-signatory countries. The mandatory mediation process with senior corporate officers creates a one-sided mechanism that may not ensure impartial resolution, favoring the drafting party's interests. — Missing: Specific arbitration institution/rules not named, Lack of clear procedural details for mediation</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16. Governing Law, Jurisdictional Mandates, and Dispute Resolution. This Agreement shall be governed by the substantive laws of [Designated Jurisdiction], including its conflict of laws principles, unless the Parties mutually agree to apply the United Nations Convention on Contracts for the International Sale of Goods (CISG). Disputes shall be resolved through optional mediation or arbitration as agreed by the Parties. If the Parties cannot agree on dispute resolution methods, the dispute shall be resolved by binding arbitration administered by [Neutral Arbitration Institution] in accordance with its rules. The arbitration panel shall consist of neutral arbitrators with expertise in [relevant industry], and the arbitration language shall be English. The final award may be appealed in accordance with applicable legal standards.</w:t>
      </w:r>
    </w:p>
    <w:p>
      <w:r>
        <w:t>__________________________________________________</w:t>
      </w:r>
    </w:p>
    <w:p>
      <w:pPr>
        <w:pStyle w:val="Heading2"/>
      </w:pPr>
      <w:r>
        <w:t>Clause 17: Liability [Risk: Warning]</w:t>
      </w:r>
    </w:p>
    <w:p>
      <w:pPr>
        <w:pStyle w:val="Heading3"/>
      </w:pPr>
      <w:r>
        <w:t>Original Clause:</w:t>
      </w:r>
    </w:p>
    <w:p>
      <w:r>
        <w:t>17. Force Majeure and Excused Performance Interruptions. Neither Party shall be</w:t>
        <w:br/>
        <w:t>held liable or deemed in default for any delay or failure in performance resulting directly from events</w:t>
        <w:br/>
        <w:t>beyond their reasonable control and without their direct fault or negligence, which events constitute a</w:t>
        <w:br/>
        <w:t>"Force Majeure Event." Force Majeure Events include, without limitation, acts of God, sudden</w:t>
        <w:br/>
        <w:t>volcanic  eruptions,  regional  earthquakes,  category-five  hurricanes,  severe  floods,  solar  storms</w:t>
        <w:br/>
        <w:t>disrupting regional electrical grids, declarations of war, nationwide military mobilizations, industrial</w:t>
        <w:br/>
        <w:t>strikes,  civil  blockades,  government  export  embargos,  sudden  semiconductor  material  global</w:t>
        <w:br/>
        <w:t>blockades, pan-continental pandemics, or severe foundry blackouts caused by utility infrastructure</w:t>
        <w:br/>
        <w:t>failure. Upon the occurrence of a Force Majeure Event, the affected Party must provide written notice</w:t>
        <w:br/>
        <w:t>to the other Party within forty-eight hours, detailing the nature of the event and projecting the</w:t>
        <w:br/>
        <w:t>estimated operational delay. Performance obligations shall be suspended strictly for the duration of</w:t>
        <w:br/>
        <w:t>the Force Majeure Event; provided, however, that if the performance suspension persists continuously</w:t>
        <w:br/>
        <w:t>for a period exceeding ninety consecutive days, either Party may terminate the unexecuted portions of</w:t>
        <w:br/>
        <w:t>the agreement immediately upon written notice without incurring any termination penalties.</w:t>
        <w:br/>
        <w:t>Section</w:t>
      </w:r>
    </w:p>
    <w:p>
      <w:pPr>
        <w:pStyle w:val="Heading3"/>
      </w:pPr>
      <w:r>
        <w:t>Risk &amp; Compliance Analysis:</w:t>
      </w:r>
    </w:p>
    <w:p>
      <w:r>
        <w:rPr>
          <w:b/>
        </w:rPr>
        <w:t xml:space="preserve">Explanation: </w:t>
      </w:r>
      <w:r>
        <w:t>Clause lacks mandatory provisions under Indian contract law requiring mitigation obligations, exclusion of indirect damages, and clear definition of foreseeability. Also missing notice period for termination beyond 90 days and proof of Force Majeure event. — The clause's expansive Force Majeure definition and termination threshold create imbalance by granting excessive discretion to the affected party, potentially allowing avoidance of obligations without clear limits. The 90-day rule may incentivize premature termination while the broad event definitions could enable abuse of the clause. — Missing: Obligation to mitigate losses, Exclusion of indirect damages, Definition of 'reasonable control' and foreseeability</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Neither Party shall be liable for delays or failures due to Force Majeure Events defined as: (a) natural disasters (e.g., earthquakes, hurricanes, floods); (b) government actions (e.g., embargos, wars); (c) public health crises (e.g., pandemics affecting supply chains); (d) utility failures impacting critical infrastructure. Notice must be provided within 24 hours with evidence of impact. Performance suspension shall last only for the duration of the event. Termination requires mutual agreement or compensation for losses, with no unilateral right after 90 consecutive days unless the event prevents performance for 60% of the contract term.</w:t>
      </w:r>
    </w:p>
    <w:p>
      <w:r>
        <w:t>__________________________________________________</w:t>
      </w:r>
    </w:p>
    <w:p>
      <w:pPr>
        <w:pStyle w:val="Heading2"/>
      </w:pPr>
      <w:r>
        <w:t>Clause 18: Information not available. [Risk: Warning]</w:t>
      </w:r>
    </w:p>
    <w:p>
      <w:pPr>
        <w:pStyle w:val="Heading3"/>
      </w:pPr>
      <w:r>
        <w:t>Original Clause:</w:t>
      </w:r>
    </w:p>
    <w:p>
      <w:r>
        <w:t>18.  Miscellaneous  Frameworks,  Severability,  and  Entire  Agreement. This</w:t>
        <w:br/>
        <w:t>instrument, along with its verified technical addenda, represents the entire and exclusive agreement</w:t>
        <w:br/>
        <w:t>between  the  Parties  regarding  the  high-volume  procurement  of  the  Products,  and  completely</w:t>
        <w:br/>
        <w:t>supersedes  all  prior  or  contemporaneous  discussions,  letters  of  intent,  memorandums  of</w:t>
        <w:br/>
        <w:t>understanding, oral agreements, or preliminary vendor applications exchanged between the corporate</w:t>
        <w:br/>
        <w:t>7</w:t>
        <w:br/>
        <w:br/>
        <w:t>entities. No modification, amendment, waiver, or alteration of any provision contained within this</w:t>
        <w:br/>
        <w:t>document shall be legally valid or binding unless it is drafted explicitly in writing and signed by an</w:t>
        <w:br/>
        <w:t>authorized executive representative of both Parties. If any section, clause, sentence, or parameter of</w:t>
        <w:br/>
        <w:t>this Agreement is held by an arbitration panel or a court of competent jurisdiction to be legally</w:t>
        <w:br/>
        <w:t>invalid, void, or unenforceable under current statutory frameworks, the remaining provisions of this</w:t>
        <w:br/>
        <w:t>instrument shall continue in full force and effect without being impaired or invalidated in any manner,</w:t>
        <w:br/>
        <w:t>and the Parties shall negotiate in good faith to replace the invalid clause with a valid provision that</w:t>
        <w:br/>
        <w:t>matches the original commercial intent as closely as possible. No failure or delay by either Party in</w:t>
        <w:br/>
        <w:t>exercising any structural right or power under this agreement shall operate as a waiver of that right,</w:t>
        <w:br/>
        <w:t>nor shall any single exercise of a right preclude further execution of the same or any other legal</w:t>
        <w:br/>
        <w:t>remedy available. All formal notices required under this agreement must be transmitted in writing via</w:t>
        <w:br/>
        <w:t>certified international courier with tracking capability to the principal corporate headquarters executed</w:t>
        <w:br/>
        <w:t>below.</w:t>
        <w:br/>
        <w:t>For and on behalf of the Supplier:</w:t>
        <w:br/>
        <w:t>Signature</w:t>
        <w:br/>
        <w:t>Name</w:t>
        <w:br/>
        <w:t>Title</w:t>
        <w:br/>
        <w:t xml:space="preserve">Date </w:t>
        <w:br/>
        <w:t>For and on behalf of the Buyer:</w:t>
        <w:br/>
        <w:t>Signature</w:t>
        <w:br/>
        <w:t>Name</w:t>
        <w:br/>
        <w:t>Title</w:t>
        <w:br/>
        <w:t xml:space="preserve">Date </w:t>
        <w:br/>
        <w:t>8</w:t>
      </w:r>
    </w:p>
    <w:p>
      <w:pPr>
        <w:pStyle w:val="Heading3"/>
      </w:pPr>
      <w:r>
        <w:t>Risk &amp; Compliance Analysis:</w:t>
      </w:r>
    </w:p>
    <w:p>
      <w:r>
        <w:rPr>
          <w:b/>
        </w:rPr>
        <w:t xml:space="preserve">Explanation: </w:t>
      </w:r>
      <w:r>
        <w:t>Clause lacks essential GST compliance elements (GSTIN, tax rates, place of supply) and statutory references required under Companies Act. Missing governing law clause and arbitration rules which are mandatory for enforceability under Indian law. — The severability clause risks leaving the agreement in a state where some terms are unenforceable but others remain, creating potential imbalance. The notice procedure may unfairly favor the Buyer by imposing specific logistical requirements. — Missing: GSTIN details of parties, Governing law clause, Purpose clause under Companies Act, Arbitration rules and institution</w:t>
        <w:br/>
      </w:r>
      <w:r>
        <w:rPr>
          <w:b/>
        </w:rPr>
        <w:t xml:space="preserve">Compliance Issues: </w:t>
      </w:r>
      <w:r>
        <w:br/>
      </w:r>
      <w:r>
        <w:rPr>
          <w:b/>
        </w:rPr>
        <w:t xml:space="preserve">Unfair Terms: </w:t>
      </w:r>
      <w:r>
        <w:t>None</w:t>
      </w:r>
    </w:p>
    <w:p>
      <w:pPr>
        <w:pStyle w:val="Heading3"/>
      </w:pPr>
      <w:r>
        <w:t>Negotiation Strategy:</w:t>
      </w:r>
    </w:p>
    <w:p>
      <w:r>
        <w:rPr>
          <w:b/>
        </w:rPr>
        <w:t xml:space="preserve">Suggested Redline: </w:t>
      </w:r>
      <w:r>
        <w:t>18. Miscellaneous Frameworks, Severability, and Entire Agreement. This instrument, along with its verified technical addenda, represents the entire agreement between the Parties regarding the high-volume procurement of the Products. Any invalid provision shall be deemed severable to the extent permitted by law, with the remaining provisions remaining in full force and effect. The Parties agree to renegotiate the invalid provision in good faith to preserve the original commercial intent. All formal notices may be delivered via email, certified mail, or standard postal service, with electronic delivery deemed sufficient for compliance. Notices shall be deemed received upon transmission if sent via email, or upon delivery confirmation if sent via postal service.</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