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left"/>
        <w:keepLines/>
      </w:pPr>
      <w:r>
        <w:rPr>
          <w:rFonts w:ascii="Carlito" w:hAnsi="Carlito"/>
          <w:b/>
          <w:color w:val="17324D"/>
          <w:sz w:val="52"/>
        </w:rPr>
        <w:t>Managed IT Infrastructure</w:t>
        <w:br/>
        <w:t>&amp; Cybersecurity Support Services</w:t>
      </w:r>
    </w:p>
    <w:p>
      <w:pPr>
        <w:spacing w:after="40" w:before="40"/>
        <w:pBdr>
          <w:bottom w:val="single" w:sz="8" w:space="1" w:color="0B6E75"/>
        </w:pBdr>
        <w:keepLines/>
      </w:pPr>
    </w:p>
    <w:p>
      <w:pPr>
        <w:spacing w:after="520"/>
        <w:keepLines/>
      </w:pPr>
      <w:r>
        <w:rPr>
          <w:rFonts w:ascii="Carlito" w:hAnsi="Carlito"/>
          <w:b/>
          <w:color w:val="0B6E75"/>
          <w:sz w:val="30"/>
        </w:rPr>
        <w:t>Customer Proposal</w:t>
      </w:r>
    </w:p>
    <w:tbl>
      <w:tblPr>
        <w:tblW w:type="auto" w:w="0"/>
        <w:jc w:val="left"/>
        <w:tblLayout w:type="fixed"/>
        <w:tblLook w:firstColumn="1" w:firstRow="1" w:lastColumn="0" w:lastRow="0" w:noHBand="0" w:noVBand="1" w:val="04A0"/>
      </w:tblPr>
      <w:tblGrid>
        <w:gridCol w:w="4933"/>
        <w:gridCol w:w="4933"/>
      </w:tblGrid>
      <w:tr>
        <w:tc>
          <w:tcPr>
            <w:tcW w:type="dxa" w:w="2381"/>
            <w:tcMar>
              <w:top w:w="80" w:type="dxa"/>
              <w:start w:w="60" w:type="dxa"/>
              <w:bottom w:w="80" w:type="dxa"/>
              <w:end w:w="60" w:type="dxa"/>
            </w:tcMar>
            <w:shd w:fill="EAF1F4"/>
            <w:tcBorders>
              <w:bottom w:val="single" w:sz="4" w:color="D5DCE3"/>
            </w:tcBorders>
          </w:tcPr>
          <w:p>
            <w:r>
              <w:rPr>
                <w:rFonts w:ascii="Carlito" w:hAnsi="Carlito"/>
                <w:b/>
                <w:color w:val="17324D"/>
                <w:sz w:val="19"/>
              </w:rPr>
              <w:t>Prepared for</w:t>
            </w:r>
          </w:p>
        </w:tc>
        <w:tc>
          <w:tcPr>
            <w:tcW w:type="dxa" w:w="6123"/>
            <w:tcMar>
              <w:top w:w="80" w:type="dxa"/>
              <w:start w:w="60" w:type="dxa"/>
              <w:bottom w:w="80" w:type="dxa"/>
              <w:end w:w="60" w:type="dxa"/>
            </w:tcMar>
            <w:tcBorders>
              <w:bottom w:val="single" w:sz="4" w:color="D5DCE3"/>
            </w:tcBorders>
          </w:tcPr>
          <w:p>
            <w:r>
              <w:rPr>
                <w:rFonts w:ascii="Carlito" w:hAnsi="Carlito"/>
                <w:color w:val="20262E"/>
                <w:sz w:val="19"/>
              </w:rPr>
              <w:t>Proposal Customer</w:t>
            </w:r>
          </w:p>
        </w:tc>
      </w:tr>
      <w:tr>
        <w:tc>
          <w:tcPr>
            <w:tcW w:type="dxa" w:w="2381"/>
            <w:tcMar>
              <w:top w:w="80" w:type="dxa"/>
              <w:start w:w="60" w:type="dxa"/>
              <w:bottom w:w="80" w:type="dxa"/>
              <w:end w:w="60" w:type="dxa"/>
            </w:tcMar>
            <w:shd w:fill="EAF1F4"/>
            <w:tcBorders>
              <w:bottom w:val="single" w:sz="4" w:color="D5DCE3"/>
            </w:tcBorders>
          </w:tcPr>
          <w:p>
            <w:r>
              <w:rPr>
                <w:rFonts w:ascii="Carlito" w:hAnsi="Carlito"/>
                <w:b/>
                <w:color w:val="17324D"/>
                <w:sz w:val="19"/>
              </w:rPr>
              <w:t>Prepared by</w:t>
            </w:r>
          </w:p>
        </w:tc>
        <w:tc>
          <w:tcPr>
            <w:tcW w:type="dxa" w:w="6123"/>
            <w:tcMar>
              <w:top w:w="80" w:type="dxa"/>
              <w:start w:w="60" w:type="dxa"/>
              <w:bottom w:w="80" w:type="dxa"/>
              <w:end w:w="60" w:type="dxa"/>
            </w:tcMar>
            <w:tcBorders>
              <w:bottom w:val="single" w:sz="4" w:color="D5DCE3"/>
            </w:tcBorders>
          </w:tcPr>
          <w:p>
            <w:r>
              <w:rPr>
                <w:rFonts w:ascii="Carlito" w:hAnsi="Carlito"/>
                <w:color w:val="20262E"/>
                <w:sz w:val="19"/>
              </w:rPr>
              <w:t>NeoZaar Services</w:t>
            </w:r>
          </w:p>
        </w:tc>
      </w:tr>
      <w:tr>
        <w:tc>
          <w:tcPr>
            <w:tcW w:type="dxa" w:w="2381"/>
            <w:tcMar>
              <w:top w:w="80" w:type="dxa"/>
              <w:start w:w="60" w:type="dxa"/>
              <w:bottom w:w="80" w:type="dxa"/>
              <w:end w:w="60" w:type="dxa"/>
            </w:tcMar>
            <w:shd w:fill="EAF1F4"/>
            <w:tcBorders>
              <w:bottom w:val="single" w:sz="4" w:color="D5DCE3"/>
            </w:tcBorders>
          </w:tcPr>
          <w:p>
            <w:r>
              <w:rPr>
                <w:rFonts w:ascii="Carlito" w:hAnsi="Carlito"/>
                <w:b/>
                <w:color w:val="17324D"/>
                <w:sz w:val="19"/>
              </w:rPr>
              <w:t>Proposal date</w:t>
            </w:r>
          </w:p>
        </w:tc>
        <w:tc>
          <w:tcPr>
            <w:tcW w:type="dxa" w:w="6123"/>
            <w:tcMar>
              <w:top w:w="80" w:type="dxa"/>
              <w:start w:w="60" w:type="dxa"/>
              <w:bottom w:w="80" w:type="dxa"/>
              <w:end w:w="60" w:type="dxa"/>
            </w:tcMar>
            <w:tcBorders>
              <w:bottom w:val="single" w:sz="4" w:color="D5DCE3"/>
            </w:tcBorders>
          </w:tcPr>
          <w:p>
            <w:r>
              <w:rPr>
                <w:rFonts w:ascii="Carlito" w:hAnsi="Carlito"/>
                <w:color w:val="20262E"/>
                <w:sz w:val="19"/>
              </w:rPr>
              <w:t>26 September 2026</w:t>
            </w:r>
          </w:p>
        </w:tc>
      </w:tr>
      <w:tr>
        <w:tc>
          <w:tcPr>
            <w:tcW w:type="dxa" w:w="2381"/>
            <w:tcMar>
              <w:top w:w="80" w:type="dxa"/>
              <w:start w:w="60" w:type="dxa"/>
              <w:bottom w:w="80" w:type="dxa"/>
              <w:end w:w="60" w:type="dxa"/>
            </w:tcMar>
            <w:shd w:fill="EAF1F4"/>
            <w:tcBorders>
              <w:bottom w:val="single" w:sz="4" w:color="D5DCE3"/>
            </w:tcBorders>
          </w:tcPr>
          <w:p>
            <w:r>
              <w:rPr>
                <w:rFonts w:ascii="Carlito" w:hAnsi="Carlito"/>
                <w:b/>
                <w:color w:val="17324D"/>
                <w:sz w:val="19"/>
              </w:rPr>
              <w:t>Proposal validity</w:t>
            </w:r>
          </w:p>
        </w:tc>
        <w:tc>
          <w:tcPr>
            <w:tcW w:type="dxa" w:w="6123"/>
            <w:tcMar>
              <w:top w:w="80" w:type="dxa"/>
              <w:start w:w="60" w:type="dxa"/>
              <w:bottom w:w="80" w:type="dxa"/>
              <w:end w:w="60" w:type="dxa"/>
            </w:tcMar>
            <w:tcBorders>
              <w:bottom w:val="single" w:sz="4" w:color="D5DCE3"/>
            </w:tcBorders>
          </w:tcPr>
          <w:p>
            <w:r>
              <w:rPr>
                <w:rFonts w:ascii="Carlito" w:hAnsi="Carlito"/>
                <w:color w:val="20262E"/>
                <w:sz w:val="19"/>
              </w:rPr>
              <w:t>30 days</w:t>
            </w:r>
          </w:p>
        </w:tc>
      </w:tr>
      <w:tr>
        <w:tc>
          <w:tcPr>
            <w:tcW w:type="dxa" w:w="2381"/>
            <w:tcMar>
              <w:top w:w="80" w:type="dxa"/>
              <w:start w:w="60" w:type="dxa"/>
              <w:bottom w:w="80" w:type="dxa"/>
              <w:end w:w="60" w:type="dxa"/>
            </w:tcMar>
            <w:shd w:fill="EAF1F4"/>
            <w:tcBorders>
              <w:bottom w:val="single" w:sz="4" w:color="D5DCE3"/>
            </w:tcBorders>
          </w:tcPr>
          <w:p>
            <w:r>
              <w:rPr>
                <w:rFonts w:ascii="Carlito" w:hAnsi="Carlito"/>
                <w:b/>
                <w:color w:val="17324D"/>
                <w:sz w:val="19"/>
              </w:rPr>
              <w:t>Version</w:t>
            </w:r>
          </w:p>
        </w:tc>
        <w:tc>
          <w:tcPr>
            <w:tcW w:type="dxa" w:w="6123"/>
            <w:tcMar>
              <w:top w:w="80" w:type="dxa"/>
              <w:start w:w="60" w:type="dxa"/>
              <w:bottom w:w="80" w:type="dxa"/>
              <w:end w:w="60" w:type="dxa"/>
            </w:tcMar>
            <w:tcBorders>
              <w:bottom w:val="single" w:sz="4" w:color="D5DCE3"/>
            </w:tcBorders>
          </w:tcPr>
          <w:p>
            <w:r>
              <w:rPr>
                <w:rFonts w:ascii="Carlito" w:hAnsi="Carlito"/>
                <w:color w:val="20262E"/>
                <w:sz w:val="19"/>
              </w:rPr>
              <w:t>1.3 - Customer Ready</w:t>
            </w:r>
          </w:p>
        </w:tc>
      </w:tr>
    </w:tbl>
    <w:p>
      <w:pPr>
        <w:spacing w:before="1440" w:after="80"/>
        <w:keepLines/>
      </w:pPr>
      <w:r>
        <w:rPr>
          <w:rFonts w:ascii="Carlito" w:hAnsi="Carlito"/>
          <w:b/>
          <w:color w:val="9A3B3B"/>
          <w:sz w:val="18"/>
        </w:rPr>
        <w:t>CONFIDENTIAL</w:t>
      </w:r>
    </w:p>
    <w:p>
      <w:pPr>
        <w:spacing w:after="0"/>
        <w:keepLines/>
      </w:pPr>
      <w:r>
        <w:rPr>
          <w:rFonts w:ascii="Carlito" w:hAnsi="Carlito"/>
          <w:color w:val="5B6573"/>
          <w:sz w:val="17"/>
        </w:rPr>
        <w:t>This proposal is intended solely for the named customer and is subject to the executed Master Services Agreement (MSA), Statement of Work (SOW), and applicable data-processing/security terms.</w:t>
      </w:r>
    </w:p>
    <w:p>
      <w:pPr>
        <w:keepLines/>
      </w:pPr>
      <w:r>
        <w:br w:type="page"/>
      </w:r>
    </w:p>
    <w:p>
      <w:pPr>
        <w:pStyle w:val="Heading1"/>
        <w:spacing w:before="200" w:after="120"/>
        <w:keepNext/>
        <w:keepLines/>
      </w:pPr>
      <w:r>
        <w:rPr>
          <w:rFonts w:ascii="Carlito" w:hAnsi="Carlito"/>
          <w:b/>
          <w:color w:val="17324D"/>
          <w:sz w:val="32"/>
        </w:rPr>
        <w:t>0. Document Control &amp; Important Qualification</w:t>
      </w:r>
    </w:p>
    <w:p>
      <w:pPr>
        <w:spacing w:after="80" w:before="0" w:line="269" w:lineRule="auto"/>
        <w:keepLines/>
      </w:pPr>
      <w:r>
        <w:rPr>
          <w:rFonts w:ascii="Carlito" w:hAnsi="Carlito"/>
          <w:b w:val="0"/>
          <w:i w:val="0"/>
          <w:color w:val="20262E"/>
          <w:sz w:val="19"/>
        </w:rPr>
        <w:t>This document defines a production-grade baseline service model for managed infrastructure and cybersecurity support. It is a proposal, not a certification, warranty of uninterrupted operation, or substitute for an executed MSA/SOW. In any conflict, the executed contractual documents take precedence.</w:t>
      </w:r>
    </w:p>
    <w:tbl>
      <w:tblPr>
        <w:tblW w:type="auto" w:w="0"/>
        <w:jc w:val="center"/>
        <w:tblLayout w:type="fixed"/>
        <w:tblLook w:firstColumn="1" w:firstRow="1" w:lastColumn="0" w:lastRow="0" w:noHBand="0" w:noVBand="1" w:val="04A0"/>
      </w:tblPr>
      <w:tblGrid>
        <w:gridCol w:w="9866"/>
      </w:tblGrid>
      <w:tr>
        <w:tc>
          <w:tcPr>
            <w:tcW w:type="dxa" w:w="9866"/>
            <w:shd w:fill="FFF4E5"/>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 xml:space="preserve">Important commercial qualification:  </w:t>
            </w:r>
            <w:r>
              <w:rPr>
                <w:rFonts w:ascii="Carlito" w:hAnsi="Carlito"/>
                <w:color w:val="20262E"/>
                <w:sz w:val="19"/>
              </w:rPr>
              <w:t>This proposal is generated from the approved service catalogue. Customer identity, selected support package, commercial model, applicable validity and catalogue pricing are populated by the calculator. Exact timezone, shift hours, holiday calendar, supported-technology inventory, service volumes, customer-specific regulatory clauses, overage rates, onsite rates and any Enterprise 24x7 sizing must be confirmed in the final SOW where applicable.</w:t>
            </w:r>
          </w:p>
        </w:tc>
      </w:tr>
    </w:tbl>
    <w:p>
      <w:pPr>
        <w:spacing w:after="0"/>
        <w:keepLines/>
      </w:pP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8"/>
              </w:rPr>
              <w:t>Item</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8"/>
              </w:rPr>
              <w:t>Value</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8"/>
              </w:rPr>
              <w:t>Document owner</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NeoZaar Services - Managed Services</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8"/>
              </w:rPr>
              <w:t>Customer</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Proposal Customer</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8"/>
              </w:rPr>
              <w:t>Version</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1.3</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8"/>
              </w:rPr>
              <w:t>Classification</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Confidential</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8"/>
              </w:rPr>
              <w:t>Validity</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30 days from proposal date</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8"/>
              </w:rPr>
              <w:t>Contract precedence</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MSA -&gt; SOW -&gt; SLA/Security Schedules -&gt; this Proposal</w:t>
            </w:r>
          </w:p>
        </w:tc>
      </w:tr>
    </w:tbl>
    <w:p>
      <w:pPr>
        <w:spacing w:after="20"/>
        <w:keepLines/>
      </w:pPr>
    </w:p>
    <w:p>
      <w:pPr>
        <w:pStyle w:val="Heading1"/>
        <w:spacing w:before="200" w:after="120"/>
        <w:keepNext/>
        <w:keepLines/>
      </w:pPr>
      <w:r>
        <w:rPr>
          <w:rFonts w:ascii="Carlito" w:hAnsi="Carlito"/>
          <w:b/>
          <w:color w:val="17324D"/>
          <w:sz w:val="32"/>
        </w:rPr>
        <w:t>Contents</w:t>
      </w:r>
    </w:p>
    <w:tbl>
      <w:tblPr>
        <w:tblW w:type="auto" w:w="0"/>
        <w:jc w:val="center"/>
        <w:tblLayout w:type="fixed"/>
        <w:tblLook w:firstColumn="1" w:firstRow="1" w:lastColumn="0" w:lastRow="0" w:noHBand="0" w:noVBand="1" w:val="04A0"/>
      </w:tblPr>
      <w:tblGrid>
        <w:gridCol w:w="4933"/>
        <w:gridCol w:w="4933"/>
      </w:tblGrid>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 Executive Summary</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2. Service Objectives</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3. Service Model at a Glance</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4. Package Comparison</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5. Detailed Service Coverage</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6. Package Entitlements &amp; Boundaries</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7. Service Window &amp; Support-Hour Consumption</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8. Incident Priority &amp; SLA Framework</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9. Incident, Request &amp; Problem Management</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10. Major Incident &amp; Cybersecurity Incident Management</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11. Change Management</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12. Monitoring &amp; Event Management</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13. Service Reporting &amp; Governance</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14. Service Onboarding &amp; Transition</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15. Security, Access &amp; Data Handling</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16. Customer Responsibilities</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17. Provider Responsibilities</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18. Assumptions &amp; Dependencies</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19. Exclusions &amp; Separate Scope</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20. Business Continuity &amp; Resilience</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21. Exit &amp; Offboarding</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22. Commercial Proposal</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23. Optional Additional Services</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24. Industry Alignment</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25. Next Steps</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26. Acceptance</w:t>
            </w:r>
          </w:p>
        </w:tc>
      </w:tr>
      <w:tr>
        <w:tc>
          <w:tcPr>
            <w:tcW w:type="dxa" w:w="4535"/>
            <w:tcMar>
              <w:top w:w="80" w:type="dxa"/>
              <w:start w:w="90" w:type="dxa"/>
              <w:bottom w:w="80" w:type="dxa"/>
              <w:end w:w="90" w:type="dxa"/>
            </w:tcMar>
            <w:tcBorders>
              <w:bottom w:val="single" w:sz="3" w:color="E3E8EC"/>
            </w:tcBorders>
          </w:tcPr>
          <w:p>
            <w:r>
              <w:rPr>
                <w:rFonts w:ascii="Carlito" w:hAnsi="Carlito"/>
                <w:color w:val="20262E"/>
                <w:sz w:val="18"/>
              </w:rPr>
              <w:t>Appendix A. RACI Matrix</w:t>
            </w:r>
          </w:p>
        </w:tc>
        <w:tc>
          <w:tcPr>
            <w:tcW w:type="dxa" w:w="4535"/>
            <w:tcMar>
              <w:top w:w="80" w:type="dxa"/>
              <w:start w:w="90" w:type="dxa"/>
              <w:bottom w:w="80" w:type="dxa"/>
              <w:end w:w="90" w:type="dxa"/>
            </w:tcMar>
            <w:tcBorders>
              <w:bottom w:val="single" w:sz="3" w:color="E3E8EC"/>
            </w:tcBorders>
          </w:tcPr>
          <w:p>
            <w:r>
              <w:rPr>
                <w:rFonts w:ascii="Carlito" w:hAnsi="Carlito"/>
                <w:color w:val="20262E"/>
                <w:sz w:val="18"/>
              </w:rPr>
              <w:t>Appendix B. Definitions</w:t>
            </w:r>
          </w:p>
        </w:tc>
      </w:tr>
    </w:tbl>
    <w:p>
      <w:pPr>
        <w:pStyle w:val="Heading1"/>
        <w:spacing w:before="200" w:after="120"/>
        <w:keepNext/>
        <w:keepLines/>
      </w:pPr>
      <w:r>
        <w:rPr>
          <w:rFonts w:ascii="Carlito" w:hAnsi="Carlito"/>
          <w:b/>
          <w:color w:val="17324D"/>
          <w:sz w:val="32"/>
        </w:rPr>
        <w:t>1. Executive Summary</w:t>
      </w:r>
    </w:p>
    <w:p>
      <w:pPr/>
      <w:r>
        <w:rPr>
          <w:i/>
        </w:rPr>
        <w:t>NeoZaar portfolio positioning: NeoZaar Services provides the managed IT infrastructure and cybersecurity support services defined in this proposal. Deployment, migration, infrastructure-as-code automation and deployment validation may be delivered separately through NeoZaar CloudCraft under an applicable Statement of Work. Such project/deployment services do not alter the managed-services scope, SLA, entitlements, exclusions or contractual precedence defined in this proposal and the executed agreements.</w:t>
      </w:r>
    </w:p>
    <w:p>
      <w:pPr>
        <w:spacing w:after="80" w:before="0" w:line="269" w:lineRule="auto"/>
        <w:keepLines/>
      </w:pPr>
      <w:r>
        <w:rPr>
          <w:rFonts w:ascii="Carlito" w:hAnsi="Carlito"/>
          <w:b w:val="0"/>
          <w:i w:val="0"/>
          <w:color w:val="20262E"/>
          <w:sz w:val="20"/>
        </w:rPr>
        <w:t>NeoZaar Services proposes a structured Managed IT Infrastructure and Cybersecurity Support Service for Proposal Customer, providing a single operational framework for infrastructure, endpoint, identity, network, cloud, backup, storage, security platforms, databases, middleware, DevOps and specialist engineering.</w:t>
      </w:r>
    </w:p>
    <w:p>
      <w:pPr>
        <w:spacing w:after="80" w:before="0" w:line="269" w:lineRule="auto"/>
        <w:keepLines/>
      </w:pPr>
      <w:r>
        <w:rPr>
          <w:rFonts w:ascii="Carlito" w:hAnsi="Carlito"/>
          <w:b w:val="0"/>
          <w:i w:val="0"/>
          <w:color w:val="20262E"/>
          <w:sz w:val="20"/>
        </w:rPr>
        <w:t>The service is designed to reduce operational fragmentation, improve incident coordination, strengthen cybersecurity operations, and provide controlled access to L1, L2, L3 and Subject Matter Expert (SME) capability without requiring the customer to maintain every specialist skill internally.</w:t>
      </w:r>
    </w:p>
    <w:p>
      <w:pPr>
        <w:spacing w:after="80" w:before="0" w:line="269" w:lineRule="auto"/>
        <w:keepLines/>
      </w:pPr>
      <w:r>
        <w:rPr>
          <w:rFonts w:ascii="Carlito" w:hAnsi="Carlito"/>
          <w:b/>
          <w:i w:val="0"/>
          <w:color w:val="17324D"/>
          <w:sz w:val="20"/>
        </w:rPr>
        <w:t>Selected package: Calculator Selection. Monthly retainers, prepaid term-valid hour banks and Enterprise 24x7 support are available. The prepaid banks are summarized below; monthly retainers, SLA mapping and optional add-ons are detailed in Appendix C:</w:t>
      </w:r>
    </w:p>
    <w:p>
      <w:pPr>
        <w:pStyle w:val="ListBullet"/>
        <w:spacing w:after="44" w:line="259" w:lineRule="auto"/>
        <w:keepLines/>
      </w:pPr>
      <w:r>
        <w:rPr>
          <w:rFonts w:ascii="Carlito" w:hAnsi="Carlito"/>
          <w:color w:val="20262E"/>
          <w:sz w:val="19"/>
        </w:rPr>
        <w:t>Reactive Support 50 Hours - a prepaid 50-hour bank valid for 3 months and delivered during one customer-local support shift. P1 engineering effort consumes the bank at 2.0x actual engineer-hours.</w:t>
      </w:r>
    </w:p>
    <w:p>
      <w:pPr>
        <w:pStyle w:val="ListBullet"/>
        <w:spacing w:after="44" w:line="259" w:lineRule="auto"/>
        <w:keepLines/>
      </w:pPr>
      <w:r>
        <w:rPr>
          <w:rFonts w:ascii="Carlito" w:hAnsi="Carlito"/>
          <w:color w:val="20262E"/>
          <w:sz w:val="19"/>
        </w:rPr>
        <w:t>Reactive Support 100 Hours - a prepaid 100-hour bank valid for 6 months and delivered during one customer-local support shift. P1 engineering effort consumes the bank at 2.0x actual engineer-hours.</w:t>
      </w:r>
    </w:p>
    <w:p>
      <w:pPr>
        <w:pStyle w:val="ListBullet"/>
        <w:spacing w:after="44" w:line="259" w:lineRule="auto"/>
        <w:keepLines/>
      </w:pPr>
      <w:r>
        <w:rPr>
          <w:rFonts w:ascii="Carlito" w:hAnsi="Carlito"/>
          <w:color w:val="20262E"/>
          <w:sz w:val="19"/>
        </w:rPr>
        <w:t>Reactive Support 200 Hours - a prepaid 200-hour bank valid for 12 months; its support window is defined in the SOW and may extend beyond a single shift when commercially agreed.</w:t>
      </w:r>
    </w:p>
    <w:p>
      <w:pPr>
        <w:pStyle w:val="ListBullet"/>
        <w:spacing w:after="44" w:line="259" w:lineRule="auto"/>
        <w:keepLines/>
      </w:pPr>
      <w:r>
        <w:rPr>
          <w:rFonts w:ascii="Carlito" w:hAnsi="Carlito"/>
          <w:color w:val="20262E"/>
          <w:sz w:val="19"/>
        </w:rPr>
        <w:t>Enterprise Support - 24x7x365 contracted support for in-scope services, from L1 through SME, sized and priced through the SOW.</w:t>
      </w:r>
    </w:p>
    <w:tbl>
      <w:tblPr>
        <w:tblW w:type="auto" w:w="0"/>
        <w:jc w:val="center"/>
        <w:tblLayout w:type="fixed"/>
        <w:tblLook w:firstColumn="1" w:firstRow="1" w:lastColumn="0" w:lastRow="0" w:noHBand="0" w:noVBand="1" w:val="04A0"/>
      </w:tblPr>
      <w:tblGrid>
        <w:gridCol w:w="9866"/>
      </w:tblGrid>
      <w:tr>
        <w:tc>
          <w:tcPr>
            <w:tcW w:type="dxa" w:w="9866"/>
            <w:shd w:fill="EAF1F4"/>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 xml:space="preserve">Key principle:  </w:t>
            </w:r>
            <w:r>
              <w:rPr>
                <w:rFonts w:ascii="Carlito" w:hAnsi="Carlito"/>
                <w:color w:val="20262E"/>
                <w:sz w:val="19"/>
              </w:rPr>
              <w:t>The SLA measures acknowledgement and engagement speed. Restoration and permanent resolution depend on fault complexity, customer approvals, third-party/OEM response, availability of workarounds, and change windows unless a specific restoration or resolution commitment is explicitly contracted.</w:t>
            </w:r>
          </w:p>
        </w:tc>
      </w:tr>
    </w:tbl>
    <w:p>
      <w:pPr>
        <w:spacing w:after="0"/>
        <w:keepLines/>
      </w:pPr>
    </w:p>
    <w:p>
      <w:pPr>
        <w:pStyle w:val="Heading1"/>
        <w:spacing w:before="200" w:after="120"/>
        <w:keepNext/>
        <w:keepLines/>
      </w:pPr>
      <w:r>
        <w:rPr>
          <w:rFonts w:ascii="Carlito" w:hAnsi="Carlito"/>
          <w:b/>
          <w:color w:val="17324D"/>
          <w:sz w:val="32"/>
        </w:rPr>
        <w:t>2. Service Objectives</w:t>
      </w:r>
    </w:p>
    <w:p>
      <w:pPr>
        <w:pStyle w:val="ListBullet"/>
        <w:spacing w:after="44" w:line="259" w:lineRule="auto"/>
        <w:keepLines/>
      </w:pPr>
      <w:r>
        <w:rPr>
          <w:rFonts w:ascii="Carlito" w:hAnsi="Carlito"/>
          <w:color w:val="20262E"/>
          <w:sz w:val="19"/>
        </w:rPr>
        <w:t>Improve the availability, resilience and operational reliability of in-scope IT services.</w:t>
      </w:r>
    </w:p>
    <w:p>
      <w:pPr>
        <w:pStyle w:val="ListBullet"/>
        <w:spacing w:after="44" w:line="259" w:lineRule="auto"/>
        <w:keepLines/>
      </w:pPr>
      <w:r>
        <w:rPr>
          <w:rFonts w:ascii="Carlito" w:hAnsi="Carlito"/>
          <w:color w:val="20262E"/>
          <w:sz w:val="19"/>
        </w:rPr>
        <w:t>Provide a consistent incident, service-request, escalation and communication model.</w:t>
      </w:r>
    </w:p>
    <w:p>
      <w:pPr>
        <w:pStyle w:val="ListBullet"/>
        <w:spacing w:after="44" w:line="259" w:lineRule="auto"/>
        <w:keepLines/>
      </w:pPr>
      <w:r>
        <w:rPr>
          <w:rFonts w:ascii="Carlito" w:hAnsi="Carlito"/>
          <w:color w:val="20262E"/>
          <w:sz w:val="19"/>
        </w:rPr>
        <w:t>Reduce time to triage, contain, restore and resolve operational and cybersecurity incidents.</w:t>
      </w:r>
    </w:p>
    <w:p>
      <w:pPr>
        <w:pStyle w:val="ListBullet"/>
        <w:spacing w:after="44" w:line="259" w:lineRule="auto"/>
        <w:keepLines/>
      </w:pPr>
      <w:r>
        <w:rPr>
          <w:rFonts w:ascii="Carlito" w:hAnsi="Carlito"/>
          <w:color w:val="20262E"/>
          <w:sz w:val="19"/>
        </w:rPr>
        <w:t>Provide controlled access to L2, L3 and specialist engineering when required.</w:t>
      </w:r>
    </w:p>
    <w:p>
      <w:pPr>
        <w:pStyle w:val="ListBullet"/>
        <w:spacing w:after="44" w:line="259" w:lineRule="auto"/>
        <w:keepLines/>
      </w:pPr>
      <w:r>
        <w:rPr>
          <w:rFonts w:ascii="Carlito" w:hAnsi="Carlito"/>
          <w:color w:val="20262E"/>
          <w:sz w:val="19"/>
        </w:rPr>
        <w:t>Support administration and troubleshooting across infrastructure, cloud, security, database, middleware and DevOps technologies within the selected package.</w:t>
      </w:r>
    </w:p>
    <w:p>
      <w:pPr>
        <w:pStyle w:val="ListBullet"/>
        <w:spacing w:after="44" w:line="259" w:lineRule="auto"/>
        <w:keepLines/>
      </w:pPr>
      <w:r>
        <w:rPr>
          <w:rFonts w:ascii="Carlito" w:hAnsi="Carlito"/>
          <w:color w:val="20262E"/>
          <w:sz w:val="19"/>
        </w:rPr>
        <w:t>Improve operational visibility through service reporting, recurring-issue analysis, risk observations and improvement recommendations.</w:t>
      </w:r>
    </w:p>
    <w:p>
      <w:pPr>
        <w:pStyle w:val="ListBullet"/>
        <w:spacing w:after="44" w:line="259" w:lineRule="auto"/>
        <w:keepLines/>
      </w:pPr>
      <w:r>
        <w:rPr>
          <w:rFonts w:ascii="Carlito" w:hAnsi="Carlito"/>
          <w:color w:val="20262E"/>
          <w:sz w:val="19"/>
        </w:rPr>
        <w:t>Strengthen security operations through secure access, least privilege, auditable changes and structured security-incident handling.</w:t>
      </w:r>
    </w:p>
    <w:p>
      <w:pPr>
        <w:pStyle w:val="ListBullet"/>
        <w:spacing w:after="44" w:line="259" w:lineRule="auto"/>
        <w:keepLines/>
      </w:pPr>
      <w:r>
        <w:rPr>
          <w:rFonts w:ascii="Carlito" w:hAnsi="Carlito"/>
          <w:color w:val="20262E"/>
          <w:sz w:val="19"/>
        </w:rPr>
        <w:t>Coordinate OEM/vendor escalations for supported products without misrepresenting third-party service levels as provider-controlled commitments.</w:t>
      </w:r>
    </w:p>
    <w:p>
      <w:pPr>
        <w:pStyle w:val="ListBullet"/>
        <w:spacing w:after="44" w:line="259" w:lineRule="auto"/>
        <w:keepLines/>
      </w:pPr>
      <w:r>
        <w:rPr>
          <w:rFonts w:ascii="Carlito" w:hAnsi="Carlito"/>
          <w:color w:val="20262E"/>
          <w:sz w:val="19"/>
        </w:rPr>
        <w:t>Support modernization and improvement initiatives through separately scoped consulting or project work where required.</w:t>
      </w:r>
    </w:p>
    <w:p>
      <w:pPr>
        <w:pStyle w:val="Heading1"/>
        <w:spacing w:before="200" w:after="120"/>
        <w:keepNext/>
        <w:keepLines/>
      </w:pPr>
      <w:r>
        <w:rPr>
          <w:rFonts w:ascii="Carlito" w:hAnsi="Carlito"/>
          <w:b/>
          <w:color w:val="17324D"/>
          <w:sz w:val="32"/>
        </w:rPr>
        <w:t>3. Service Model at a Glance</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Package</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Hour Bank / Validity</w:t>
            </w:r>
          </w:p>
        </w:tc>
        <w:tc>
          <w:tcPr>
            <w:tcW w:type="dxa" w:w="175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Specialist Access</w:t>
            </w:r>
          </w:p>
        </w:tc>
        <w:tc>
          <w:tcPr>
            <w:tcW w:type="dxa" w:w="147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P1 Initial Response</w:t>
            </w:r>
          </w:p>
        </w:tc>
        <w:tc>
          <w:tcPr>
            <w:tcW w:type="dxa" w:w="28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Primary Positioning</w:t>
            </w:r>
          </w:p>
        </w:tc>
      </w:tr>
      <w:tr>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50 Hour Pack</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50 prepaid hrs; valid 3 months; customer-local 8x5 window</w:t>
            </w:r>
          </w:p>
        </w:tc>
        <w:tc>
          <w:tcPr>
            <w:tcW w:type="dxa" w:w="175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L1 through SME; all effort draws from bank</w:t>
            </w:r>
          </w:p>
        </w:tc>
        <w:tc>
          <w:tcPr>
            <w:tcW w:type="dxa" w:w="147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60 minutes*</w:t>
            </w:r>
          </w:p>
        </w:tc>
        <w:tc>
          <w:tcPr>
            <w:tcW w:type="dxa" w:w="28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Essential infrastructure and endpoint operations</w:t>
            </w:r>
          </w:p>
        </w:tc>
      </w:tr>
      <w:tr>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100 Hour Pack</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100 prepaid hrs; valid 6 months; customer-local 8x5 window</w:t>
            </w:r>
          </w:p>
        </w:tc>
        <w:tc>
          <w:tcPr>
            <w:tcW w:type="dxa" w:w="175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L1 through SME; all effort draws from bank</w:t>
            </w:r>
          </w:p>
        </w:tc>
        <w:tc>
          <w:tcPr>
            <w:tcW w:type="dxa" w:w="147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60 minutes*</w:t>
            </w:r>
          </w:p>
        </w:tc>
        <w:tc>
          <w:tcPr>
            <w:tcW w:type="dxa" w:w="28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Infrastructure + cloud + security operations technologies</w:t>
            </w:r>
          </w:p>
        </w:tc>
      </w:tr>
      <w:tr>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200 Hour Pack</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200 prepaid hrs; valid 12 months; SOW-defined window</w:t>
            </w:r>
          </w:p>
        </w:tc>
        <w:tc>
          <w:tcPr>
            <w:tcW w:type="dxa" w:w="175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L1 through SME; all effort draws from bank</w:t>
            </w:r>
          </w:p>
        </w:tc>
        <w:tc>
          <w:tcPr>
            <w:tcW w:type="dxa" w:w="147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30 minutes*</w:t>
            </w:r>
          </w:p>
        </w:tc>
        <w:tc>
          <w:tcPr>
            <w:tcW w:type="dxa" w:w="28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Complex environments + DBA/middleware/DevOps</w:t>
            </w:r>
          </w:p>
        </w:tc>
      </w:tr>
      <w:tr>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Enterprise</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24x7x365 contracted coverage</w:t>
            </w:r>
          </w:p>
        </w:tc>
        <w:tc>
          <w:tcPr>
            <w:tcW w:type="dxa" w:w="175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L1 through SME</w:t>
            </w:r>
          </w:p>
        </w:tc>
        <w:tc>
          <w:tcPr>
            <w:tcW w:type="dxa" w:w="147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15 minutes</w:t>
            </w:r>
          </w:p>
        </w:tc>
        <w:tc>
          <w:tcPr>
            <w:tcW w:type="dxa" w:w="28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Mission-critical IT/security operations</w:t>
            </w:r>
          </w:p>
        </w:tc>
      </w:tr>
    </w:tbl>
    <w:p>
      <w:pPr>
        <w:spacing w:after="20"/>
        <w:keepLines/>
      </w:pPr>
    </w:p>
    <w:p>
      <w:pPr>
        <w:spacing w:after="80" w:before="0" w:line="269" w:lineRule="auto"/>
        <w:keepLines/>
      </w:pPr>
      <w:r>
        <w:rPr>
          <w:rFonts w:ascii="Carlito" w:hAnsi="Carlito"/>
          <w:b w:val="0"/>
          <w:i/>
          <w:color w:val="5B6573"/>
          <w:sz w:val="17"/>
        </w:rPr>
        <w:t>* The 50 and 100 Hour Packs are delivered only during one Customer Local Support Shift (CLSS): one continuous 8-hour support window per business day, five business days per week, aligned to the customer local timezone. Exact start/end times, working days and public-holiday calendar are fixed in the SOW. P1 response clocks for these packs run within that shift unless separate after-hours coverage is expressly contracted. P1 active engineering effort is charged at 2.0x actual engineer-hours. The 200 Hour Pack response targets are measured within its SOW-defined support window.</w:t>
      </w:r>
    </w:p>
    <w:p>
      <w:pPr>
        <w:pStyle w:val="Heading1"/>
        <w:spacing w:before="200" w:after="120"/>
        <w:keepNext/>
        <w:keepLines/>
      </w:pPr>
      <w:r>
        <w:rPr>
          <w:rFonts w:ascii="Carlito" w:hAnsi="Carlito"/>
          <w:b/>
          <w:color w:val="17324D"/>
          <w:sz w:val="32"/>
        </w:rPr>
        <w:t>4. Package Comparison</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5"/>
              </w:rPr>
              <w:t>Service Area</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5"/>
              </w:rPr>
              <w:t>50 Hour Pack</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5"/>
              </w:rPr>
              <w:t>100 Hour Pack</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5"/>
              </w:rPr>
              <w:t>200 Hour Pack</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5"/>
              </w:rPr>
              <w:t>Enterprise</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EDR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XDR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Windows &amp; Linux OS</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Active Directory</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Hypervisor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Switches / Firewalls / Routers / Wireless</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Microsoft 365 Administration</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Storage &amp; Backup Tools</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Cloud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Security Consulting</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NAC / NDR / CTEM</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SIEM / SOAR / UEBA</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Database / DBA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Middleware Expertise</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DevOps Support</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VAPT / Red Teaming</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 / scoped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SOC / NOC Team</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 / scoped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Digital Forensics</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 / scoped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5"/>
              </w:rPr>
              <w:t>Enterprise Application Architects</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5"/>
              </w:rPr>
              <w:t>Included / scoped</w:t>
            </w:r>
          </w:p>
        </w:tc>
      </w:tr>
      <w:tr>
        <w:tc>
          <w:tcPr>
            <w:tcW w:type="dxa" w:w="374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5"/>
              </w:rPr>
              <w:t>Dedicated Account Manager</w:t>
            </w:r>
          </w:p>
        </w:tc>
        <w:tc>
          <w:tcPr>
            <w:tcW w:type="dxa" w:w="113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19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36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w:t>
            </w:r>
          </w:p>
        </w:tc>
        <w:tc>
          <w:tcPr>
            <w:tcW w:type="dxa" w:w="141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5"/>
              </w:rPr>
              <w:t>Included</w:t>
            </w:r>
          </w:p>
        </w:tc>
      </w:tr>
    </w:tbl>
    <w:p>
      <w:pPr>
        <w:spacing w:after="20"/>
        <w:keepLines/>
      </w:pPr>
    </w:p>
    <w:tbl>
      <w:tblPr>
        <w:tblW w:type="auto" w:w="0"/>
        <w:jc w:val="center"/>
        <w:tblLayout w:type="fixed"/>
        <w:tblLook w:firstColumn="1" w:firstRow="1" w:lastColumn="0" w:lastRow="0" w:noHBand="0" w:noVBand="1" w:val="04A0"/>
      </w:tblPr>
      <w:tblGrid>
        <w:gridCol w:w="9866"/>
      </w:tblGrid>
      <w:tr>
        <w:tc>
          <w:tcPr>
            <w:tcW w:type="dxa" w:w="9866"/>
            <w:shd w:fill="EAF1F4"/>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 xml:space="preserve">Scope control:  </w:t>
            </w:r>
            <w:r>
              <w:rPr>
                <w:rFonts w:ascii="Carlito" w:hAnsi="Carlito"/>
                <w:color w:val="20262E"/>
                <w:sz w:val="19"/>
              </w:rPr>
              <w:t>“Included” means support capability is available within the contracted package and supported-technology schedule. It does not imply unlimited engineering capacity, project implementation, product licensing, hardware replacement, or OEM entitlement.</w:t>
            </w:r>
          </w:p>
        </w:tc>
      </w:tr>
    </w:tbl>
    <w:p>
      <w:pPr>
        <w:spacing w:after="0"/>
        <w:keepLines/>
      </w:pPr>
    </w:p>
    <w:p>
      <w:pPr>
        <w:pStyle w:val="Heading1"/>
        <w:spacing w:before="200" w:after="120"/>
        <w:keepNext/>
        <w:keepLines/>
      </w:pPr>
      <w:r>
        <w:rPr>
          <w:rFonts w:ascii="Carlito" w:hAnsi="Carlito"/>
          <w:b/>
          <w:color w:val="17324D"/>
          <w:sz w:val="32"/>
        </w:rPr>
        <w:t>5. Detailed Service Coverage</w:t>
      </w:r>
    </w:p>
    <w:p>
      <w:pPr>
        <w:spacing w:after="80" w:before="0" w:line="269" w:lineRule="auto"/>
        <w:keepLines/>
      </w:pPr>
      <w:r>
        <w:rPr>
          <w:rFonts w:ascii="Carlito" w:hAnsi="Carlito"/>
          <w:b w:val="0"/>
          <w:i w:val="0"/>
          <w:color w:val="20262E"/>
          <w:sz w:val="19"/>
        </w:rPr>
        <w:t>The following catalogue defines the supported activity types. Exact vendor products, versions, device counts, environments and administrative boundaries are recorded in the Supported Technology Schedule during onboarding.</w:t>
      </w:r>
    </w:p>
    <w:p>
      <w:pPr>
        <w:pStyle w:val="Heading2"/>
        <w:spacing w:before="140" w:after="80"/>
        <w:keepNext/>
        <w:keepLines/>
      </w:pPr>
      <w:r>
        <w:rPr>
          <w:rFonts w:ascii="Carlito" w:hAnsi="Carlito"/>
          <w:b/>
          <w:color w:val="0B6E75"/>
          <w:sz w:val="25"/>
        </w:rPr>
        <w:t>5.1 Endpoint Security - EDR / XDR</w:t>
      </w:r>
    </w:p>
    <w:p>
      <w:pPr>
        <w:pStyle w:val="ListBullet"/>
        <w:spacing w:after="44" w:line="259" w:lineRule="auto"/>
        <w:keepLines/>
      </w:pPr>
      <w:r>
        <w:rPr>
          <w:rFonts w:ascii="Carlito" w:hAnsi="Carlito"/>
          <w:color w:val="20262E"/>
          <w:sz w:val="19"/>
        </w:rPr>
        <w:t>Agent health, installation and communication troubleshooting; policy and detection troubleshooting; alert investigation assistance; endpoint isolation assistance; remediation guidance; vendor escalation support.</w:t>
      </w:r>
    </w:p>
    <w:p>
      <w:pPr>
        <w:pStyle w:val="ListBullet"/>
        <w:spacing w:after="44" w:line="259" w:lineRule="auto"/>
        <w:keepLines/>
      </w:pPr>
      <w:r>
        <w:rPr>
          <w:rFonts w:ascii="Carlito" w:hAnsi="Carlito"/>
          <w:color w:val="20262E"/>
          <w:sz w:val="19"/>
        </w:rPr>
        <w:t>For the 100 Hour Pack and above: cross-domain XDR investigation across endpoint, identity, email, network, cloud and server telemetry where those sources are integrated.</w:t>
      </w:r>
    </w:p>
    <w:p>
      <w:pPr>
        <w:pStyle w:val="Heading2"/>
        <w:spacing w:before="140" w:after="80"/>
        <w:keepNext/>
        <w:keepLines/>
      </w:pPr>
      <w:r>
        <w:rPr>
          <w:rFonts w:ascii="Carlito" w:hAnsi="Carlito"/>
          <w:b/>
          <w:color w:val="0B6E75"/>
          <w:sz w:val="25"/>
        </w:rPr>
        <w:t>5.2 Windows &amp; Linux Operating Systems</w:t>
      </w:r>
    </w:p>
    <w:p>
      <w:pPr>
        <w:pStyle w:val="ListBullet"/>
        <w:spacing w:after="44" w:line="259" w:lineRule="auto"/>
        <w:keepLines/>
      </w:pPr>
      <w:r>
        <w:rPr>
          <w:rFonts w:ascii="Carlito" w:hAnsi="Carlito"/>
          <w:color w:val="20262E"/>
          <w:sz w:val="19"/>
        </w:rPr>
        <w:t>Operating-system, service, process, CPU, memory, disk, event/log and availability troubleshooting.</w:t>
      </w:r>
    </w:p>
    <w:p>
      <w:pPr>
        <w:pStyle w:val="ListBullet"/>
        <w:spacing w:after="44" w:line="259" w:lineRule="auto"/>
        <w:keepLines/>
      </w:pPr>
      <w:r>
        <w:rPr>
          <w:rFonts w:ascii="Carlito" w:hAnsi="Carlito"/>
          <w:color w:val="20262E"/>
          <w:sz w:val="19"/>
        </w:rPr>
        <w:t>User/permission, patch-related and standard system-configuration assistance within approved change controls.</w:t>
      </w:r>
    </w:p>
    <w:p>
      <w:pPr>
        <w:pStyle w:val="Heading2"/>
        <w:spacing w:before="140" w:after="80"/>
        <w:keepNext/>
        <w:keepLines/>
      </w:pPr>
      <w:r>
        <w:rPr>
          <w:rFonts w:ascii="Carlito" w:hAnsi="Carlito"/>
          <w:b/>
          <w:color w:val="0B6E75"/>
          <w:sz w:val="25"/>
        </w:rPr>
        <w:t>5.3 Active Directory &amp; Identity</w:t>
      </w:r>
    </w:p>
    <w:p>
      <w:pPr>
        <w:pStyle w:val="ListBullet"/>
        <w:spacing w:after="44" w:line="259" w:lineRule="auto"/>
        <w:keepLines/>
      </w:pPr>
      <w:r>
        <w:rPr>
          <w:rFonts w:ascii="Carlito" w:hAnsi="Carlito"/>
          <w:color w:val="20262E"/>
          <w:sz w:val="19"/>
        </w:rPr>
        <w:t>User/group administration, Group Policy troubleshooting, authentication and account-lockout investigation, domain and AD-integrated DNS troubleshooting, and baseline health checks.</w:t>
      </w:r>
    </w:p>
    <w:p>
      <w:pPr>
        <w:pStyle w:val="ListBullet"/>
        <w:spacing w:after="44" w:line="259" w:lineRule="auto"/>
        <w:keepLines/>
      </w:pPr>
      <w:r>
        <w:rPr>
          <w:rFonts w:ascii="Carlito" w:hAnsi="Carlito"/>
          <w:color w:val="20262E"/>
          <w:sz w:val="19"/>
        </w:rPr>
        <w:t>Privileged changes remain subject to customer authorization and least-privilege controls.</w:t>
      </w:r>
    </w:p>
    <w:p>
      <w:pPr>
        <w:pStyle w:val="Heading2"/>
        <w:spacing w:before="140" w:after="80"/>
        <w:keepNext/>
        <w:keepLines/>
      </w:pPr>
      <w:r>
        <w:rPr>
          <w:rFonts w:ascii="Carlito" w:hAnsi="Carlito"/>
          <w:b/>
          <w:color w:val="0B6E75"/>
          <w:sz w:val="25"/>
        </w:rPr>
        <w:t>5.4 Hypervisors &amp; Virtual Infrastructure</w:t>
      </w:r>
    </w:p>
    <w:p>
      <w:pPr>
        <w:pStyle w:val="ListBullet"/>
        <w:spacing w:after="44" w:line="259" w:lineRule="auto"/>
        <w:keepLines/>
      </w:pPr>
      <w:r>
        <w:rPr>
          <w:rFonts w:ascii="Carlito" w:hAnsi="Carlito"/>
          <w:color w:val="20262E"/>
          <w:sz w:val="19"/>
        </w:rPr>
        <w:t>VM availability, resource utilization, virtual networking, storage connectivity, snapshot issues and standard hypervisor administration for supported platforms.</w:t>
      </w:r>
    </w:p>
    <w:p>
      <w:pPr>
        <w:pStyle w:val="ListBullet"/>
        <w:spacing w:after="44" w:line="259" w:lineRule="auto"/>
        <w:keepLines/>
      </w:pPr>
      <w:r>
        <w:rPr>
          <w:rFonts w:ascii="Carlito" w:hAnsi="Carlito"/>
          <w:color w:val="20262E"/>
          <w:sz w:val="19"/>
        </w:rPr>
        <w:t>Host/cluster upgrades, migrations, architecture redesign and capacity expansions are project activities unless explicitly included.</w:t>
      </w:r>
    </w:p>
    <w:p>
      <w:pPr>
        <w:pStyle w:val="Heading2"/>
        <w:spacing w:before="140" w:after="80"/>
        <w:keepNext/>
        <w:keepLines/>
      </w:pPr>
      <w:r>
        <w:rPr>
          <w:rFonts w:ascii="Carlito" w:hAnsi="Carlito"/>
          <w:b/>
          <w:color w:val="0B6E75"/>
          <w:sz w:val="25"/>
        </w:rPr>
        <w:t>5.5 Network Infrastructure</w:t>
      </w:r>
    </w:p>
    <w:p>
      <w:pPr>
        <w:pStyle w:val="ListBullet"/>
        <w:spacing w:after="44" w:line="259" w:lineRule="auto"/>
        <w:keepLines/>
      </w:pPr>
      <w:r>
        <w:rPr>
          <w:rFonts w:ascii="Carlito" w:hAnsi="Carlito"/>
          <w:color w:val="20262E"/>
          <w:sz w:val="19"/>
        </w:rPr>
        <w:t>Switches, firewalls, routers and wireless access points: connectivity, interfaces, VLANs, routing, rule/policy troubleshooting, device health and standard administration.</w:t>
      </w:r>
    </w:p>
    <w:p>
      <w:pPr>
        <w:pStyle w:val="ListBullet"/>
        <w:spacing w:after="44" w:line="259" w:lineRule="auto"/>
        <w:keepLines/>
      </w:pPr>
      <w:r>
        <w:rPr>
          <w:rFonts w:ascii="Carlito" w:hAnsi="Carlito"/>
          <w:color w:val="20262E"/>
          <w:sz w:val="19"/>
        </w:rPr>
        <w:t>Firewall/security policy changes require change approval; carrier/ISP and hardware failure resolution remains dependent on the relevant supplier.</w:t>
      </w:r>
    </w:p>
    <w:p>
      <w:pPr>
        <w:pStyle w:val="Heading2"/>
        <w:spacing w:before="140" w:after="80"/>
        <w:keepNext/>
        <w:keepLines/>
      </w:pPr>
      <w:r>
        <w:rPr>
          <w:rFonts w:ascii="Carlito" w:hAnsi="Carlito"/>
          <w:b/>
          <w:color w:val="0B6E75"/>
          <w:sz w:val="25"/>
        </w:rPr>
        <w:t>5.6 Microsoft 365 Administration</w:t>
      </w:r>
    </w:p>
    <w:p>
      <w:pPr>
        <w:pStyle w:val="ListBullet"/>
        <w:spacing w:after="44" w:line="259" w:lineRule="auto"/>
        <w:keepLines/>
      </w:pPr>
      <w:r>
        <w:rPr>
          <w:rFonts w:ascii="Carlito" w:hAnsi="Carlito"/>
          <w:color w:val="20262E"/>
          <w:sz w:val="19"/>
        </w:rPr>
        <w:t>User and license administration, Exchange Online, mail flow, distribution groups, shared mailboxes, Microsoft Teams, security/access configuration and administrative troubleshooting.</w:t>
      </w:r>
    </w:p>
    <w:p>
      <w:pPr>
        <w:pStyle w:val="ListBullet"/>
        <w:spacing w:after="44" w:line="259" w:lineRule="auto"/>
        <w:keepLines/>
      </w:pPr>
      <w:r>
        <w:rPr>
          <w:rFonts w:ascii="Carlito" w:hAnsi="Carlito"/>
          <w:color w:val="20262E"/>
          <w:sz w:val="19"/>
        </w:rPr>
        <w:t>Major tenant migrations, mergers, compliance projects and transformation programs are separately scoped.</w:t>
      </w:r>
    </w:p>
    <w:p>
      <w:pPr>
        <w:pStyle w:val="Heading2"/>
        <w:spacing w:before="140" w:after="80"/>
        <w:keepNext/>
        <w:keepLines/>
      </w:pPr>
      <w:r>
        <w:rPr>
          <w:rFonts w:ascii="Carlito" w:hAnsi="Carlito"/>
          <w:b/>
          <w:color w:val="0B6E75"/>
          <w:sz w:val="25"/>
        </w:rPr>
        <w:t>5.7 Storage &amp; Backup</w:t>
      </w:r>
    </w:p>
    <w:p>
      <w:pPr>
        <w:pStyle w:val="ListBullet"/>
        <w:spacing w:after="44" w:line="259" w:lineRule="auto"/>
        <w:keepLines/>
      </w:pPr>
      <w:r>
        <w:rPr>
          <w:rFonts w:ascii="Carlito" w:hAnsi="Carlito"/>
          <w:color w:val="20262E"/>
          <w:sz w:val="19"/>
        </w:rPr>
        <w:t>Storage capacity, connectivity, access and performance troubleshooting for supported platforms.</w:t>
      </w:r>
    </w:p>
    <w:p>
      <w:pPr>
        <w:pStyle w:val="ListBullet"/>
        <w:spacing w:after="44" w:line="259" w:lineRule="auto"/>
        <w:keepLines/>
      </w:pPr>
      <w:r>
        <w:rPr>
          <w:rFonts w:ascii="Carlito" w:hAnsi="Carlito"/>
          <w:color w:val="20262E"/>
          <w:sz w:val="19"/>
        </w:rPr>
        <w:t>Backup job failure analysis, policy assistance, restore assistance, agent/repository troubleshooting and backup-status review.</w:t>
      </w:r>
    </w:p>
    <w:p>
      <w:pPr>
        <w:pStyle w:val="ListBullet"/>
        <w:spacing w:after="44" w:line="259" w:lineRule="auto"/>
        <w:keepLines/>
      </w:pPr>
      <w:r>
        <w:rPr>
          <w:rFonts w:ascii="Carlito" w:hAnsi="Carlito"/>
          <w:color w:val="20262E"/>
          <w:sz w:val="19"/>
        </w:rPr>
        <w:t>RPO/RTO and guaranteed recoverability are not implied by backup-tool support; they require a separately agreed backup/DR service design and test regime.</w:t>
      </w:r>
    </w:p>
    <w:p>
      <w:pPr>
        <w:pStyle w:val="Heading2"/>
        <w:spacing w:before="140" w:after="80"/>
        <w:keepNext/>
        <w:keepLines/>
      </w:pPr>
      <w:r>
        <w:rPr>
          <w:rFonts w:ascii="Carlito" w:hAnsi="Carlito"/>
          <w:b/>
          <w:color w:val="0B6E75"/>
          <w:sz w:val="25"/>
        </w:rPr>
        <w:t>5.8 Cloud Support</w:t>
      </w:r>
    </w:p>
    <w:p>
      <w:pPr>
        <w:pStyle w:val="ListBullet"/>
        <w:spacing w:after="44" w:line="259" w:lineRule="auto"/>
        <w:keepLines/>
      </w:pPr>
      <w:r>
        <w:rPr>
          <w:rFonts w:ascii="Carlito" w:hAnsi="Carlito"/>
          <w:color w:val="20262E"/>
          <w:sz w:val="19"/>
        </w:rPr>
        <w:t>For the 100 Hour Pack and above: virtual machines, networking, storage, identity/access, security configuration, availability and baseline resource troubleshooting across agreed cloud platforms.</w:t>
      </w:r>
    </w:p>
    <w:p>
      <w:pPr>
        <w:pStyle w:val="ListBullet"/>
        <w:spacing w:after="44" w:line="259" w:lineRule="auto"/>
        <w:keepLines/>
      </w:pPr>
      <w:r>
        <w:rPr>
          <w:rFonts w:ascii="Carlito" w:hAnsi="Carlito"/>
          <w:color w:val="20262E"/>
          <w:sz w:val="19"/>
        </w:rPr>
        <w:t>Cloud consumption charges, provider outages and architecture transformation remain outside provider-controlled SLA unless separately contracted.</w:t>
      </w:r>
    </w:p>
    <w:p>
      <w:pPr>
        <w:pStyle w:val="Heading2"/>
        <w:spacing w:before="140" w:after="80"/>
        <w:keepNext/>
        <w:keepLines/>
      </w:pPr>
      <w:r>
        <w:rPr>
          <w:rFonts w:ascii="Carlito" w:hAnsi="Carlito"/>
          <w:b/>
          <w:color w:val="0B6E75"/>
          <w:sz w:val="25"/>
        </w:rPr>
        <w:t>5.9 Security Consulting &amp; Security Platforms</w:t>
      </w:r>
    </w:p>
    <w:p>
      <w:pPr>
        <w:pStyle w:val="ListBullet"/>
        <w:spacing w:after="44" w:line="259" w:lineRule="auto"/>
        <w:keepLines/>
      </w:pPr>
      <w:r>
        <w:rPr>
          <w:rFonts w:ascii="Carlito" w:hAnsi="Carlito"/>
          <w:color w:val="20262E"/>
          <w:sz w:val="19"/>
        </w:rPr>
        <w:t>For the 100 Hour Pack and above: security posture reviews, architecture discussions, hardening recommendations, control reviews, remediation planning and technology optimization.</w:t>
      </w:r>
    </w:p>
    <w:p>
      <w:pPr>
        <w:pStyle w:val="ListBullet"/>
        <w:spacing w:after="44" w:line="259" w:lineRule="auto"/>
        <w:keepLines/>
      </w:pPr>
      <w:r>
        <w:rPr>
          <w:rFonts w:ascii="Carlito" w:hAnsi="Carlito"/>
          <w:color w:val="20262E"/>
          <w:sz w:val="19"/>
        </w:rPr>
        <w:t>NAC: authentication, onboarding, profiling, policy and integration troubleshooting.</w:t>
      </w:r>
    </w:p>
    <w:p>
      <w:pPr>
        <w:pStyle w:val="ListBullet"/>
        <w:spacing w:after="44" w:line="259" w:lineRule="auto"/>
        <w:keepLines/>
      </w:pPr>
      <w:r>
        <w:rPr>
          <w:rFonts w:ascii="Carlito" w:hAnsi="Carlito"/>
          <w:color w:val="20262E"/>
          <w:sz w:val="19"/>
        </w:rPr>
        <w:t>NDR: sensor health, alert/detection investigation, visibility and integration troubleshooting.</w:t>
      </w:r>
    </w:p>
    <w:p>
      <w:pPr>
        <w:pStyle w:val="ListBullet"/>
        <w:spacing w:after="44" w:line="259" w:lineRule="auto"/>
        <w:keepLines/>
      </w:pPr>
      <w:r>
        <w:rPr>
          <w:rFonts w:ascii="Carlito" w:hAnsi="Carlito"/>
          <w:color w:val="20262E"/>
          <w:sz w:val="19"/>
        </w:rPr>
        <w:t>CTEM: exposure identification, vulnerability prioritization, validation support, remediation planning and risk-reduction tracking.</w:t>
      </w:r>
    </w:p>
    <w:p>
      <w:pPr>
        <w:pStyle w:val="ListBullet"/>
        <w:spacing w:after="44" w:line="259" w:lineRule="auto"/>
        <w:keepLines/>
      </w:pPr>
      <w:r>
        <w:rPr>
          <w:rFonts w:ascii="Carlito" w:hAnsi="Carlito"/>
          <w:color w:val="20262E"/>
          <w:sz w:val="19"/>
        </w:rPr>
        <w:t>SIEM: log ingestion, source onboarding, alert/correlation troubleshooting and dashboard assistance; SOAR: playbook/integration/workflow troubleshooting; UEBA: anomaly and integration investigation support.</w:t>
      </w:r>
    </w:p>
    <w:p>
      <w:pPr>
        <w:pStyle w:val="Heading2"/>
        <w:spacing w:before="140" w:after="80"/>
        <w:keepNext/>
        <w:keepLines/>
      </w:pPr>
      <w:r>
        <w:rPr>
          <w:rFonts w:ascii="Carlito" w:hAnsi="Carlito"/>
          <w:b/>
          <w:color w:val="0B6E75"/>
          <w:sz w:val="25"/>
        </w:rPr>
        <w:t>5.10 Database / DBA Support</w:t>
      </w:r>
    </w:p>
    <w:p>
      <w:pPr>
        <w:pStyle w:val="ListBullet"/>
        <w:spacing w:after="44" w:line="259" w:lineRule="auto"/>
        <w:keepLines/>
      </w:pPr>
      <w:r>
        <w:rPr>
          <w:rFonts w:ascii="Carlito" w:hAnsi="Carlito"/>
          <w:color w:val="20262E"/>
          <w:sz w:val="19"/>
        </w:rPr>
        <w:t>For the 200 Hour Pack and Enterprise: database availability, connectivity, performance troubleshooting, backup/restore assistance, users/permissions, monitoring, configuration, capacity guidance and health checks for agreed technologies.</w:t>
      </w:r>
    </w:p>
    <w:p>
      <w:pPr>
        <w:pStyle w:val="ListBullet"/>
        <w:spacing w:after="44" w:line="259" w:lineRule="auto"/>
        <w:keepLines/>
      </w:pPr>
      <w:r>
        <w:rPr>
          <w:rFonts w:ascii="Carlito" w:hAnsi="Carlito"/>
          <w:color w:val="20262E"/>
          <w:sz w:val="19"/>
        </w:rPr>
        <w:t>Database engineering is operational support; major upgrades, platform migrations, schema redesign and deep application-query optimization are separately scoped unless stated otherwise.</w:t>
      </w:r>
    </w:p>
    <w:p>
      <w:pPr>
        <w:pStyle w:val="Heading2"/>
        <w:spacing w:before="140" w:after="80"/>
        <w:keepNext/>
        <w:keepLines/>
      </w:pPr>
      <w:r>
        <w:rPr>
          <w:rFonts w:ascii="Carlito" w:hAnsi="Carlito"/>
          <w:b/>
          <w:color w:val="0B6E75"/>
          <w:sz w:val="25"/>
        </w:rPr>
        <w:t>5.11 Middleware &amp; DevOps</w:t>
      </w:r>
    </w:p>
    <w:p>
      <w:pPr>
        <w:pStyle w:val="ListBullet"/>
        <w:spacing w:after="44" w:line="259" w:lineRule="auto"/>
        <w:keepLines/>
      </w:pPr>
      <w:r>
        <w:rPr>
          <w:rFonts w:ascii="Carlito" w:hAnsi="Carlito"/>
          <w:color w:val="20262E"/>
          <w:sz w:val="19"/>
        </w:rPr>
        <w:t>For the 200 Hour Pack and Enterprise: middleware availability, configuration, integration, application connectivity, log and performance troubleshooting.</w:t>
      </w:r>
    </w:p>
    <w:p>
      <w:pPr>
        <w:pStyle w:val="ListBullet"/>
        <w:spacing w:after="44" w:line="259" w:lineRule="auto"/>
        <w:keepLines/>
      </w:pPr>
      <w:r>
        <w:rPr>
          <w:rFonts w:ascii="Carlito" w:hAnsi="Carlito"/>
          <w:color w:val="20262E"/>
          <w:sz w:val="19"/>
        </w:rPr>
        <w:t>DevOps: CI/CD, build/deployment, repository, configuration-management, infrastructure-automation and agreed container/cloud pipeline troubleshooting.</w:t>
      </w:r>
    </w:p>
    <w:p>
      <w:pPr>
        <w:pStyle w:val="ListBullet"/>
        <w:spacing w:after="44" w:line="259" w:lineRule="auto"/>
        <w:keepLines/>
      </w:pPr>
      <w:r>
        <w:rPr>
          <w:rFonts w:ascii="Carlito" w:hAnsi="Carlito"/>
          <w:color w:val="20262E"/>
          <w:sz w:val="19"/>
        </w:rPr>
        <w:t>Application development, source-code feature work and major pipeline redesign are separately scoped.</w:t>
      </w:r>
    </w:p>
    <w:p>
      <w:pPr>
        <w:pStyle w:val="Heading2"/>
        <w:spacing w:before="140" w:after="80"/>
        <w:keepNext/>
        <w:keepLines/>
      </w:pPr>
      <w:r>
        <w:rPr>
          <w:rFonts w:ascii="Carlito" w:hAnsi="Carlito"/>
          <w:b/>
          <w:color w:val="0B6E75"/>
          <w:sz w:val="25"/>
        </w:rPr>
        <w:t>5.12 Enterprise Cybersecurity &amp; Operations</w:t>
      </w:r>
    </w:p>
    <w:p>
      <w:pPr>
        <w:pStyle w:val="ListBullet"/>
        <w:spacing w:after="44" w:line="259" w:lineRule="auto"/>
        <w:keepLines/>
      </w:pPr>
      <w:r>
        <w:rPr>
          <w:rFonts w:ascii="Carlito" w:hAnsi="Carlito"/>
          <w:color w:val="20262E"/>
          <w:sz w:val="19"/>
        </w:rPr>
        <w:t>VAPT: authorized internal/external vulnerability assessment, network/web application testing, weakness validation, risk-based findings and remediation reporting, subject to written scope and Rules of Engagement.</w:t>
      </w:r>
    </w:p>
    <w:p>
      <w:pPr>
        <w:pStyle w:val="ListBullet"/>
        <w:spacing w:after="44" w:line="259" w:lineRule="auto"/>
        <w:keepLines/>
      </w:pPr>
      <w:r>
        <w:rPr>
          <w:rFonts w:ascii="Carlito" w:hAnsi="Carlito"/>
          <w:color w:val="20262E"/>
          <w:sz w:val="19"/>
        </w:rPr>
        <w:t>Red Teaming: separately authorized adversary-simulation scenarios with agreed systems, timing, techniques, safety constraints and escalation contacts.</w:t>
      </w:r>
    </w:p>
    <w:p>
      <w:pPr>
        <w:pStyle w:val="ListBullet"/>
        <w:spacing w:after="44" w:line="259" w:lineRule="auto"/>
        <w:keepLines/>
      </w:pPr>
      <w:r>
        <w:rPr>
          <w:rFonts w:ascii="Carlito" w:hAnsi="Carlito"/>
          <w:color w:val="20262E"/>
          <w:sz w:val="19"/>
        </w:rPr>
        <w:t>SOC: security alert monitoring/triage, investigation, SIEM/EDR/XDR monitoring, incident escalation and coordination for integrated data sources.</w:t>
      </w:r>
    </w:p>
    <w:p>
      <w:pPr>
        <w:pStyle w:val="ListBullet"/>
        <w:spacing w:after="44" w:line="259" w:lineRule="auto"/>
        <w:keepLines/>
      </w:pPr>
      <w:r>
        <w:rPr>
          <w:rFonts w:ascii="Carlito" w:hAnsi="Carlito"/>
          <w:color w:val="20262E"/>
          <w:sz w:val="19"/>
        </w:rPr>
        <w:t>NOC: infrastructure/network/server/service monitoring, event triage, incident creation and technical escalation for monitored assets.</w:t>
      </w:r>
    </w:p>
    <w:p>
      <w:pPr>
        <w:pStyle w:val="ListBullet"/>
        <w:spacing w:after="44" w:line="259" w:lineRule="auto"/>
        <w:keepLines/>
      </w:pPr>
      <w:r>
        <w:rPr>
          <w:rFonts w:ascii="Carlito" w:hAnsi="Carlito"/>
          <w:color w:val="20262E"/>
          <w:sz w:val="19"/>
        </w:rPr>
        <w:t>Digital Forensics: host/log/evidence review, timeline development, indicator analysis and root-cause support. Formal legal/eDiscovery, expert-witness or regulated chain-of-custody requirements require separate written scope.</w:t>
      </w:r>
    </w:p>
    <w:p>
      <w:pPr>
        <w:pStyle w:val="ListBullet"/>
        <w:spacing w:after="44" w:line="259" w:lineRule="auto"/>
        <w:keepLines/>
      </w:pPr>
      <w:r>
        <w:rPr>
          <w:rFonts w:ascii="Carlito" w:hAnsi="Carlito"/>
          <w:color w:val="20262E"/>
          <w:sz w:val="19"/>
        </w:rPr>
        <w:t>Enterprise Architects: application/infrastructure/cloud/integration/security architecture, modernization, resiliency and transformation advisory.</w:t>
      </w:r>
    </w:p>
    <w:p>
      <w:pPr>
        <w:pStyle w:val="ListBullet"/>
        <w:spacing w:after="44" w:line="259" w:lineRule="auto"/>
        <w:keepLines/>
      </w:pPr>
      <w:r>
        <w:rPr>
          <w:rFonts w:ascii="Carlito" w:hAnsi="Carlito"/>
          <w:color w:val="20262E"/>
          <w:sz w:val="19"/>
        </w:rPr>
        <w:t>Dedicated Account Manager: governance, communication, escalation management, SLA review, service coordination and continual-improvement planning.</w:t>
      </w:r>
    </w:p>
    <w:p>
      <w:pPr>
        <w:pStyle w:val="Heading1"/>
        <w:spacing w:before="200" w:after="120"/>
        <w:keepNext/>
        <w:keepLines/>
      </w:pPr>
      <w:r>
        <w:rPr>
          <w:rFonts w:ascii="Carlito" w:hAnsi="Carlito"/>
          <w:b/>
          <w:color w:val="17324D"/>
          <w:sz w:val="32"/>
        </w:rPr>
        <w:t>6. Package Entitlements &amp; Boundaries</w:t>
      </w:r>
    </w:p>
    <w:p>
      <w:pPr>
        <w:pStyle w:val="Heading2"/>
        <w:spacing w:before="140" w:after="80"/>
        <w:keepNext/>
        <w:keepLines/>
      </w:pPr>
      <w:r>
        <w:rPr>
          <w:rFonts w:ascii="Carlito" w:hAnsi="Carlito"/>
          <w:b/>
          <w:color w:val="0B6E75"/>
          <w:sz w:val="25"/>
        </w:rPr>
        <w:t>6.1 Reactive Support 50 Hours</w:t>
      </w:r>
    </w:p>
    <w:p>
      <w:pPr>
        <w:spacing w:after="80" w:before="0" w:line="269" w:lineRule="auto"/>
        <w:keepLines/>
      </w:pPr>
      <w:r>
        <w:rPr>
          <w:rFonts w:ascii="Carlito" w:hAnsi="Carlito"/>
          <w:b w:val="0"/>
          <w:i w:val="0"/>
          <w:color w:val="20262E"/>
          <w:sz w:val="19"/>
        </w:rPr>
        <w:t>Recommended for organizations requiring reliable operational support for core infrastructure, endpoints, servers, networks, Microsoft 365, backup and storage.</w:t>
      </w:r>
    </w:p>
    <w:p>
      <w:pPr>
        <w:pStyle w:val="ListBullet"/>
        <w:spacing w:after="44" w:line="259" w:lineRule="auto"/>
        <w:keepLines/>
      </w:pPr>
      <w:r>
        <w:rPr>
          <w:rFonts w:ascii="Carlito" w:hAnsi="Carlito"/>
          <w:color w:val="20262E"/>
          <w:sz w:val="19"/>
        </w:rPr>
        <w:t>50 prepaid reactive support hours valid for 3 months from service activation.</w:t>
      </w:r>
    </w:p>
    <w:p>
      <w:pPr>
        <w:pStyle w:val="ListBullet"/>
        <w:spacing w:after="44" w:line="259" w:lineRule="auto"/>
        <w:keepLines/>
      </w:pPr>
      <w:r>
        <w:rPr>
          <w:rFonts w:ascii="Carlito" w:hAnsi="Carlito"/>
          <w:color w:val="20262E"/>
          <w:sz w:val="19"/>
        </w:rPr>
        <w:t>L1, L2, L3 and SME effort may be used as required; all actual effort is deducted from the same 50-hour bank.</w:t>
      </w:r>
    </w:p>
    <w:p>
      <w:pPr>
        <w:pStyle w:val="ListBullet"/>
        <w:spacing w:after="44" w:line="259" w:lineRule="auto"/>
        <w:keepLines/>
      </w:pPr>
      <w:r>
        <w:rPr>
          <w:rFonts w:ascii="Carlito" w:hAnsi="Carlito"/>
          <w:color w:val="20262E"/>
          <w:sz w:val="19"/>
        </w:rPr>
        <w:t>P1 initial response target: 60 minutes within the Customer Local Support Shift.</w:t>
      </w:r>
    </w:p>
    <w:p>
      <w:pPr>
        <w:pStyle w:val="ListBullet"/>
      </w:pPr>
      <w:r>
        <w:rPr>
          <w:rFonts w:ascii="Carlito" w:hAnsi="Carlito"/>
          <w:sz w:val="19"/>
        </w:rPr>
        <w:t>Service window: one continuous 8-hour support shift per business day, five business days per week, in the customer local timezone; exact shift hours and holiday calendar are stated in the SOW.</w:t>
      </w:r>
    </w:p>
    <w:p>
      <w:pPr>
        <w:pStyle w:val="ListBullet"/>
      </w:pPr>
      <w:r>
        <w:rPr>
          <w:rFonts w:ascii="Carlito" w:hAnsi="Carlito"/>
          <w:sz w:val="19"/>
        </w:rPr>
        <w:t>P1 consumption rule: active P1 engineering effort is debited at 2.0x actual engineer-hours. Example: 1.0 actual engineer-hour consumes 2.0 support hours.</w:t>
      </w:r>
    </w:p>
    <w:p>
      <w:pPr>
        <w:pStyle w:val="ListBullet"/>
        <w:spacing w:after="44" w:line="259" w:lineRule="auto"/>
        <w:keepLines/>
      </w:pPr>
      <w:r>
        <w:rPr>
          <w:rFonts w:ascii="Carlito" w:hAnsi="Carlito"/>
          <w:color w:val="20262E"/>
          <w:sz w:val="19"/>
        </w:rPr>
        <w:t>Includes EDR, OS, AD, hypervisor, network, Microsoft 365, storage and backup support.</w:t>
      </w:r>
    </w:p>
    <w:p>
      <w:pPr>
        <w:pStyle w:val="Heading2"/>
        <w:spacing w:before="140" w:after="80"/>
        <w:keepNext/>
        <w:keepLines/>
      </w:pPr>
      <w:r>
        <w:rPr>
          <w:rFonts w:ascii="Carlito" w:hAnsi="Carlito"/>
          <w:b/>
          <w:color w:val="0B6E75"/>
          <w:sz w:val="25"/>
        </w:rPr>
        <w:t>6.2 Reactive Support 100 Hours</w:t>
      </w:r>
    </w:p>
    <w:p>
      <w:pPr>
        <w:spacing w:after="80" w:before="0" w:line="269" w:lineRule="auto"/>
        <w:keepLines/>
      </w:pPr>
      <w:r>
        <w:rPr>
          <w:rFonts w:ascii="Carlito" w:hAnsi="Carlito"/>
          <w:b w:val="0"/>
          <w:i w:val="0"/>
          <w:color w:val="20262E"/>
          <w:sz w:val="19"/>
        </w:rPr>
        <w:t>Recommended for environments requiring infrastructure support plus cloud and cybersecurity technology expertise.</w:t>
      </w:r>
    </w:p>
    <w:p>
      <w:pPr>
        <w:pStyle w:val="ListBullet"/>
        <w:spacing w:after="44" w:line="259" w:lineRule="auto"/>
        <w:keepLines/>
      </w:pPr>
      <w:r>
        <w:rPr>
          <w:rFonts w:ascii="Carlito" w:hAnsi="Carlito"/>
          <w:color w:val="20262E"/>
          <w:sz w:val="19"/>
        </w:rPr>
        <w:t>100 prepaid reactive support hours valid for 6 months from service activation.</w:t>
      </w:r>
    </w:p>
    <w:p>
      <w:pPr>
        <w:pStyle w:val="ListBullet"/>
        <w:spacing w:after="44" w:line="259" w:lineRule="auto"/>
        <w:keepLines/>
      </w:pPr>
      <w:r>
        <w:rPr>
          <w:rFonts w:ascii="Carlito" w:hAnsi="Carlito"/>
          <w:color w:val="20262E"/>
          <w:sz w:val="19"/>
        </w:rPr>
        <w:t>L1, L2, L3 and SME effort may be used as required; all actual effort is deducted from the same 100-hour bank.</w:t>
      </w:r>
    </w:p>
    <w:p>
      <w:pPr>
        <w:pStyle w:val="ListBullet"/>
        <w:spacing w:after="44" w:line="259" w:lineRule="auto"/>
        <w:keepLines/>
      </w:pPr>
      <w:r>
        <w:rPr>
          <w:rFonts w:ascii="Carlito" w:hAnsi="Carlito"/>
          <w:color w:val="20262E"/>
          <w:sz w:val="19"/>
        </w:rPr>
        <w:t>P1 initial response target: 60 minutes within the Customer Local Support Shift.</w:t>
      </w:r>
    </w:p>
    <w:p>
      <w:pPr>
        <w:pStyle w:val="ListBullet"/>
      </w:pPr>
      <w:r>
        <w:rPr>
          <w:rFonts w:ascii="Carlito" w:hAnsi="Carlito"/>
          <w:sz w:val="19"/>
        </w:rPr>
        <w:t>Service window: one continuous 8-hour support shift per business day, five business days per week, in the customer local timezone; exact shift hours and holiday calendar are stated in the SOW.</w:t>
      </w:r>
    </w:p>
    <w:p>
      <w:pPr>
        <w:pStyle w:val="ListBullet"/>
      </w:pPr>
      <w:r>
        <w:rPr>
          <w:rFonts w:ascii="Carlito" w:hAnsi="Carlito"/>
          <w:sz w:val="19"/>
        </w:rPr>
        <w:t>P1 consumption rule: active P1 engineering effort is debited at 2.0x actual engineer-hours. Example: 1.0 actual engineer-hour consumes 2.0 support hours.</w:t>
      </w:r>
    </w:p>
    <w:p>
      <w:pPr>
        <w:pStyle w:val="ListBullet"/>
        <w:spacing w:after="44" w:line="259" w:lineRule="auto"/>
        <w:keepLines/>
      </w:pPr>
      <w:r>
        <w:rPr>
          <w:rFonts w:ascii="Carlito" w:hAnsi="Carlito"/>
          <w:color w:val="20262E"/>
          <w:sz w:val="19"/>
        </w:rPr>
        <w:t>Includes 50 Hour Pack capabilities plus XDR, cloud, security consulting, NAC, NDR, CTEM, SIEM, SOAR and UEBA.</w:t>
      </w:r>
    </w:p>
    <w:p>
      <w:pPr>
        <w:pStyle w:val="Heading2"/>
        <w:spacing w:before="140" w:after="80"/>
        <w:keepNext/>
        <w:keepLines/>
      </w:pPr>
      <w:r>
        <w:rPr>
          <w:rFonts w:ascii="Carlito" w:hAnsi="Carlito"/>
          <w:b/>
          <w:color w:val="0B6E75"/>
          <w:sz w:val="25"/>
        </w:rPr>
        <w:t>6.3 Reactive Support 200 Hours</w:t>
      </w:r>
    </w:p>
    <w:p>
      <w:pPr>
        <w:spacing w:after="80" w:before="0" w:line="269" w:lineRule="auto"/>
        <w:keepLines/>
      </w:pPr>
      <w:r>
        <w:rPr>
          <w:rFonts w:ascii="Carlito" w:hAnsi="Carlito"/>
          <w:b w:val="0"/>
          <w:i w:val="0"/>
          <w:color w:val="20262E"/>
          <w:sz w:val="19"/>
        </w:rPr>
        <w:t>Recommended for medium-to-large organizations with complex operational environments that also require database, middleware and DevOps expertise.</w:t>
      </w:r>
    </w:p>
    <w:p>
      <w:pPr>
        <w:pStyle w:val="ListBullet"/>
        <w:spacing w:after="44" w:line="259" w:lineRule="auto"/>
        <w:keepLines/>
      </w:pPr>
      <w:r>
        <w:rPr>
          <w:rFonts w:ascii="Carlito" w:hAnsi="Carlito"/>
          <w:color w:val="20262E"/>
          <w:sz w:val="19"/>
        </w:rPr>
        <w:t>200 prepaid reactive support hours valid for 12 months from service activation.</w:t>
      </w:r>
    </w:p>
    <w:p>
      <w:pPr>
        <w:pStyle w:val="ListBullet"/>
        <w:spacing w:after="44" w:line="259" w:lineRule="auto"/>
        <w:keepLines/>
      </w:pPr>
      <w:r>
        <w:rPr>
          <w:rFonts w:ascii="Carlito" w:hAnsi="Carlito"/>
          <w:color w:val="20262E"/>
          <w:sz w:val="19"/>
        </w:rPr>
        <w:t>L1, L2, L3 and SME effort may be used as required; all actual effort is deducted from the same 200-hour bank.</w:t>
      </w:r>
    </w:p>
    <w:p>
      <w:pPr>
        <w:pStyle w:val="ListBullet"/>
        <w:spacing w:after="44" w:line="259" w:lineRule="auto"/>
        <w:keepLines/>
      </w:pPr>
      <w:r>
        <w:rPr>
          <w:rFonts w:ascii="Carlito" w:hAnsi="Carlito"/>
          <w:color w:val="20262E"/>
          <w:sz w:val="19"/>
        </w:rPr>
        <w:t>P1 initial response target: 30 minutes within the contracted service window.</w:t>
      </w:r>
    </w:p>
    <w:p>
      <w:pPr>
        <w:pStyle w:val="ListBullet"/>
        <w:spacing w:after="44" w:line="259" w:lineRule="auto"/>
        <w:keepLines/>
      </w:pPr>
      <w:r>
        <w:rPr>
          <w:rFonts w:ascii="Carlito" w:hAnsi="Carlito"/>
          <w:color w:val="20262E"/>
          <w:sz w:val="19"/>
        </w:rPr>
        <w:t>Includes 100 Hour Pack capabilities plus DBA, middleware and DevOps specialist support.</w:t>
      </w:r>
    </w:p>
    <w:p>
      <w:pPr>
        <w:pStyle w:val="Heading2"/>
        <w:spacing w:before="140" w:after="80"/>
        <w:keepNext/>
        <w:keepLines/>
      </w:pPr>
      <w:r>
        <w:rPr>
          <w:rFonts w:ascii="Carlito" w:hAnsi="Carlito"/>
          <w:b/>
          <w:color w:val="0B6E75"/>
          <w:sz w:val="25"/>
        </w:rPr>
        <w:t>6.4 Enterprise 24x7 Support</w:t>
      </w:r>
    </w:p>
    <w:p>
      <w:pPr>
        <w:spacing w:after="80" w:before="0" w:line="269" w:lineRule="auto"/>
        <w:keepLines/>
      </w:pPr>
      <w:r>
        <w:rPr>
          <w:rFonts w:ascii="Carlito" w:hAnsi="Carlito"/>
          <w:b w:val="0"/>
          <w:i w:val="0"/>
          <w:color w:val="20262E"/>
          <w:sz w:val="19"/>
        </w:rPr>
        <w:t>Recommended for mission-critical environments requiring continuous service availability, rapid incident response and coordinated IT/security operations.</w:t>
      </w:r>
    </w:p>
    <w:p>
      <w:pPr>
        <w:pStyle w:val="ListBullet"/>
        <w:spacing w:after="44" w:line="259" w:lineRule="auto"/>
        <w:keepLines/>
      </w:pPr>
      <w:r>
        <w:rPr>
          <w:rFonts w:ascii="Carlito" w:hAnsi="Carlito"/>
          <w:color w:val="20262E"/>
          <w:sz w:val="19"/>
        </w:rPr>
        <w:t>24x7x365 incident intake for contracted in-scope services.</w:t>
      </w:r>
    </w:p>
    <w:p>
      <w:pPr>
        <w:pStyle w:val="ListBullet"/>
        <w:spacing w:after="44" w:line="259" w:lineRule="auto"/>
        <w:keepLines/>
      </w:pPr>
      <w:r>
        <w:rPr>
          <w:rFonts w:ascii="Carlito" w:hAnsi="Carlito"/>
          <w:color w:val="20262E"/>
          <w:sz w:val="19"/>
        </w:rPr>
        <w:t>Coverage from L1 through SME based on the agreed operating model and staffing plan.</w:t>
      </w:r>
    </w:p>
    <w:p>
      <w:pPr>
        <w:pStyle w:val="ListBullet"/>
        <w:spacing w:after="44" w:line="259" w:lineRule="auto"/>
        <w:keepLines/>
      </w:pPr>
      <w:r>
        <w:rPr>
          <w:rFonts w:ascii="Carlito" w:hAnsi="Carlito"/>
          <w:color w:val="20262E"/>
          <w:sz w:val="19"/>
        </w:rPr>
        <w:t>P1 initial response target: 15 minutes.</w:t>
      </w:r>
    </w:p>
    <w:p>
      <w:pPr>
        <w:pStyle w:val="ListBullet"/>
        <w:spacing w:after="44" w:line="259" w:lineRule="auto"/>
        <w:keepLines/>
      </w:pPr>
      <w:r>
        <w:rPr>
          <w:rFonts w:ascii="Carlito" w:hAnsi="Carlito"/>
          <w:color w:val="20262E"/>
          <w:sz w:val="19"/>
        </w:rPr>
        <w:t>Includes preceding capabilities plus contracted SOC/NOC, VAPT/Red Team, forensics, architecture and dedicated service management.</w:t>
      </w:r>
    </w:p>
    <w:p>
      <w:pPr>
        <w:pStyle w:val="ListBullet"/>
        <w:spacing w:after="44" w:line="259" w:lineRule="auto"/>
        <w:keepLines/>
      </w:pPr>
      <w:r>
        <w:rPr>
          <w:rFonts w:ascii="Carlito" w:hAnsi="Carlito"/>
          <w:color w:val="20262E"/>
          <w:sz w:val="19"/>
        </w:rPr>
        <w:t>Enterprise is not an unlimited-project or unlimited-engineering model; device/user volumes, monitoring scope, dedicated/shared staffing and change capacity are specified in the SOW.</w:t>
      </w:r>
    </w:p>
    <w:p>
      <w:pPr>
        <w:pStyle w:val="Heading1"/>
        <w:spacing w:before="200" w:after="120"/>
        <w:keepNext/>
        <w:keepLines/>
      </w:pPr>
      <w:r>
        <w:rPr>
          <w:rFonts w:ascii="Carlito" w:hAnsi="Carlito"/>
          <w:b/>
          <w:color w:val="17324D"/>
          <w:sz w:val="32"/>
        </w:rPr>
        <w:t>7. Service Window &amp; Support-Hour Consumption</w:t>
      </w:r>
    </w:p>
    <w:p>
      <w:pPr>
        <w:pStyle w:val="Heading2"/>
        <w:spacing w:before="140" w:after="80"/>
        <w:keepNext/>
        <w:keepLines/>
      </w:pPr>
      <w:r>
        <w:rPr>
          <w:rFonts w:ascii="Carlito" w:hAnsi="Carlito"/>
          <w:b/>
          <w:color w:val="0B6E75"/>
          <w:sz w:val="25"/>
        </w:rPr>
        <w:t>7.1 Support Windows</w:t>
      </w:r>
    </w:p>
    <w:p>
      <w:pPr>
        <w:pStyle w:val="ListBullet"/>
        <w:spacing w:after="44" w:line="259" w:lineRule="auto"/>
        <w:keepLines/>
      </w:pPr>
      <w:r>
        <w:rPr>
          <w:rFonts w:ascii="Carlito" w:hAnsi="Carlito"/>
          <w:color w:val="20262E"/>
          <w:sz w:val="19"/>
        </w:rPr>
        <w:t>The 50 and 100 Hour Packs operate only within one Customer Local Support Shift (CLSS): one continuous 8-hour support window per business day, five business days per week, aligned to the customer local timezone. The exact start/end times, working days and public-holiday calendar are recorded in the SOW.</w:t>
      </w:r>
    </w:p>
    <w:p>
      <w:pPr>
        <w:pStyle w:val="ListBullet"/>
        <w:spacing w:after="44" w:line="259" w:lineRule="auto"/>
        <w:keepLines/>
      </w:pPr>
      <w:r>
        <w:rPr>
          <w:rFonts w:ascii="Carlito" w:hAnsi="Carlito"/>
          <w:color w:val="20262E"/>
          <w:sz w:val="19"/>
        </w:rPr>
        <w:t>The 200 Hour Pack operates within the support window expressly defined in the SOW. Its window may extend beyond a single customer-local shift when commercially agreed; no extended-hours commitment applies unless stated in the SOW.</w:t>
      </w:r>
    </w:p>
    <w:p>
      <w:pPr>
        <w:pStyle w:val="ListBullet"/>
        <w:spacing w:after="44" w:line="259" w:lineRule="auto"/>
        <w:keepLines/>
      </w:pPr>
      <w:r>
        <w:rPr>
          <w:rFonts w:ascii="Carlito" w:hAnsi="Carlito"/>
          <w:color w:val="20262E"/>
          <w:sz w:val="19"/>
        </w:rPr>
        <w:t>Enterprise operates 24x7x365 for contracted incident intake and monitoring scope. Planned changes and project activities may still require mutually agreed maintenance windows.</w:t>
      </w:r>
    </w:p>
    <w:p>
      <w:pPr>
        <w:pStyle w:val="ListBullet"/>
      </w:pPr>
      <w:r>
        <w:rPr>
          <w:rFonts w:ascii="Carlito" w:hAnsi="Carlito"/>
          <w:sz w:val="19"/>
        </w:rPr>
        <w:t>Tickets may be submitted outside the applicable support window, but for the 50 and 100 Hour Packs the SLA clock and engineering response begin when the Customer Local Support Shift opens unless separate after-hours coverage is expressly contracted. Any agreed after-hours P1 work follows the applicable commercial schedule; unless the SOW states otherwise, the 2.0x P1 consumption rule still applies.</w:t>
      </w:r>
    </w:p>
    <w:p>
      <w:pPr>
        <w:pStyle w:val="Heading2"/>
        <w:spacing w:before="140" w:after="80"/>
        <w:keepNext/>
        <w:keepLines/>
      </w:pPr>
      <w:r>
        <w:rPr>
          <w:rFonts w:ascii="Carlito" w:hAnsi="Carlito"/>
          <w:b/>
          <w:color w:val="0B6E75"/>
          <w:sz w:val="25"/>
        </w:rPr>
        <w:t>7.2 Hour Accounting</w:t>
      </w:r>
    </w:p>
    <w:p>
      <w:pPr>
        <w:pStyle w:val="ListBullet"/>
        <w:spacing w:after="44" w:line="259" w:lineRule="auto"/>
        <w:keepLines/>
      </w:pPr>
      <w:r>
        <w:rPr>
          <w:rFonts w:ascii="Carlito" w:hAnsi="Carlito"/>
          <w:color w:val="20262E"/>
          <w:sz w:val="19"/>
        </w:rPr>
        <w:t>Prepaid support hours are consumed from the selected bank based on actual engineer/service effort for active engineering, investigation, administration, change execution, customer-requested technical meetings, and vendor/OEM coordination related to an in-scope ticket.</w:t>
      </w:r>
    </w:p>
    <w:p>
      <w:pPr>
        <w:pStyle w:val="ListBullet"/>
        <w:spacing w:after="44" w:line="259" w:lineRule="auto"/>
        <w:keepLines/>
      </w:pPr>
      <w:r>
        <w:rPr>
          <w:rFonts w:ascii="Carlito" w:hAnsi="Carlito"/>
          <w:color w:val="20262E"/>
          <w:sz w:val="19"/>
        </w:rPr>
        <w:t>Unless the SOW states otherwise, non-P1 work is recorded in 15-minute increments after the first 15 minutes.</w:t>
      </w:r>
    </w:p>
    <w:p>
      <w:pPr>
        <w:pStyle w:val="ListBullet"/>
      </w:pPr>
      <w:r>
        <w:rPr>
          <w:rFonts w:ascii="Carlito" w:hAnsi="Carlito"/>
          <w:sz w:val="19"/>
        </w:rPr>
        <w:t>For the 50 and 100 Hour Packs, all active engineering effort on a P1 incident is subject to a 2.0x support-hour consumption multiplier. One actual engineer-hour therefore consumes two support hours from the applicable bank.</w:t>
      </w:r>
    </w:p>
    <w:p>
      <w:pPr>
        <w:pStyle w:val="ListBullet"/>
      </w:pPr>
      <w:r>
        <w:rPr>
          <w:rFonts w:ascii="Carlito" w:hAnsi="Carlito"/>
          <w:sz w:val="19"/>
        </w:rPr>
        <w:t>The P1 multiplier is applied to aggregate actual engineer-hours. Example: two engineers working concurrently for one hour equals two actual engineer-hours and consumes four support hours at the 2.0x multiplier. The same rule applies to L2/L3/SME effort against the applicable pooled or specialist entitlement unless the SOW expressly states otherwise.</w:t>
      </w:r>
    </w:p>
    <w:p>
      <w:pPr>
        <w:pStyle w:val="ListBullet"/>
      </w:pPr>
      <w:r>
        <w:rPr>
          <w:rFonts w:ascii="Carlito" w:hAnsi="Carlito"/>
          <w:sz w:val="19"/>
        </w:rPr>
        <w:t>The P1 multiplier applies while the incident is actively handled as P1. After service restoration, customer-approved downgrade, or reclassification to P2/P3/P4, subsequent work returns to normal 1.0x consumption unless otherwise stated in the SOW. Waiting time with no active provider engineering effort is not charged.</w:t>
      </w:r>
    </w:p>
    <w:p>
      <w:pPr>
        <w:pStyle w:val="ListBullet"/>
        <w:spacing w:after="44" w:line="259" w:lineRule="auto"/>
        <w:keepLines/>
      </w:pPr>
      <w:r>
        <w:rPr>
          <w:rFonts w:ascii="Carlito" w:hAnsi="Carlito"/>
          <w:color w:val="20262E"/>
          <w:sz w:val="19"/>
        </w:rPr>
        <w:t>There is no separate specialist reserve. L3/SME effort is deducted from the selected hour bank; for P1 work under the 50 and 100 Hour Packs, specialist effort is subject to the 2.0x multiplier unless the SOW states otherwise.</w:t>
      </w:r>
    </w:p>
    <w:p>
      <w:pPr>
        <w:pStyle w:val="ListBullet"/>
        <w:spacing w:after="44" w:line="259" w:lineRule="auto"/>
        <w:keepLines/>
      </w:pPr>
      <w:r>
        <w:rPr>
          <w:rFonts w:ascii="Carlito" w:hAnsi="Carlito"/>
          <w:color w:val="20262E"/>
          <w:sz w:val="19"/>
        </w:rPr>
        <w:t>Unused hours expire at the end of the selected pack validity period. They do not refresh monthly and do not roll over unless a paid validity extension or other written commercial exception is agreed before expiry.</w:t>
      </w:r>
    </w:p>
    <w:p>
      <w:pPr>
        <w:pStyle w:val="ListBullet"/>
        <w:spacing w:after="44" w:line="259" w:lineRule="auto"/>
        <w:keepLines/>
      </w:pPr>
      <w:r>
        <w:rPr>
          <w:rFonts w:ascii="Carlito" w:hAnsi="Carlito"/>
          <w:color w:val="20262E"/>
          <w:sz w:val="19"/>
        </w:rPr>
        <w:t>Work after the hour bank is exhausted requires customer approval and either a new pack or billing at the agreed overage rate. Where P1 work under the 50 or 100 Hour Pack continues beyond available hours with approval, the 2.0x consumption rule remains applicable unless the commercial schedule states otherwise.</w:t>
      </w:r>
    </w:p>
    <w:p>
      <w:pPr>
        <w:pStyle w:val="ListBullet"/>
        <w:spacing w:after="44" w:line="259" w:lineRule="auto"/>
        <w:keepLines/>
      </w:pPr>
      <w:r>
        <w:rPr>
          <w:rFonts w:ascii="Carlito" w:hAnsi="Carlito"/>
          <w:color w:val="20262E"/>
          <w:sz w:val="19"/>
        </w:rPr>
        <w:t>Provider-caused rework to correct an error introduced by the provider is not charged to the customer support-hour bank.</w:t>
      </w:r>
    </w:p>
    <w:p>
      <w:pPr>
        <w:pStyle w:val="Heading1"/>
        <w:spacing w:before="200" w:after="120"/>
        <w:keepNext/>
        <w:keepLines/>
      </w:pPr>
      <w:r>
        <w:rPr>
          <w:rFonts w:ascii="Carlito" w:hAnsi="Carlito"/>
          <w:b/>
          <w:color w:val="17324D"/>
          <w:sz w:val="32"/>
        </w:rPr>
        <w:t>8. Incident Priority &amp; SLA Framework</w:t>
      </w:r>
    </w:p>
    <w:p>
      <w:pPr>
        <w:spacing w:after="80" w:before="0" w:line="269" w:lineRule="auto"/>
        <w:keepLines/>
      </w:pPr>
      <w:r>
        <w:rPr>
          <w:rFonts w:ascii="Carlito" w:hAnsi="Carlito"/>
          <w:b w:val="0"/>
          <w:i w:val="0"/>
          <w:color w:val="20262E"/>
          <w:sz w:val="19"/>
        </w:rPr>
        <w:t>Priority is assigned using business impact and urgency, not solely by the requester. The provider may propose a priority change with documented rationale; disputed priority is escalated through service management.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Priority</w:t>
            </w:r>
          </w:p>
        </w:tc>
        <w:tc>
          <w:tcPr>
            <w:tcW w:type="dxa" w:w="368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Definition</w:t>
            </w:r>
          </w:p>
        </w:tc>
        <w:tc>
          <w:tcPr>
            <w:tcW w:type="dxa" w:w="39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Examples</w:t>
            </w:r>
          </w:p>
        </w:tc>
      </w:tr>
      <w:tr>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P1 - Critical</w:t>
            </w:r>
          </w:p>
        </w:tc>
        <w:tc>
          <w:tcPr>
            <w:tcW w:type="dxa" w:w="368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Severe business impact; mission-critical service unavailable or major cybersecurity event with no acceptable workaround.</w:t>
            </w:r>
          </w:p>
        </w:tc>
        <w:tc>
          <w:tcPr>
            <w:tcW w:type="dxa" w:w="39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Major production outage; widespread impact; critical network failure; suspected/confirmed material cyber incident.</w:t>
            </w:r>
          </w:p>
        </w:tc>
      </w:tr>
      <w:tr>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P2 - High</w:t>
            </w:r>
          </w:p>
        </w:tc>
        <w:tc>
          <w:tcPr>
            <w:tcW w:type="dxa" w:w="368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Significant degradation affecting an important service or multiple users; limited workaround may exist.</w:t>
            </w:r>
          </w:p>
        </w:tc>
        <w:tc>
          <w:tcPr>
            <w:tcW w:type="dxa" w:w="39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Major function unavailable; repeated failure; high-risk security issue requiring urgent action.</w:t>
            </w:r>
          </w:p>
        </w:tc>
      </w:tr>
      <w:tr>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P3 - Medium</w:t>
            </w:r>
          </w:p>
        </w:tc>
        <w:tc>
          <w:tcPr>
            <w:tcW w:type="dxa" w:w="368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Limited impact; non-critical service degradation; normal operations substantially available.</w:t>
            </w:r>
          </w:p>
        </w:tc>
        <w:tc>
          <w:tcPr>
            <w:tcW w:type="dxa" w:w="39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Single-team issue; intermittent fault; standard troubleshooting.</w:t>
            </w:r>
          </w:p>
        </w:tc>
      </w:tr>
      <w:tr>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P4 - Low / Request</w:t>
            </w:r>
          </w:p>
        </w:tc>
        <w:tc>
          <w:tcPr>
            <w:tcW w:type="dxa" w:w="368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Low-impact incident, information request, standard administration or planned service request.</w:t>
            </w:r>
          </w:p>
        </w:tc>
        <w:tc>
          <w:tcPr>
            <w:tcW w:type="dxa" w:w="39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User/admin changes, how-to request, routine configuration.</w:t>
            </w:r>
          </w:p>
        </w:tc>
      </w:tr>
    </w:tbl>
    <w:p>
      <w:pPr>
        <w:spacing w:after="20"/>
        <w:keepLines/>
      </w:pPr>
    </w:p>
    <w:p>
      <w:pPr>
        <w:pStyle w:val="Heading2"/>
        <w:spacing w:before="140" w:after="80"/>
        <w:keepNext/>
        <w:keepLines/>
      </w:pPr>
      <w:r>
        <w:rPr>
          <w:rFonts w:ascii="Carlito" w:hAnsi="Carlito"/>
          <w:b/>
          <w:color w:val="0B6E75"/>
          <w:sz w:val="25"/>
        </w:rPr>
        <w:t>8.1 Baseline Initial Response Targets</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215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Priority</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50 Hour Pack</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100 Hour Pack</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200 Hour Pack</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Enterprise</w:t>
            </w:r>
          </w:p>
        </w:tc>
      </w:tr>
      <w:tr>
        <w:tc>
          <w:tcPr>
            <w:tcW w:type="dxa" w:w="215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P1 Critical</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60 min*</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60 min*</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30 min*</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15 min</w:t>
            </w:r>
          </w:p>
        </w:tc>
      </w:tr>
      <w:tr>
        <w:tc>
          <w:tcPr>
            <w:tcW w:type="dxa" w:w="215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P2 High</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4 business hrs</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2 business hrs</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1 business hr</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30 min</w:t>
            </w:r>
          </w:p>
        </w:tc>
      </w:tr>
      <w:tr>
        <w:tc>
          <w:tcPr>
            <w:tcW w:type="dxa" w:w="215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P3 Medium</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8 business hrs</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4 business hrs</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4 business hrs</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2 hrs</w:t>
            </w:r>
          </w:p>
        </w:tc>
      </w:tr>
      <w:tr>
        <w:tc>
          <w:tcPr>
            <w:tcW w:type="dxa" w:w="215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P4 Low/Request</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2 business days</w:t>
            </w:r>
          </w:p>
        </w:tc>
        <w:tc>
          <w:tcPr>
            <w:tcW w:type="dxa" w:w="1587"/>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1 business day</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1 business day</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4 hrs</w:t>
            </w:r>
          </w:p>
        </w:tc>
      </w:tr>
    </w:tbl>
    <w:p>
      <w:pPr>
        <w:spacing w:after="20"/>
        <w:keepLines/>
      </w:pPr>
    </w:p>
    <w:p>
      <w:pPr>
        <w:spacing w:after="80" w:before="0" w:line="269" w:lineRule="auto"/>
        <w:keepLines/>
      </w:pPr>
      <w:r>
        <w:rPr>
          <w:rFonts w:ascii="Carlito" w:hAnsi="Carlito"/>
          <w:b w:val="0"/>
          <w:i/>
          <w:color w:val="5B6573"/>
          <w:sz w:val="17"/>
        </w:rPr>
        <w:t>* For the 50 and 100 Hour Packs, response targets are measured only while the Customer Local Support Shift is open. The 200 Hour Pack response targets are measured within its SOW-defined support window. Enterprise targets operate against the contracted 24x7x365 service. The final SLA schedule in the executed SOW supersedes this baseline.</w:t>
      </w:r>
    </w:p>
    <w:p>
      <w:pPr>
        <w:pStyle w:val="Heading2"/>
        <w:spacing w:before="140" w:after="80"/>
        <w:keepNext/>
        <w:keepLines/>
      </w:pPr>
      <w:r>
        <w:rPr>
          <w:rFonts w:ascii="Carlito" w:hAnsi="Carlito"/>
          <w:b/>
          <w:color w:val="0B6E75"/>
          <w:sz w:val="25"/>
        </w:rPr>
        <w:t>8.2 SLA Measurement Rules</w:t>
      </w:r>
    </w:p>
    <w:p>
      <w:pPr>
        <w:pStyle w:val="ListBullet"/>
        <w:spacing w:after="44" w:line="259" w:lineRule="auto"/>
        <w:keepLines/>
      </w:pPr>
      <w:r>
        <w:rPr>
          <w:rFonts w:ascii="Carlito" w:hAnsi="Carlito"/>
          <w:color w:val="20262E"/>
          <w:sz w:val="19"/>
        </w:rPr>
        <w:t>Initial response means acknowledgement by a qualified support resource and commencement of triage; an automated ticket receipt alone does not satisfy the response target.</w:t>
      </w:r>
    </w:p>
    <w:p>
      <w:pPr>
        <w:pStyle w:val="ListBullet"/>
        <w:spacing w:after="44" w:line="259" w:lineRule="auto"/>
        <w:keepLines/>
      </w:pPr>
      <w:r>
        <w:rPr>
          <w:rFonts w:ascii="Carlito" w:hAnsi="Carlito"/>
          <w:color w:val="20262E"/>
          <w:sz w:val="19"/>
        </w:rPr>
        <w:t>Restoration means service functionality is recovered, potentially through a workaround. Resolution means the underlying incident is permanently addressed or otherwise formally closed with customer agreement.</w:t>
      </w:r>
    </w:p>
    <w:p>
      <w:pPr>
        <w:pStyle w:val="ListBullet"/>
        <w:spacing w:after="44" w:line="259" w:lineRule="auto"/>
        <w:keepLines/>
      </w:pPr>
      <w:r>
        <w:rPr>
          <w:rFonts w:ascii="Carlito" w:hAnsi="Carlito"/>
          <w:color w:val="20262E"/>
          <w:sz w:val="19"/>
        </w:rPr>
        <w:t>Unless specifically contracted, restoration and resolution are objectives rather than guaranteed times because they may depend on approvals, third parties, spare parts, external cloud/SaaS services, vendor engineering or maintenance windows.</w:t>
      </w:r>
    </w:p>
    <w:p>
      <w:pPr>
        <w:pStyle w:val="ListBullet"/>
        <w:spacing w:after="44" w:line="259" w:lineRule="auto"/>
        <w:keepLines/>
      </w:pPr>
      <w:r>
        <w:rPr>
          <w:rFonts w:ascii="Carlito" w:hAnsi="Carlito"/>
          <w:color w:val="20262E"/>
          <w:sz w:val="19"/>
        </w:rPr>
        <w:t>SLA clocks may be paused while waiting for required customer information, access, approval, agreed maintenance windows, or third-party actions outside provider control, provided the ticket records the pause reason.</w:t>
      </w:r>
    </w:p>
    <w:p>
      <w:pPr>
        <w:pStyle w:val="ListBullet"/>
        <w:spacing w:after="44" w:line="259" w:lineRule="auto"/>
        <w:keepLines/>
      </w:pPr>
      <w:r>
        <w:rPr>
          <w:rFonts w:ascii="Carlito" w:hAnsi="Carlito"/>
          <w:color w:val="20262E"/>
          <w:sz w:val="19"/>
        </w:rPr>
        <w:t>Service credits, if any, apply only when explicitly stated in the executed commercial/SLA schedule.</w:t>
      </w:r>
    </w:p>
    <w:p>
      <w:pPr>
        <w:pStyle w:val="Heading1"/>
        <w:spacing w:before="200" w:after="120"/>
        <w:keepNext/>
        <w:keepLines/>
      </w:pPr>
      <w:r>
        <w:rPr>
          <w:rFonts w:ascii="Carlito" w:hAnsi="Carlito"/>
          <w:b/>
          <w:color w:val="17324D"/>
          <w:sz w:val="32"/>
        </w:rPr>
        <w:t>9. Incident, Request &amp; Problem Management</w:t>
      </w:r>
    </w:p>
    <w:p>
      <w:pPr>
        <w:pStyle w:val="Heading2"/>
        <w:spacing w:before="140" w:after="80"/>
        <w:keepNext/>
        <w:keepLines/>
      </w:pPr>
      <w:r>
        <w:rPr>
          <w:rFonts w:ascii="Carlito" w:hAnsi="Carlito"/>
          <w:b/>
          <w:color w:val="0B6E75"/>
          <w:sz w:val="25"/>
        </w:rPr>
        <w:t>9.1 Ticket Intake</w:t>
      </w:r>
    </w:p>
    <w:p>
      <w:pPr>
        <w:pStyle w:val="ListBullet"/>
        <w:spacing w:after="44" w:line="259" w:lineRule="auto"/>
        <w:keepLines/>
      </w:pPr>
      <w:r>
        <w:rPr>
          <w:rFonts w:ascii="Carlito" w:hAnsi="Carlito"/>
          <w:color w:val="20262E"/>
          <w:sz w:val="19"/>
        </w:rPr>
        <w:t>Service desk portal</w:t>
      </w:r>
    </w:p>
    <w:p>
      <w:pPr>
        <w:pStyle w:val="ListBullet"/>
        <w:spacing w:after="44" w:line="259" w:lineRule="auto"/>
        <w:keepLines/>
      </w:pPr>
      <w:r>
        <w:rPr>
          <w:rFonts w:ascii="Carlito" w:hAnsi="Carlito"/>
          <w:color w:val="20262E"/>
          <w:sz w:val="19"/>
        </w:rPr>
        <w:t>Email</w:t>
      </w:r>
    </w:p>
    <w:p>
      <w:pPr>
        <w:pStyle w:val="ListBullet"/>
        <w:spacing w:after="44" w:line="259" w:lineRule="auto"/>
        <w:keepLines/>
      </w:pPr>
      <w:r>
        <w:rPr>
          <w:rFonts w:ascii="Carlito" w:hAnsi="Carlito"/>
          <w:color w:val="20262E"/>
          <w:sz w:val="19"/>
        </w:rPr>
        <w:t>Telephone / hotline where contracted</w:t>
      </w:r>
    </w:p>
    <w:p>
      <w:pPr>
        <w:pStyle w:val="ListBullet"/>
        <w:spacing w:after="44" w:line="259" w:lineRule="auto"/>
        <w:keepLines/>
      </w:pPr>
      <w:r>
        <w:rPr>
          <w:rFonts w:ascii="Carlito" w:hAnsi="Carlito"/>
          <w:color w:val="20262E"/>
          <w:sz w:val="19"/>
        </w:rPr>
        <w:t>Monitoring platform integration</w:t>
      </w:r>
    </w:p>
    <w:p>
      <w:pPr>
        <w:pStyle w:val="ListBullet"/>
        <w:spacing w:after="44" w:line="259" w:lineRule="auto"/>
        <w:keepLines/>
      </w:pPr>
      <w:r>
        <w:rPr>
          <w:rFonts w:ascii="Carlito" w:hAnsi="Carlito"/>
          <w:color w:val="20262E"/>
          <w:sz w:val="19"/>
        </w:rPr>
        <w:t>SOC/NOC event creation for contracted monitored services</w:t>
      </w:r>
    </w:p>
    <w:p>
      <w:pPr>
        <w:pStyle w:val="Heading2"/>
        <w:spacing w:before="140" w:after="80"/>
        <w:keepNext/>
        <w:keepLines/>
      </w:pPr>
      <w:r>
        <w:rPr>
          <w:rFonts w:ascii="Carlito" w:hAnsi="Carlito"/>
          <w:b/>
          <w:color w:val="0B6E75"/>
          <w:sz w:val="25"/>
        </w:rPr>
        <w:t>9.2 Minimum Ticket Record</w:t>
      </w:r>
    </w:p>
    <w:p>
      <w:pPr>
        <w:pStyle w:val="ListBullet"/>
        <w:spacing w:after="44" w:line="259" w:lineRule="auto"/>
        <w:keepLines/>
      </w:pPr>
      <w:r>
        <w:rPr>
          <w:rFonts w:ascii="Carlito" w:hAnsi="Carlito"/>
          <w:color w:val="20262E"/>
          <w:sz w:val="19"/>
        </w:rPr>
        <w:t>Unique reference number; customer/requester; affected service/asset; priority; timestamps; assigned team/resource; status; activity history; customer communications; resolution/closure code.</w:t>
      </w:r>
    </w:p>
    <w:p>
      <w:pPr>
        <w:pStyle w:val="Heading2"/>
        <w:spacing w:before="140" w:after="80"/>
        <w:keepNext/>
        <w:keepLines/>
      </w:pPr>
      <w:r>
        <w:rPr>
          <w:rFonts w:ascii="Carlito" w:hAnsi="Carlito"/>
          <w:b/>
          <w:color w:val="0B6E75"/>
          <w:sz w:val="25"/>
        </w:rPr>
        <w:t>9.3 Escalation Model</w:t>
      </w:r>
    </w:p>
    <w:p>
      <w:pPr>
        <w:spacing w:after="140" w:before="0" w:line="269" w:lineRule="auto"/>
        <w:jc w:val="center"/>
        <w:keepLines/>
      </w:pPr>
      <w:r>
        <w:rPr>
          <w:rFonts w:ascii="Carlito" w:hAnsi="Carlito"/>
          <w:b/>
          <w:i w:val="0"/>
          <w:color w:val="17324D"/>
          <w:sz w:val="20"/>
        </w:rPr>
        <w:t>Customer -&gt; Service Desk/L1 -&gt; L2 -&gt; L3 -&gt; SME -&gt; OEM/Vendor (where required)</w:t>
      </w:r>
    </w:p>
    <w:p>
      <w:pPr>
        <w:pStyle w:val="Heading2"/>
        <w:spacing w:before="140" w:after="80"/>
        <w:keepNext/>
        <w:keepLines/>
      </w:pPr>
      <w:r>
        <w:rPr>
          <w:rFonts w:ascii="Carlito" w:hAnsi="Carlito"/>
          <w:b/>
          <w:color w:val="0B6E75"/>
          <w:sz w:val="25"/>
        </w:rPr>
        <w:t>9.4 Problem Management</w:t>
      </w:r>
    </w:p>
    <w:p>
      <w:pPr>
        <w:pStyle w:val="ListBullet"/>
        <w:spacing w:after="44" w:line="259" w:lineRule="auto"/>
        <w:keepLines/>
      </w:pPr>
      <w:r>
        <w:rPr>
          <w:rFonts w:ascii="Carlito" w:hAnsi="Carlito"/>
          <w:color w:val="20262E"/>
          <w:sz w:val="19"/>
        </w:rPr>
        <w:t>Recurring or high-impact incidents may be raised as problem records for trend analysis and root-cause investigation.</w:t>
      </w:r>
    </w:p>
    <w:p>
      <w:pPr>
        <w:pStyle w:val="ListBullet"/>
        <w:spacing w:after="44" w:line="259" w:lineRule="auto"/>
        <w:keepLines/>
      </w:pPr>
      <w:r>
        <w:rPr>
          <w:rFonts w:ascii="Carlito" w:hAnsi="Carlito"/>
          <w:color w:val="20262E"/>
          <w:sz w:val="19"/>
        </w:rPr>
        <w:t>A root-cause analysis (RCA) is normally produced for qualifying P1 incidents where sufficient evidence exists and an RCA is contractually included.</w:t>
      </w:r>
    </w:p>
    <w:p>
      <w:pPr>
        <w:pStyle w:val="ListBullet"/>
        <w:spacing w:after="44" w:line="259" w:lineRule="auto"/>
        <w:keepLines/>
      </w:pPr>
      <w:r>
        <w:rPr>
          <w:rFonts w:ascii="Carlito" w:hAnsi="Carlito"/>
          <w:color w:val="20262E"/>
          <w:sz w:val="19"/>
        </w:rPr>
        <w:t>Corrective actions are tracked through agreed owners and due dates; implementation may consume support hours or require project/change scope.</w:t>
      </w:r>
    </w:p>
    <w:p>
      <w:pPr>
        <w:pStyle w:val="Heading1"/>
        <w:spacing w:before="200" w:after="120"/>
        <w:keepNext/>
        <w:keepLines/>
      </w:pPr>
      <w:r>
        <w:rPr>
          <w:rFonts w:ascii="Carlito" w:hAnsi="Carlito"/>
          <w:b/>
          <w:color w:val="17324D"/>
          <w:sz w:val="32"/>
        </w:rPr>
        <w:t>10. Major Incident &amp; Cybersecurity Incident Management</w:t>
      </w:r>
    </w:p>
    <w:p>
      <w:pPr>
        <w:spacing w:after="80" w:before="0" w:line="269" w:lineRule="auto"/>
        <w:keepLines/>
      </w:pPr>
      <w:r>
        <w:rPr>
          <w:rFonts w:ascii="Carlito" w:hAnsi="Carlito"/>
          <w:b w:val="0"/>
          <w:i w:val="0"/>
          <w:color w:val="20262E"/>
          <w:sz w:val="19"/>
        </w:rPr>
        <w:t>P1 incidents use a coordinated major-incident process. Security incidents additionally consider containment, evidence preservation, legal/privacy obligations and communication restrictions.</w:t>
      </w:r>
    </w:p>
    <w:p>
      <w:pPr>
        <w:pStyle w:val="ListNumber"/>
        <w:spacing w:after="44" w:line="259" w:lineRule="auto"/>
        <w:keepLines/>
      </w:pPr>
      <w:r>
        <w:rPr>
          <w:rFonts w:ascii="Carlito" w:hAnsi="Carlito"/>
          <w:color w:val="20262E"/>
          <w:sz w:val="19"/>
        </w:rPr>
        <w:t>Validate incident and business impact.</w:t>
      </w:r>
    </w:p>
    <w:p>
      <w:pPr>
        <w:pStyle w:val="ListNumber"/>
        <w:spacing w:after="44" w:line="259" w:lineRule="auto"/>
        <w:keepLines/>
      </w:pPr>
      <w:r>
        <w:rPr>
          <w:rFonts w:ascii="Carlito" w:hAnsi="Carlito"/>
          <w:color w:val="20262E"/>
          <w:sz w:val="19"/>
        </w:rPr>
        <w:t>Assign incident commander/technical lead where required.</w:t>
      </w:r>
    </w:p>
    <w:p>
      <w:pPr>
        <w:pStyle w:val="ListNumber"/>
        <w:spacing w:after="44" w:line="259" w:lineRule="auto"/>
        <w:keepLines/>
      </w:pPr>
      <w:r>
        <w:rPr>
          <w:rFonts w:ascii="Carlito" w:hAnsi="Carlito"/>
          <w:color w:val="20262E"/>
          <w:sz w:val="19"/>
        </w:rPr>
        <w:t>Establish technical and customer communication channels.</w:t>
      </w:r>
    </w:p>
    <w:p>
      <w:pPr>
        <w:pStyle w:val="ListNumber"/>
        <w:spacing w:after="44" w:line="259" w:lineRule="auto"/>
        <w:keepLines/>
      </w:pPr>
      <w:r>
        <w:rPr>
          <w:rFonts w:ascii="Carlito" w:hAnsi="Carlito"/>
          <w:color w:val="20262E"/>
          <w:sz w:val="19"/>
        </w:rPr>
        <w:t>Perform triage and immediate containment/workaround.</w:t>
      </w:r>
    </w:p>
    <w:p>
      <w:pPr>
        <w:pStyle w:val="ListNumber"/>
        <w:spacing w:after="44" w:line="259" w:lineRule="auto"/>
        <w:keepLines/>
      </w:pPr>
      <w:r>
        <w:rPr>
          <w:rFonts w:ascii="Carlito" w:hAnsi="Carlito"/>
          <w:color w:val="20262E"/>
          <w:sz w:val="19"/>
        </w:rPr>
        <w:t>Engage L2/L3/SME and relevant SOC/NOC resources.</w:t>
      </w:r>
    </w:p>
    <w:p>
      <w:pPr>
        <w:pStyle w:val="ListNumber"/>
        <w:spacing w:after="44" w:line="259" w:lineRule="auto"/>
        <w:keepLines/>
      </w:pPr>
      <w:r>
        <w:rPr>
          <w:rFonts w:ascii="Carlito" w:hAnsi="Carlito"/>
          <w:color w:val="20262E"/>
          <w:sz w:val="19"/>
        </w:rPr>
        <w:t>Engage OEM/vendor or cloud provider when required.</w:t>
      </w:r>
    </w:p>
    <w:p>
      <w:pPr>
        <w:pStyle w:val="ListNumber"/>
        <w:spacing w:after="44" w:line="259" w:lineRule="auto"/>
        <w:keepLines/>
      </w:pPr>
      <w:r>
        <w:rPr>
          <w:rFonts w:ascii="Carlito" w:hAnsi="Carlito"/>
          <w:color w:val="20262E"/>
          <w:sz w:val="19"/>
        </w:rPr>
        <w:t>Execute approved emergency change if necessary and authorized.</w:t>
      </w:r>
    </w:p>
    <w:p>
      <w:pPr>
        <w:pStyle w:val="ListNumber"/>
        <w:spacing w:after="44" w:line="259" w:lineRule="auto"/>
        <w:keepLines/>
      </w:pPr>
      <w:r>
        <w:rPr>
          <w:rFonts w:ascii="Carlito" w:hAnsi="Carlito"/>
          <w:color w:val="20262E"/>
          <w:sz w:val="19"/>
        </w:rPr>
        <w:t>Restore service and validate with customer.</w:t>
      </w:r>
    </w:p>
    <w:p>
      <w:pPr>
        <w:pStyle w:val="ListNumber"/>
        <w:spacing w:after="44" w:line="259" w:lineRule="auto"/>
        <w:keepLines/>
      </w:pPr>
      <w:r>
        <w:rPr>
          <w:rFonts w:ascii="Carlito" w:hAnsi="Carlito"/>
          <w:color w:val="20262E"/>
          <w:sz w:val="19"/>
        </w:rPr>
        <w:t>Preserve relevant evidence for cybersecurity incidents.</w:t>
      </w:r>
    </w:p>
    <w:p>
      <w:pPr>
        <w:pStyle w:val="ListNumber"/>
        <w:spacing w:after="44" w:line="259" w:lineRule="auto"/>
        <w:keepLines/>
      </w:pPr>
      <w:r>
        <w:rPr>
          <w:rFonts w:ascii="Carlito" w:hAnsi="Carlito"/>
          <w:color w:val="20262E"/>
          <w:sz w:val="19"/>
        </w:rPr>
        <w:t>Perform RCA/corrective-action review where applicable.</w:t>
      </w:r>
    </w:p>
    <w:tbl>
      <w:tblPr>
        <w:tblW w:type="auto" w:w="0"/>
        <w:jc w:val="center"/>
        <w:tblLayout w:type="fixed"/>
        <w:tblLook w:firstColumn="1" w:firstRow="1" w:lastColumn="0" w:lastRow="0" w:noHBand="0" w:noVBand="1" w:val="04A0"/>
      </w:tblPr>
      <w:tblGrid>
        <w:gridCol w:w="9866"/>
      </w:tblGrid>
      <w:tr>
        <w:tc>
          <w:tcPr>
            <w:tcW w:type="dxa" w:w="9866"/>
            <w:shd w:fill="EAF1F4"/>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 xml:space="preserve">Cybersecurity incidents:  </w:t>
            </w:r>
            <w:r>
              <w:rPr>
                <w:rFonts w:ascii="Carlito" w:hAnsi="Carlito"/>
                <w:color w:val="20262E"/>
                <w:sz w:val="19"/>
              </w:rPr>
              <w:t>The provider will not conduct intrusive response actions, host isolation, credential resets, evidence acquisition or other potentially disruptive measures beyond pre-authorized procedures without appropriate customer authorization, except where the executed emergency-response terms expressly permit it.</w:t>
            </w:r>
          </w:p>
        </w:tc>
      </w:tr>
    </w:tbl>
    <w:p>
      <w:pPr>
        <w:spacing w:after="0"/>
        <w:keepLines/>
      </w:pPr>
    </w:p>
    <w:p>
      <w:pPr>
        <w:pStyle w:val="Heading1"/>
        <w:spacing w:before="200" w:after="120"/>
        <w:keepNext/>
        <w:keepLines/>
      </w:pPr>
      <w:r>
        <w:rPr>
          <w:rFonts w:ascii="Carlito" w:hAnsi="Carlito"/>
          <w:b/>
          <w:color w:val="17324D"/>
          <w:sz w:val="32"/>
        </w:rPr>
        <w:t>11. Change Management</w:t>
      </w:r>
    </w:p>
    <w:p>
      <w:pPr>
        <w:pStyle w:val="ListBullet"/>
        <w:spacing w:after="44" w:line="259" w:lineRule="auto"/>
        <w:keepLines/>
      </w:pPr>
      <w:r>
        <w:rPr>
          <w:rFonts w:ascii="Carlito" w:hAnsi="Carlito"/>
          <w:color w:val="20262E"/>
          <w:sz w:val="19"/>
        </w:rPr>
        <w:t>Normal changes require a documented request, technical assessment, risk/impact review, customer approval, implementation window, validation and rollback plan where appropriate.</w:t>
      </w:r>
    </w:p>
    <w:p>
      <w:pPr>
        <w:pStyle w:val="ListBullet"/>
        <w:spacing w:after="44" w:line="259" w:lineRule="auto"/>
        <w:keepLines/>
      </w:pPr>
      <w:r>
        <w:rPr>
          <w:rFonts w:ascii="Carlito" w:hAnsi="Carlito"/>
          <w:color w:val="20262E"/>
          <w:sz w:val="19"/>
        </w:rPr>
        <w:t>Standard changes may be pre-authorized when repetitive, low-risk and documented in an agreed catalogue.</w:t>
      </w:r>
    </w:p>
    <w:p>
      <w:pPr>
        <w:pStyle w:val="ListBullet"/>
        <w:spacing w:after="44" w:line="259" w:lineRule="auto"/>
        <w:keepLines/>
      </w:pPr>
      <w:r>
        <w:rPr>
          <w:rFonts w:ascii="Carlito" w:hAnsi="Carlito"/>
          <w:color w:val="20262E"/>
          <w:sz w:val="19"/>
        </w:rPr>
        <w:t>Emergency changes may use an expedited authorization path during a P1 or active security incident; authorization and retrospective review must still be recorded.</w:t>
      </w:r>
    </w:p>
    <w:p>
      <w:pPr>
        <w:pStyle w:val="ListBullet"/>
        <w:spacing w:after="44" w:line="259" w:lineRule="auto"/>
        <w:keepLines/>
      </w:pPr>
      <w:r>
        <w:rPr>
          <w:rFonts w:ascii="Carlito" w:hAnsi="Carlito"/>
          <w:color w:val="20262E"/>
          <w:sz w:val="19"/>
        </w:rPr>
        <w:t>No material production change will be intentionally performed without appropriate authorization under the agreed change model.</w:t>
      </w:r>
    </w:p>
    <w:p>
      <w:pPr>
        <w:pStyle w:val="ListBullet"/>
        <w:spacing w:after="44" w:line="259" w:lineRule="auto"/>
        <w:keepLines/>
      </w:pPr>
      <w:r>
        <w:rPr>
          <w:rFonts w:ascii="Carlito" w:hAnsi="Carlito"/>
          <w:color w:val="20262E"/>
          <w:sz w:val="19"/>
        </w:rPr>
        <w:t>Provider changes are recorded with implementer, timestamps, affected configuration, validation result and rollback outcome.</w:t>
      </w:r>
    </w:p>
    <w:p>
      <w:pPr>
        <w:pStyle w:val="Heading1"/>
        <w:spacing w:before="200" w:after="120"/>
        <w:keepNext/>
        <w:keepLines/>
      </w:pPr>
      <w:r>
        <w:rPr>
          <w:rFonts w:ascii="Carlito" w:hAnsi="Carlito"/>
          <w:b/>
          <w:color w:val="17324D"/>
          <w:sz w:val="32"/>
        </w:rPr>
        <w:t>12. Monitoring &amp; Event Management</w:t>
      </w:r>
    </w:p>
    <w:p>
      <w:pPr>
        <w:pStyle w:val="ListBullet"/>
        <w:spacing w:after="44" w:line="259" w:lineRule="auto"/>
        <w:keepLines/>
      </w:pPr>
      <w:r>
        <w:rPr>
          <w:rFonts w:ascii="Carlito" w:hAnsi="Carlito"/>
          <w:color w:val="20262E"/>
          <w:sz w:val="19"/>
        </w:rPr>
        <w:t>Monitoring is provided only for assets/data sources that are explicitly onboarded and technically integrated into the contracted monitoring platform.</w:t>
      </w:r>
    </w:p>
    <w:p>
      <w:pPr>
        <w:pStyle w:val="ListBullet"/>
        <w:spacing w:after="44" w:line="259" w:lineRule="auto"/>
        <w:keepLines/>
      </w:pPr>
      <w:r>
        <w:rPr>
          <w:rFonts w:ascii="Carlito" w:hAnsi="Carlito"/>
          <w:color w:val="20262E"/>
          <w:sz w:val="19"/>
        </w:rPr>
        <w:t>SOC/NOC monitoring does not imply every event will be detected; coverage depends on telemetry availability, rule/content quality, logging configuration, retention, sensor health and platform capabilities.</w:t>
      </w:r>
    </w:p>
    <w:p>
      <w:pPr>
        <w:pStyle w:val="ListBullet"/>
        <w:spacing w:after="44" w:line="259" w:lineRule="auto"/>
        <w:keepLines/>
      </w:pPr>
      <w:r>
        <w:rPr>
          <w:rFonts w:ascii="Carlito" w:hAnsi="Carlito"/>
          <w:color w:val="20262E"/>
          <w:sz w:val="19"/>
        </w:rPr>
        <w:t>Alert tuning, new detection engineering, extensive use-case development, log-source onboarding at scale and custom automation may be separately scoped unless included in the Enterprise SOW.</w:t>
      </w:r>
    </w:p>
    <w:p>
      <w:pPr>
        <w:pStyle w:val="ListBullet"/>
        <w:spacing w:after="44" w:line="259" w:lineRule="auto"/>
        <w:keepLines/>
      </w:pPr>
      <w:r>
        <w:rPr>
          <w:rFonts w:ascii="Carlito" w:hAnsi="Carlito"/>
          <w:color w:val="20262E"/>
          <w:sz w:val="19"/>
        </w:rPr>
        <w:t>Monitoring-generated events that meet incident criteria are converted to tickets and prioritized under the SLA framework.</w:t>
      </w:r>
    </w:p>
    <w:p>
      <w:pPr>
        <w:pStyle w:val="Heading1"/>
        <w:spacing w:before="200" w:after="120"/>
        <w:keepNext/>
        <w:keepLines/>
      </w:pPr>
      <w:r>
        <w:rPr>
          <w:rFonts w:ascii="Carlito" w:hAnsi="Carlito"/>
          <w:b/>
          <w:color w:val="17324D"/>
          <w:sz w:val="32"/>
        </w:rPr>
        <w:t>13. Service Reporting &amp; Governance</w:t>
      </w:r>
    </w:p>
    <w:p>
      <w:pPr>
        <w:pStyle w:val="Heading2"/>
        <w:spacing w:before="140" w:after="80"/>
        <w:keepNext/>
        <w:keepLines/>
      </w:pPr>
      <w:r>
        <w:rPr>
          <w:rFonts w:ascii="Carlito" w:hAnsi="Carlito"/>
          <w:b/>
          <w:color w:val="0B6E75"/>
          <w:sz w:val="25"/>
        </w:rPr>
        <w:t>13.1 Operational Reporting</w:t>
      </w:r>
    </w:p>
    <w:p>
      <w:pPr>
        <w:pStyle w:val="ListBullet"/>
        <w:spacing w:after="44" w:line="259" w:lineRule="auto"/>
        <w:keepLines/>
      </w:pPr>
      <w:r>
        <w:rPr>
          <w:rFonts w:ascii="Carlito" w:hAnsi="Carlito"/>
          <w:color w:val="20262E"/>
          <w:sz w:val="19"/>
        </w:rPr>
        <w:t>Incident and service-request volumes; priority distribution; opened/closed/backlog and ageing.</w:t>
      </w:r>
    </w:p>
    <w:p>
      <w:pPr>
        <w:pStyle w:val="ListBullet"/>
        <w:spacing w:after="44" w:line="259" w:lineRule="auto"/>
        <w:keepLines/>
      </w:pPr>
      <w:r>
        <w:rPr>
          <w:rFonts w:ascii="Carlito" w:hAnsi="Carlito"/>
          <w:color w:val="20262E"/>
          <w:sz w:val="19"/>
        </w:rPr>
        <w:t>SLA response attainment; major incidents; recurring issues; support hours consumed and remaining.</w:t>
      </w:r>
    </w:p>
    <w:p>
      <w:pPr>
        <w:pStyle w:val="ListBullet"/>
        <w:spacing w:after="44" w:line="259" w:lineRule="auto"/>
        <w:keepLines/>
      </w:pPr>
      <w:r>
        <w:rPr>
          <w:rFonts w:ascii="Carlito" w:hAnsi="Carlito"/>
          <w:color w:val="20262E"/>
          <w:sz w:val="19"/>
        </w:rPr>
        <w:t>Change outcomes and notable failed/rolled-back changes where change management is in scope.</w:t>
      </w:r>
    </w:p>
    <w:p>
      <w:pPr>
        <w:pStyle w:val="ListBullet"/>
        <w:spacing w:after="44" w:line="259" w:lineRule="auto"/>
        <w:keepLines/>
      </w:pPr>
      <w:r>
        <w:rPr>
          <w:rFonts w:ascii="Carlito" w:hAnsi="Carlito"/>
          <w:color w:val="20262E"/>
          <w:sz w:val="19"/>
        </w:rPr>
        <w:t>Security observations, risk items, vulnerability/remediation trends where relevant data is available.</w:t>
      </w:r>
    </w:p>
    <w:p>
      <w:pPr>
        <w:pStyle w:val="ListBullet"/>
        <w:spacing w:after="44" w:line="259" w:lineRule="auto"/>
        <w:keepLines/>
      </w:pPr>
      <w:r>
        <w:rPr>
          <w:rFonts w:ascii="Carlito" w:hAnsi="Carlito"/>
          <w:color w:val="20262E"/>
          <w:sz w:val="19"/>
        </w:rPr>
        <w:t>Monitoring/backup operational indicators where those services are contracted.</w:t>
      </w:r>
    </w:p>
    <w:p>
      <w:pPr>
        <w:pStyle w:val="ListBullet"/>
        <w:spacing w:after="44" w:line="259" w:lineRule="auto"/>
        <w:keepLines/>
      </w:pPr>
      <w:r>
        <w:rPr>
          <w:rFonts w:ascii="Carlito" w:hAnsi="Carlito"/>
          <w:color w:val="20262E"/>
          <w:sz w:val="19"/>
        </w:rPr>
        <w:t>Improvement recommendations and actions requiring customer decisions.</w:t>
      </w:r>
    </w:p>
    <w:p>
      <w:pPr>
        <w:pStyle w:val="Heading2"/>
        <w:spacing w:before="140" w:after="80"/>
        <w:keepNext/>
        <w:keepLines/>
      </w:pPr>
      <w:r>
        <w:rPr>
          <w:rFonts w:ascii="Carlito" w:hAnsi="Carlito"/>
          <w:b/>
          <w:color w:val="0B6E75"/>
          <w:sz w:val="25"/>
        </w:rPr>
        <w:t>13.2 Governance Cadence</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Package</w:t>
            </w:r>
          </w:p>
        </w:tc>
        <w:tc>
          <w:tcPr>
            <w:tcW w:type="dxa" w:w="6803"/>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Baseline Governance</w:t>
            </w:r>
          </w:p>
        </w:tc>
      </w:tr>
      <w:tr>
        <w:tc>
          <w:tcPr>
            <w:tcW w:type="dxa" w:w="2268"/>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50 Hour Pack</w:t>
            </w:r>
          </w:p>
        </w:tc>
        <w:tc>
          <w:tcPr>
            <w:tcW w:type="dxa" w:w="6803"/>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Hour-consumption statement; service review on request.</w:t>
            </w:r>
          </w:p>
        </w:tc>
      </w:tr>
      <w:tr>
        <w:tc>
          <w:tcPr>
            <w:tcW w:type="dxa" w:w="2268"/>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100 Hour Pack</w:t>
            </w:r>
          </w:p>
        </w:tc>
        <w:tc>
          <w:tcPr>
            <w:tcW w:type="dxa" w:w="6803"/>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Hour-consumption statement and periodic operational review.</w:t>
            </w:r>
          </w:p>
        </w:tc>
      </w:tr>
      <w:tr>
        <w:tc>
          <w:tcPr>
            <w:tcW w:type="dxa" w:w="2268"/>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200 Hour Pack</w:t>
            </w:r>
          </w:p>
        </w:tc>
        <w:tc>
          <w:tcPr>
            <w:tcW w:type="dxa" w:w="6803"/>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Hour-consumption statement and technical service review.</w:t>
            </w:r>
          </w:p>
        </w:tc>
      </w:tr>
      <w:tr>
        <w:tc>
          <w:tcPr>
            <w:tcW w:type="dxa" w:w="2268"/>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Enterprise</w:t>
            </w:r>
          </w:p>
        </w:tc>
        <w:tc>
          <w:tcPr>
            <w:tcW w:type="dxa" w:w="6803"/>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Monthly service review led by the Account Manager plus quarterly strategic/continual-improvement review unless otherwise agreed.</w:t>
            </w:r>
          </w:p>
        </w:tc>
      </w:tr>
    </w:tbl>
    <w:p>
      <w:pPr>
        <w:spacing w:after="20"/>
        <w:keepLines/>
      </w:pPr>
    </w:p>
    <w:p>
      <w:pPr>
        <w:pStyle w:val="Heading1"/>
        <w:spacing w:before="200" w:after="120"/>
        <w:keepNext/>
        <w:keepLines/>
      </w:pPr>
      <w:r>
        <w:rPr>
          <w:rFonts w:ascii="Carlito" w:hAnsi="Carlito"/>
          <w:b/>
          <w:color w:val="17324D"/>
          <w:sz w:val="32"/>
        </w:rPr>
        <w:t>14. Service Onboarding &amp; Transition</w:t>
      </w:r>
    </w:p>
    <w:p>
      <w:pPr>
        <w:pStyle w:val="Heading3"/>
        <w:spacing w:before="100" w:after="50"/>
        <w:keepNext/>
        <w:keepLines/>
      </w:pPr>
      <w:r>
        <w:rPr>
          <w:rFonts w:ascii="Carlito" w:hAnsi="Carlito"/>
          <w:b/>
          <w:color w:val="17324D"/>
          <w:sz w:val="21"/>
        </w:rPr>
        <w:t>Phase 1 - Discovery</w:t>
      </w:r>
    </w:p>
    <w:p>
      <w:pPr>
        <w:pStyle w:val="ListBullet"/>
        <w:spacing w:after="44" w:line="259" w:lineRule="auto"/>
        <w:keepLines/>
      </w:pPr>
      <w:r>
        <w:rPr>
          <w:rFonts w:ascii="Carlito" w:hAnsi="Carlito"/>
          <w:color w:val="20262E"/>
          <w:sz w:val="19"/>
        </w:rPr>
        <w:t>Technology and asset inventory</w:t>
      </w:r>
    </w:p>
    <w:p>
      <w:pPr>
        <w:pStyle w:val="ListBullet"/>
        <w:spacing w:after="44" w:line="259" w:lineRule="auto"/>
        <w:keepLines/>
      </w:pPr>
      <w:r>
        <w:rPr>
          <w:rFonts w:ascii="Carlito" w:hAnsi="Carlito"/>
          <w:color w:val="20262E"/>
          <w:sz w:val="19"/>
        </w:rPr>
        <w:t>Business-critical services and impact mapping</w:t>
      </w:r>
    </w:p>
    <w:p>
      <w:pPr>
        <w:pStyle w:val="ListBullet"/>
        <w:spacing w:after="44" w:line="259" w:lineRule="auto"/>
        <w:keepLines/>
      </w:pPr>
      <w:r>
        <w:rPr>
          <w:rFonts w:ascii="Carlito" w:hAnsi="Carlito"/>
          <w:color w:val="20262E"/>
          <w:sz w:val="19"/>
        </w:rPr>
        <w:t>Stakeholders and escalation contacts</w:t>
      </w:r>
    </w:p>
    <w:p>
      <w:pPr>
        <w:pStyle w:val="ListBullet"/>
        <w:spacing w:after="44" w:line="259" w:lineRule="auto"/>
        <w:keepLines/>
      </w:pPr>
      <w:r>
        <w:rPr>
          <w:rFonts w:ascii="Carlito" w:hAnsi="Carlito"/>
          <w:color w:val="20262E"/>
          <w:sz w:val="19"/>
        </w:rPr>
        <w:t>Current risks, known issues and service dependencies</w:t>
      </w:r>
    </w:p>
    <w:p>
      <w:pPr>
        <w:pStyle w:val="Heading3"/>
        <w:spacing w:before="100" w:after="50"/>
        <w:keepNext/>
        <w:keepLines/>
      </w:pPr>
      <w:r>
        <w:rPr>
          <w:rFonts w:ascii="Carlito" w:hAnsi="Carlito"/>
          <w:b/>
          <w:color w:val="17324D"/>
          <w:sz w:val="21"/>
        </w:rPr>
        <w:t>Phase 2 - Access &amp; Security</w:t>
      </w:r>
    </w:p>
    <w:p>
      <w:pPr>
        <w:pStyle w:val="ListBullet"/>
        <w:spacing w:after="44" w:line="259" w:lineRule="auto"/>
        <w:keepLines/>
      </w:pPr>
      <w:r>
        <w:rPr>
          <w:rFonts w:ascii="Carlito" w:hAnsi="Carlito"/>
          <w:color w:val="20262E"/>
          <w:sz w:val="19"/>
        </w:rPr>
        <w:t>Named administrative identities</w:t>
      </w:r>
    </w:p>
    <w:p>
      <w:pPr>
        <w:pStyle w:val="ListBullet"/>
        <w:spacing w:after="44" w:line="259" w:lineRule="auto"/>
        <w:keepLines/>
      </w:pPr>
      <w:r>
        <w:rPr>
          <w:rFonts w:ascii="Carlito" w:hAnsi="Carlito"/>
          <w:color w:val="20262E"/>
          <w:sz w:val="19"/>
        </w:rPr>
        <w:t>MFA/PAM/secure remote access as available</w:t>
      </w:r>
    </w:p>
    <w:p>
      <w:pPr>
        <w:pStyle w:val="ListBullet"/>
        <w:spacing w:after="44" w:line="259" w:lineRule="auto"/>
        <w:keepLines/>
      </w:pPr>
      <w:r>
        <w:rPr>
          <w:rFonts w:ascii="Carlito" w:hAnsi="Carlito"/>
          <w:color w:val="20262E"/>
          <w:sz w:val="19"/>
        </w:rPr>
        <w:t>Approved source networks / access paths</w:t>
      </w:r>
    </w:p>
    <w:p>
      <w:pPr>
        <w:pStyle w:val="ListBullet"/>
        <w:spacing w:after="44" w:line="259" w:lineRule="auto"/>
        <w:keepLines/>
      </w:pPr>
      <w:r>
        <w:rPr>
          <w:rFonts w:ascii="Carlito" w:hAnsi="Carlito"/>
          <w:color w:val="20262E"/>
          <w:sz w:val="19"/>
        </w:rPr>
        <w:t>Vendor/OEM entitlements and support contacts</w:t>
      </w:r>
    </w:p>
    <w:p>
      <w:pPr>
        <w:pStyle w:val="Heading3"/>
        <w:spacing w:before="100" w:after="50"/>
        <w:keepNext/>
        <w:keepLines/>
      </w:pPr>
      <w:r>
        <w:rPr>
          <w:rFonts w:ascii="Carlito" w:hAnsi="Carlito"/>
          <w:b/>
          <w:color w:val="17324D"/>
          <w:sz w:val="21"/>
        </w:rPr>
        <w:t>Phase 3 - Service Configuration</w:t>
      </w:r>
    </w:p>
    <w:p>
      <w:pPr>
        <w:pStyle w:val="ListBullet"/>
        <w:spacing w:after="44" w:line="259" w:lineRule="auto"/>
        <w:keepLines/>
      </w:pPr>
      <w:r>
        <w:rPr>
          <w:rFonts w:ascii="Carlito" w:hAnsi="Carlito"/>
          <w:color w:val="20262E"/>
          <w:sz w:val="19"/>
        </w:rPr>
        <w:t>Ticketing and monitoring integrations</w:t>
      </w:r>
    </w:p>
    <w:p>
      <w:pPr>
        <w:pStyle w:val="ListBullet"/>
        <w:spacing w:after="44" w:line="259" w:lineRule="auto"/>
        <w:keepLines/>
      </w:pPr>
      <w:r>
        <w:rPr>
          <w:rFonts w:ascii="Carlito" w:hAnsi="Carlito"/>
          <w:color w:val="20262E"/>
          <w:sz w:val="19"/>
        </w:rPr>
        <w:t>Priority and escalation matrix</w:t>
      </w:r>
    </w:p>
    <w:p>
      <w:pPr>
        <w:pStyle w:val="ListBullet"/>
        <w:spacing w:after="44" w:line="259" w:lineRule="auto"/>
        <w:keepLines/>
      </w:pPr>
      <w:r>
        <w:rPr>
          <w:rFonts w:ascii="Carlito" w:hAnsi="Carlito"/>
          <w:color w:val="20262E"/>
          <w:sz w:val="19"/>
        </w:rPr>
        <w:t>Supported Technology Schedule</w:t>
      </w:r>
    </w:p>
    <w:p>
      <w:pPr>
        <w:pStyle w:val="ListBullet"/>
        <w:spacing w:after="44" w:line="259" w:lineRule="auto"/>
        <w:keepLines/>
      </w:pPr>
      <w:r>
        <w:rPr>
          <w:rFonts w:ascii="Carlito" w:hAnsi="Carlito"/>
          <w:color w:val="20262E"/>
          <w:sz w:val="19"/>
        </w:rPr>
        <w:t>Maintenance windows and change workflow</w:t>
      </w:r>
    </w:p>
    <w:p>
      <w:pPr>
        <w:pStyle w:val="ListBullet"/>
        <w:spacing w:after="44" w:line="259" w:lineRule="auto"/>
        <w:keepLines/>
      </w:pPr>
      <w:r>
        <w:rPr>
          <w:rFonts w:ascii="Carlito" w:hAnsi="Carlito"/>
          <w:color w:val="20262E"/>
          <w:sz w:val="19"/>
        </w:rPr>
        <w:t>SLA timezone/calendar and contact matrix</w:t>
      </w:r>
    </w:p>
    <w:p>
      <w:pPr>
        <w:pStyle w:val="Heading3"/>
        <w:spacing w:before="100" w:after="50"/>
        <w:keepNext/>
        <w:keepLines/>
      </w:pPr>
      <w:r>
        <w:rPr>
          <w:rFonts w:ascii="Carlito" w:hAnsi="Carlito"/>
          <w:b/>
          <w:color w:val="17324D"/>
          <w:sz w:val="21"/>
        </w:rPr>
        <w:t>Phase 4 - Knowledge Transition</w:t>
      </w:r>
    </w:p>
    <w:p>
      <w:pPr>
        <w:pStyle w:val="ListBullet"/>
        <w:spacing w:after="44" w:line="259" w:lineRule="auto"/>
        <w:keepLines/>
      </w:pPr>
      <w:r>
        <w:rPr>
          <w:rFonts w:ascii="Carlito" w:hAnsi="Carlito"/>
          <w:color w:val="20262E"/>
          <w:sz w:val="19"/>
        </w:rPr>
        <w:t>Existing runbooks/documentation review</w:t>
      </w:r>
    </w:p>
    <w:p>
      <w:pPr>
        <w:pStyle w:val="ListBullet"/>
        <w:spacing w:after="44" w:line="259" w:lineRule="auto"/>
        <w:keepLines/>
      </w:pPr>
      <w:r>
        <w:rPr>
          <w:rFonts w:ascii="Carlito" w:hAnsi="Carlito"/>
          <w:color w:val="20262E"/>
          <w:sz w:val="19"/>
        </w:rPr>
        <w:t>Known-error and recurring-issue handover</w:t>
      </w:r>
    </w:p>
    <w:p>
      <w:pPr>
        <w:pStyle w:val="ListBullet"/>
        <w:spacing w:after="44" w:line="259" w:lineRule="auto"/>
        <w:keepLines/>
      </w:pPr>
      <w:r>
        <w:rPr>
          <w:rFonts w:ascii="Carlito" w:hAnsi="Carlito"/>
          <w:color w:val="20262E"/>
          <w:sz w:val="19"/>
        </w:rPr>
        <w:t>Backup/restore procedures and recovery dependencies</w:t>
      </w:r>
    </w:p>
    <w:p>
      <w:pPr>
        <w:pStyle w:val="ListBullet"/>
        <w:spacing w:after="44" w:line="259" w:lineRule="auto"/>
        <w:keepLines/>
      </w:pPr>
      <w:r>
        <w:rPr>
          <w:rFonts w:ascii="Carlito" w:hAnsi="Carlito"/>
          <w:color w:val="20262E"/>
          <w:sz w:val="19"/>
        </w:rPr>
        <w:t>Support boundaries and vendor escalation paths</w:t>
      </w:r>
    </w:p>
    <w:p>
      <w:pPr>
        <w:pStyle w:val="Heading3"/>
        <w:spacing w:before="100" w:after="50"/>
        <w:keepNext/>
        <w:keepLines/>
      </w:pPr>
      <w:r>
        <w:rPr>
          <w:rFonts w:ascii="Carlito" w:hAnsi="Carlito"/>
          <w:b/>
          <w:color w:val="17324D"/>
          <w:sz w:val="21"/>
        </w:rPr>
        <w:t>Phase 5 - Readiness &amp; Go-Live</w:t>
      </w:r>
    </w:p>
    <w:p>
      <w:pPr>
        <w:pStyle w:val="ListBullet"/>
        <w:spacing w:after="44" w:line="259" w:lineRule="auto"/>
        <w:keepLines/>
      </w:pPr>
      <w:r>
        <w:rPr>
          <w:rFonts w:ascii="Carlito" w:hAnsi="Carlito"/>
          <w:color w:val="20262E"/>
          <w:sz w:val="19"/>
        </w:rPr>
        <w:t>Access validation</w:t>
      </w:r>
    </w:p>
    <w:p>
      <w:pPr>
        <w:pStyle w:val="ListBullet"/>
        <w:spacing w:after="44" w:line="259" w:lineRule="auto"/>
        <w:keepLines/>
      </w:pPr>
      <w:r>
        <w:rPr>
          <w:rFonts w:ascii="Carlito" w:hAnsi="Carlito"/>
          <w:color w:val="20262E"/>
          <w:sz w:val="19"/>
        </w:rPr>
        <w:t>Ticket-path test</w:t>
      </w:r>
    </w:p>
    <w:p>
      <w:pPr>
        <w:pStyle w:val="ListBullet"/>
        <w:spacing w:after="44" w:line="259" w:lineRule="auto"/>
        <w:keepLines/>
      </w:pPr>
      <w:r>
        <w:rPr>
          <w:rFonts w:ascii="Carlito" w:hAnsi="Carlito"/>
          <w:color w:val="20262E"/>
          <w:sz w:val="19"/>
        </w:rPr>
        <w:t>P1 escalation test</w:t>
      </w:r>
    </w:p>
    <w:p>
      <w:pPr>
        <w:pStyle w:val="ListBullet"/>
        <w:spacing w:after="44" w:line="259" w:lineRule="auto"/>
        <w:keepLines/>
      </w:pPr>
      <w:r>
        <w:rPr>
          <w:rFonts w:ascii="Carlito" w:hAnsi="Carlito"/>
          <w:color w:val="20262E"/>
          <w:sz w:val="19"/>
        </w:rPr>
        <w:t>Monitoring/alert-path test where applicable</w:t>
      </w:r>
    </w:p>
    <w:p>
      <w:pPr>
        <w:pStyle w:val="ListBullet"/>
        <w:spacing w:after="44" w:line="259" w:lineRule="auto"/>
        <w:keepLines/>
      </w:pPr>
      <w:r>
        <w:rPr>
          <w:rFonts w:ascii="Carlito" w:hAnsi="Carlito"/>
          <w:color w:val="20262E"/>
          <w:sz w:val="19"/>
        </w:rPr>
        <w:t>Open-risk acceptance and service go-live approval</w:t>
      </w:r>
    </w:p>
    <w:tbl>
      <w:tblPr>
        <w:tblW w:type="auto" w:w="0"/>
        <w:jc w:val="center"/>
        <w:tblLayout w:type="fixed"/>
        <w:tblLook w:firstColumn="1" w:firstRow="1" w:lastColumn="0" w:lastRow="0" w:noHBand="0" w:noVBand="1" w:val="04A0"/>
      </w:tblPr>
      <w:tblGrid>
        <w:gridCol w:w="9866"/>
      </w:tblGrid>
      <w:tr>
        <w:tc>
          <w:tcPr>
            <w:tcW w:type="dxa" w:w="9866"/>
            <w:shd w:fill="EAF1F4"/>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 xml:space="preserve">Go-live gate:  </w:t>
            </w:r>
            <w:r>
              <w:rPr>
                <w:rFonts w:ascii="Carlito" w:hAnsi="Carlito"/>
                <w:color w:val="20262E"/>
                <w:sz w:val="19"/>
              </w:rPr>
              <w:t>Production support begins only after minimum access, contact, ticketing and scope dependencies required to deliver the contracted service have been validated or formally accepted as exceptions.</w:t>
            </w:r>
          </w:p>
        </w:tc>
      </w:tr>
    </w:tbl>
    <w:p>
      <w:pPr>
        <w:spacing w:after="0"/>
        <w:keepLines/>
      </w:pPr>
    </w:p>
    <w:p>
      <w:pPr>
        <w:pStyle w:val="Heading1"/>
        <w:spacing w:before="200" w:after="120"/>
        <w:keepNext/>
        <w:keepLines/>
      </w:pPr>
      <w:r>
        <w:rPr>
          <w:rFonts w:ascii="Carlito" w:hAnsi="Carlito"/>
          <w:b/>
          <w:color w:val="17324D"/>
          <w:sz w:val="32"/>
        </w:rPr>
        <w:t>15. Security, Access &amp; Data Handling</w:t>
      </w:r>
    </w:p>
    <w:p>
      <w:pPr>
        <w:pStyle w:val="ListBullet"/>
        <w:spacing w:after="44" w:line="259" w:lineRule="auto"/>
        <w:keepLines/>
      </w:pPr>
      <w:r>
        <w:rPr>
          <w:rFonts w:ascii="Carlito" w:hAnsi="Carlito"/>
          <w:color w:val="20262E"/>
          <w:sz w:val="19"/>
        </w:rPr>
        <w:t>Use named accounts wherever technically possible; shared accounts require explicit exception approval.</w:t>
      </w:r>
    </w:p>
    <w:p>
      <w:pPr>
        <w:pStyle w:val="ListBullet"/>
        <w:spacing w:after="44" w:line="259" w:lineRule="auto"/>
        <w:keepLines/>
      </w:pPr>
      <w:r>
        <w:rPr>
          <w:rFonts w:ascii="Carlito" w:hAnsi="Carlito"/>
          <w:color w:val="20262E"/>
          <w:sz w:val="19"/>
        </w:rPr>
        <w:t>Use multi-factor authentication, role-based access control and least privilege where supported by the customer technology.</w:t>
      </w:r>
    </w:p>
    <w:p>
      <w:pPr>
        <w:pStyle w:val="ListBullet"/>
        <w:spacing w:after="44" w:line="259" w:lineRule="auto"/>
        <w:keepLines/>
      </w:pPr>
      <w:r>
        <w:rPr>
          <w:rFonts w:ascii="Carlito" w:hAnsi="Carlito"/>
          <w:color w:val="20262E"/>
          <w:sz w:val="19"/>
        </w:rPr>
        <w:t>Privileged access should be time-bound or vaulted through PAM where available; credentials must not be exchanged through insecure channels.</w:t>
      </w:r>
    </w:p>
    <w:p>
      <w:pPr>
        <w:pStyle w:val="ListBullet"/>
        <w:spacing w:after="44" w:line="259" w:lineRule="auto"/>
        <w:keepLines/>
      </w:pPr>
      <w:r>
        <w:rPr>
          <w:rFonts w:ascii="Carlito" w:hAnsi="Carlito"/>
          <w:color w:val="20262E"/>
          <w:sz w:val="19"/>
        </w:rPr>
        <w:t>Remote administrative access must use customer-approved secure access mechanisms; direct internet exposure of management services is not a default support method.</w:t>
      </w:r>
    </w:p>
    <w:p>
      <w:pPr>
        <w:pStyle w:val="ListBullet"/>
        <w:spacing w:after="44" w:line="259" w:lineRule="auto"/>
        <w:keepLines/>
      </w:pPr>
      <w:r>
        <w:rPr>
          <w:rFonts w:ascii="Carlito" w:hAnsi="Carlito"/>
          <w:color w:val="20262E"/>
          <w:sz w:val="19"/>
        </w:rPr>
        <w:t>Administrative activity and change actions should be logged where the underlying platform supports it.</w:t>
      </w:r>
    </w:p>
    <w:p>
      <w:pPr>
        <w:pStyle w:val="ListBullet"/>
        <w:spacing w:after="44" w:line="259" w:lineRule="auto"/>
        <w:keepLines/>
      </w:pPr>
      <w:r>
        <w:rPr>
          <w:rFonts w:ascii="Carlito" w:hAnsi="Carlito"/>
          <w:color w:val="20262E"/>
          <w:sz w:val="19"/>
        </w:rPr>
        <w:t>Access is reviewed periodically and revoked promptly upon role change, offboarding or contract termination.</w:t>
      </w:r>
    </w:p>
    <w:p>
      <w:pPr>
        <w:pStyle w:val="ListBullet"/>
        <w:spacing w:after="44" w:line="259" w:lineRule="auto"/>
        <w:keepLines/>
      </w:pPr>
      <w:r>
        <w:rPr>
          <w:rFonts w:ascii="Carlito" w:hAnsi="Carlito"/>
          <w:color w:val="20262E"/>
          <w:sz w:val="19"/>
        </w:rPr>
        <w:t>Customer data accessed during support is handled only for the contracted purpose and in accordance with the MSA, DPA/security schedule and applicable law.</w:t>
      </w:r>
    </w:p>
    <w:p>
      <w:pPr>
        <w:pStyle w:val="ListBullet"/>
        <w:spacing w:after="44" w:line="259" w:lineRule="auto"/>
        <w:keepLines/>
      </w:pPr>
      <w:r>
        <w:rPr>
          <w:rFonts w:ascii="Carlito" w:hAnsi="Carlito"/>
          <w:color w:val="20262E"/>
          <w:sz w:val="19"/>
        </w:rPr>
        <w:t>Provider personnel should minimize collection/copied data; diagnostic exports containing sensitive information must use approved transfer and storage methods.</w:t>
      </w:r>
    </w:p>
    <w:p>
      <w:pPr>
        <w:pStyle w:val="ListBullet"/>
        <w:spacing w:after="44" w:line="259" w:lineRule="auto"/>
        <w:keepLines/>
      </w:pPr>
      <w:r>
        <w:rPr>
          <w:rFonts w:ascii="Carlito" w:hAnsi="Carlito"/>
          <w:color w:val="20262E"/>
          <w:sz w:val="19"/>
        </w:rPr>
        <w:t>Any confirmed provider-side security incident affecting customer data is managed under the notification and cooperation obligations defined in the executed agreement.</w:t>
      </w:r>
    </w:p>
    <w:p>
      <w:pPr>
        <w:pStyle w:val="Heading1"/>
        <w:spacing w:before="200" w:after="120"/>
        <w:keepNext/>
        <w:keepLines/>
      </w:pPr>
      <w:r>
        <w:rPr>
          <w:rFonts w:ascii="Carlito" w:hAnsi="Carlito"/>
          <w:b/>
          <w:color w:val="17324D"/>
          <w:sz w:val="32"/>
        </w:rPr>
        <w:t>16. Customer Responsibilities</w:t>
      </w:r>
    </w:p>
    <w:p>
      <w:pPr>
        <w:pStyle w:val="ListBullet"/>
        <w:spacing w:after="44" w:line="259" w:lineRule="auto"/>
        <w:keepLines/>
      </w:pPr>
      <w:r>
        <w:rPr>
          <w:rFonts w:ascii="Carlito" w:hAnsi="Carlito"/>
          <w:color w:val="20262E"/>
          <w:sz w:val="19"/>
        </w:rPr>
        <w:t>Provide accurate asset, environment, dependency and contact information and promptly notify material changes.</w:t>
      </w:r>
    </w:p>
    <w:p>
      <w:pPr>
        <w:pStyle w:val="ListBullet"/>
        <w:spacing w:after="44" w:line="259" w:lineRule="auto"/>
        <w:keepLines/>
      </w:pPr>
      <w:r>
        <w:rPr>
          <w:rFonts w:ascii="Carlito" w:hAnsi="Carlito"/>
          <w:color w:val="20262E"/>
          <w:sz w:val="19"/>
        </w:rPr>
        <w:t>Provide authorized, secure and sufficiently privileged access required to perform contracted services.</w:t>
      </w:r>
    </w:p>
    <w:p>
      <w:pPr>
        <w:pStyle w:val="ListBullet"/>
        <w:spacing w:after="44" w:line="259" w:lineRule="auto"/>
        <w:keepLines/>
      </w:pPr>
      <w:r>
        <w:rPr>
          <w:rFonts w:ascii="Carlito" w:hAnsi="Carlito"/>
          <w:color w:val="20262E"/>
          <w:sz w:val="19"/>
        </w:rPr>
        <w:t>Maintain valid product licenses/subscriptions and OEM/vendor support contracts where required.</w:t>
      </w:r>
    </w:p>
    <w:p>
      <w:pPr>
        <w:pStyle w:val="ListBullet"/>
        <w:spacing w:after="44" w:line="259" w:lineRule="auto"/>
        <w:keepLines/>
      </w:pPr>
      <w:r>
        <w:rPr>
          <w:rFonts w:ascii="Carlito" w:hAnsi="Carlito"/>
          <w:color w:val="20262E"/>
          <w:sz w:val="19"/>
        </w:rPr>
        <w:t>Maintain business-approved backups and recovery arrangements unless these are expressly delivered as a managed service by the provider.</w:t>
      </w:r>
    </w:p>
    <w:p>
      <w:pPr>
        <w:pStyle w:val="ListBullet"/>
        <w:spacing w:after="44" w:line="259" w:lineRule="auto"/>
        <w:keepLines/>
      </w:pPr>
      <w:r>
        <w:rPr>
          <w:rFonts w:ascii="Carlito" w:hAnsi="Carlito"/>
          <w:color w:val="20262E"/>
          <w:sz w:val="19"/>
        </w:rPr>
        <w:t>Provide timely approvals for changes, service-impacting actions, security containment and maintenance windows.</w:t>
      </w:r>
    </w:p>
    <w:p>
      <w:pPr>
        <w:pStyle w:val="ListBullet"/>
        <w:spacing w:after="44" w:line="259" w:lineRule="auto"/>
        <w:keepLines/>
      </w:pPr>
      <w:r>
        <w:rPr>
          <w:rFonts w:ascii="Carlito" w:hAnsi="Carlito"/>
          <w:color w:val="20262E"/>
          <w:sz w:val="19"/>
        </w:rPr>
        <w:t>Ensure the customer has legal authority to request security testing, monitoring and incident-response activities on all in-scope systems.</w:t>
      </w:r>
    </w:p>
    <w:p>
      <w:pPr>
        <w:pStyle w:val="ListBullet"/>
        <w:spacing w:after="44" w:line="259" w:lineRule="auto"/>
        <w:keepLines/>
      </w:pPr>
      <w:r>
        <w:rPr>
          <w:rFonts w:ascii="Carlito" w:hAnsi="Carlito"/>
          <w:color w:val="20262E"/>
          <w:sz w:val="19"/>
        </w:rPr>
        <w:t>Maintain escalation contacts with authority to make business-impact decisions during P1 incidents.</w:t>
      </w:r>
    </w:p>
    <w:p>
      <w:pPr>
        <w:pStyle w:val="ListBullet"/>
        <w:spacing w:after="44" w:line="259" w:lineRule="auto"/>
        <w:keepLines/>
      </w:pPr>
      <w:r>
        <w:rPr>
          <w:rFonts w:ascii="Carlito" w:hAnsi="Carlito"/>
          <w:color w:val="20262E"/>
          <w:sz w:val="19"/>
        </w:rPr>
        <w:t>Review provider recommendations and risk acceptances; the provider cannot unilaterally determine business risk appetite.</w:t>
      </w:r>
    </w:p>
    <w:p>
      <w:pPr>
        <w:pStyle w:val="ListBullet"/>
        <w:spacing w:after="44" w:line="259" w:lineRule="auto"/>
        <w:keepLines/>
      </w:pPr>
      <w:r>
        <w:rPr>
          <w:rFonts w:ascii="Carlito" w:hAnsi="Carlito"/>
          <w:color w:val="20262E"/>
          <w:sz w:val="19"/>
        </w:rPr>
        <w:t>Protect provider accounts, connectivity and tools made available in the customer environment from unauthorized use.</w:t>
      </w:r>
    </w:p>
    <w:p>
      <w:pPr>
        <w:pStyle w:val="Heading1"/>
        <w:spacing w:before="200" w:after="120"/>
        <w:keepNext/>
        <w:keepLines/>
      </w:pPr>
      <w:r>
        <w:rPr>
          <w:rFonts w:ascii="Carlito" w:hAnsi="Carlito"/>
          <w:b/>
          <w:color w:val="17324D"/>
          <w:sz w:val="32"/>
        </w:rPr>
        <w:t>17. Provider Responsibilities</w:t>
      </w:r>
    </w:p>
    <w:p>
      <w:pPr>
        <w:pStyle w:val="ListBullet"/>
        <w:spacing w:after="44" w:line="259" w:lineRule="auto"/>
        <w:keepLines/>
      </w:pPr>
      <w:r>
        <w:rPr>
          <w:rFonts w:ascii="Carlito" w:hAnsi="Carlito"/>
          <w:color w:val="20262E"/>
          <w:sz w:val="19"/>
        </w:rPr>
        <w:t>Deliver in-scope services using suitably skilled personnel and the agreed escalation model.</w:t>
      </w:r>
    </w:p>
    <w:p>
      <w:pPr>
        <w:pStyle w:val="ListBullet"/>
        <w:spacing w:after="44" w:line="259" w:lineRule="auto"/>
        <w:keepLines/>
      </w:pPr>
      <w:r>
        <w:rPr>
          <w:rFonts w:ascii="Carlito" w:hAnsi="Carlito"/>
          <w:color w:val="20262E"/>
          <w:sz w:val="19"/>
        </w:rPr>
        <w:t>Maintain ticket records, activity history and customer communications for support work.</w:t>
      </w:r>
    </w:p>
    <w:p>
      <w:pPr>
        <w:pStyle w:val="ListBullet"/>
        <w:spacing w:after="44" w:line="259" w:lineRule="auto"/>
        <w:keepLines/>
      </w:pPr>
      <w:r>
        <w:rPr>
          <w:rFonts w:ascii="Carlito" w:hAnsi="Carlito"/>
          <w:color w:val="20262E"/>
          <w:sz w:val="19"/>
        </w:rPr>
        <w:t>Use reasonable care to protect customer information and administrative access in accordance with contracted security terms.</w:t>
      </w:r>
    </w:p>
    <w:p>
      <w:pPr>
        <w:pStyle w:val="ListBullet"/>
        <w:spacing w:after="44" w:line="259" w:lineRule="auto"/>
        <w:keepLines/>
      </w:pPr>
      <w:r>
        <w:rPr>
          <w:rFonts w:ascii="Carlito" w:hAnsi="Carlito"/>
          <w:color w:val="20262E"/>
          <w:sz w:val="19"/>
        </w:rPr>
        <w:t>Follow agreed change, incident and escalation procedures and seek customer approval where required.</w:t>
      </w:r>
    </w:p>
    <w:p>
      <w:pPr>
        <w:pStyle w:val="ListBullet"/>
        <w:spacing w:after="44" w:line="259" w:lineRule="auto"/>
        <w:keepLines/>
      </w:pPr>
      <w:r>
        <w:rPr>
          <w:rFonts w:ascii="Carlito" w:hAnsi="Carlito"/>
          <w:color w:val="20262E"/>
          <w:sz w:val="19"/>
        </w:rPr>
        <w:t>Coordinate third-party/OEM escalations when contractually included and maintain visibility of dependencies.</w:t>
      </w:r>
    </w:p>
    <w:p>
      <w:pPr>
        <w:pStyle w:val="ListBullet"/>
        <w:spacing w:after="44" w:line="259" w:lineRule="auto"/>
        <w:keepLines/>
      </w:pPr>
      <w:r>
        <w:rPr>
          <w:rFonts w:ascii="Carlito" w:hAnsi="Carlito"/>
          <w:color w:val="20262E"/>
          <w:sz w:val="19"/>
        </w:rPr>
        <w:t>Report material service risks and recurring operational issues identified during delivery.</w:t>
      </w:r>
    </w:p>
    <w:p>
      <w:pPr>
        <w:pStyle w:val="ListBullet"/>
        <w:spacing w:after="44" w:line="259" w:lineRule="auto"/>
        <w:keepLines/>
      </w:pPr>
      <w:r>
        <w:rPr>
          <w:rFonts w:ascii="Carlito" w:hAnsi="Carlito"/>
          <w:color w:val="20262E"/>
          <w:sz w:val="19"/>
        </w:rPr>
        <w:t>Maintain agreed service reporting and governance cadence.</w:t>
      </w:r>
    </w:p>
    <w:p>
      <w:pPr>
        <w:pStyle w:val="ListBullet"/>
        <w:spacing w:after="44" w:line="259" w:lineRule="auto"/>
        <w:keepLines/>
      </w:pPr>
      <w:r>
        <w:rPr>
          <w:rFonts w:ascii="Carlito" w:hAnsi="Carlito"/>
          <w:color w:val="20262E"/>
          <w:sz w:val="19"/>
        </w:rPr>
        <w:t>Promptly revoke provider access for personnel who no longer require it.</w:t>
      </w:r>
    </w:p>
    <w:p>
      <w:pPr>
        <w:pStyle w:val="Heading1"/>
        <w:spacing w:before="200" w:after="120"/>
        <w:keepNext/>
        <w:keepLines/>
      </w:pPr>
      <w:r>
        <w:rPr>
          <w:rFonts w:ascii="Carlito" w:hAnsi="Carlito"/>
          <w:b/>
          <w:color w:val="17324D"/>
          <w:sz w:val="32"/>
        </w:rPr>
        <w:t>18. Assumptions &amp; Dependencies</w:t>
      </w:r>
    </w:p>
    <w:p>
      <w:pPr>
        <w:pStyle w:val="ListBullet"/>
        <w:spacing w:after="44" w:line="259" w:lineRule="auto"/>
        <w:keepLines/>
      </w:pPr>
      <w:r>
        <w:rPr>
          <w:rFonts w:ascii="Carlito" w:hAnsi="Carlito"/>
          <w:color w:val="20262E"/>
          <w:sz w:val="19"/>
        </w:rPr>
        <w:t>Only vendor-supported and properly licensed technologies are fully supported unless an explicit best-effort exception is approved. End-of-life/end-of-support platforms may have reduced supportability and security assurance.</w:t>
      </w:r>
    </w:p>
    <w:p>
      <w:pPr>
        <w:pStyle w:val="ListBullet"/>
        <w:spacing w:after="44" w:line="259" w:lineRule="auto"/>
        <w:keepLines/>
      </w:pPr>
      <w:r>
        <w:rPr>
          <w:rFonts w:ascii="Carlito" w:hAnsi="Carlito"/>
          <w:color w:val="20262E"/>
          <w:sz w:val="19"/>
        </w:rPr>
        <w:t>Supported products, versions, device counts, environments and support boundaries are documented during onboarding.</w:t>
      </w:r>
    </w:p>
    <w:p>
      <w:pPr>
        <w:pStyle w:val="ListBullet"/>
        <w:spacing w:after="44" w:line="259" w:lineRule="auto"/>
        <w:keepLines/>
      </w:pPr>
      <w:r>
        <w:rPr>
          <w:rFonts w:ascii="Carlito" w:hAnsi="Carlito"/>
          <w:color w:val="20262E"/>
          <w:sz w:val="19"/>
        </w:rPr>
        <w:t>Third-party/OEM resolution times, public-cloud/SaaS outages, carrier incidents and hardware replacement logistics are outside provider control.</w:t>
      </w:r>
    </w:p>
    <w:p>
      <w:pPr>
        <w:pStyle w:val="ListBullet"/>
        <w:spacing w:after="44" w:line="259" w:lineRule="auto"/>
        <w:keepLines/>
      </w:pPr>
      <w:r>
        <w:rPr>
          <w:rFonts w:ascii="Carlito" w:hAnsi="Carlito"/>
          <w:color w:val="20262E"/>
          <w:sz w:val="19"/>
        </w:rPr>
        <w:t>Customer network connectivity, remote-access availability, logs/telemetry, backups and administrative permissions materially affect incident resolution.</w:t>
      </w:r>
    </w:p>
    <w:p>
      <w:pPr>
        <w:pStyle w:val="ListBullet"/>
        <w:spacing w:after="44" w:line="259" w:lineRule="auto"/>
        <w:keepLines/>
      </w:pPr>
      <w:r>
        <w:rPr>
          <w:rFonts w:ascii="Carlito" w:hAnsi="Carlito"/>
          <w:color w:val="20262E"/>
          <w:sz w:val="19"/>
        </w:rPr>
        <w:t>Purchased hours are a finite service-capacity bank, not a guarantee that all outstanding work can be completed before the bank is exhausted or expires.</w:t>
      </w:r>
    </w:p>
    <w:p>
      <w:pPr>
        <w:pStyle w:val="ListBullet"/>
        <w:spacing w:after="44" w:line="259" w:lineRule="auto"/>
        <w:keepLines/>
      </w:pPr>
      <w:r>
        <w:rPr>
          <w:rFonts w:ascii="Carlito" w:hAnsi="Carlito"/>
          <w:color w:val="20262E"/>
          <w:sz w:val="19"/>
        </w:rPr>
        <w:t>Project activities, major migrations, redesigns and large upgrades require separate scope unless expressly included.</w:t>
      </w:r>
    </w:p>
    <w:p>
      <w:pPr>
        <w:pStyle w:val="ListBullet"/>
        <w:spacing w:after="44" w:line="259" w:lineRule="auto"/>
        <w:keepLines/>
      </w:pPr>
      <w:r>
        <w:rPr>
          <w:rFonts w:ascii="Carlito" w:hAnsi="Carlito"/>
          <w:color w:val="20262E"/>
          <w:sz w:val="19"/>
        </w:rPr>
        <w:t>Remote delivery is assumed unless onsite work is included in the commercial schedule.</w:t>
      </w:r>
    </w:p>
    <w:p>
      <w:pPr>
        <w:pStyle w:val="Heading1"/>
        <w:spacing w:before="200" w:after="120"/>
        <w:keepNext/>
        <w:keepLines/>
      </w:pPr>
      <w:r>
        <w:rPr>
          <w:rFonts w:ascii="Carlito" w:hAnsi="Carlito"/>
          <w:b/>
          <w:color w:val="17324D"/>
          <w:sz w:val="32"/>
        </w:rPr>
        <w:t>19. Exclusions &amp; Separate Scope</w:t>
      </w:r>
    </w:p>
    <w:p>
      <w:pPr>
        <w:pStyle w:val="ListBullet"/>
        <w:spacing w:after="44" w:line="259" w:lineRule="auto"/>
        <w:keepLines/>
      </w:pPr>
      <w:r>
        <w:rPr>
          <w:rFonts w:ascii="Carlito" w:hAnsi="Carlito"/>
          <w:color w:val="20262E"/>
          <w:sz w:val="19"/>
        </w:rPr>
        <w:t>Major migrations, new-platform deployments, data-center/cloud migrations and large-scale version upgrades.</w:t>
      </w:r>
    </w:p>
    <w:p>
      <w:pPr>
        <w:pStyle w:val="ListBullet"/>
        <w:spacing w:after="44" w:line="259" w:lineRule="auto"/>
        <w:keepLines/>
      </w:pPr>
      <w:r>
        <w:rPr>
          <w:rFonts w:ascii="Carlito" w:hAnsi="Carlito"/>
          <w:color w:val="20262E"/>
          <w:sz w:val="19"/>
        </w:rPr>
        <w:t>Application development, custom software development and source-code feature remediation.</w:t>
      </w:r>
    </w:p>
    <w:p>
      <w:pPr>
        <w:pStyle w:val="ListBullet"/>
        <w:spacing w:after="44" w:line="259" w:lineRule="auto"/>
        <w:keepLines/>
      </w:pPr>
      <w:r>
        <w:rPr>
          <w:rFonts w:ascii="Carlito" w:hAnsi="Carlito"/>
          <w:color w:val="20262E"/>
          <w:sz w:val="19"/>
        </w:rPr>
        <w:t>Hardware replacement, procurement, licensing and third-party subscription costs.</w:t>
      </w:r>
    </w:p>
    <w:p>
      <w:pPr>
        <w:pStyle w:val="ListBullet"/>
        <w:spacing w:after="44" w:line="259" w:lineRule="auto"/>
        <w:keepLines/>
      </w:pPr>
      <w:r>
        <w:rPr>
          <w:rFonts w:ascii="Carlito" w:hAnsi="Carlito"/>
          <w:color w:val="20262E"/>
          <w:sz w:val="19"/>
        </w:rPr>
        <w:t>Onsite engineering unless explicitly contracted.</w:t>
      </w:r>
    </w:p>
    <w:p>
      <w:pPr>
        <w:pStyle w:val="ListBullet"/>
        <w:spacing w:after="44" w:line="259" w:lineRule="auto"/>
        <w:keepLines/>
      </w:pPr>
      <w:r>
        <w:rPr>
          <w:rFonts w:ascii="Carlito" w:hAnsi="Carlito"/>
          <w:color w:val="20262E"/>
          <w:sz w:val="19"/>
        </w:rPr>
        <w:t>Major disaster-recovery exercises, full business-continuity program design or guaranteed RPO/RTO unless separately scoped.</w:t>
      </w:r>
    </w:p>
    <w:p>
      <w:pPr>
        <w:pStyle w:val="ListBullet"/>
        <w:spacing w:after="44" w:line="259" w:lineRule="auto"/>
        <w:keepLines/>
      </w:pPr>
      <w:r>
        <w:rPr>
          <w:rFonts w:ascii="Carlito" w:hAnsi="Carlito"/>
          <w:color w:val="20262E"/>
          <w:sz w:val="19"/>
        </w:rPr>
        <w:t>Regulatory certification, formal audit attestation or legal opinion.</w:t>
      </w:r>
    </w:p>
    <w:p>
      <w:pPr>
        <w:pStyle w:val="ListBullet"/>
        <w:spacing w:after="44" w:line="259" w:lineRule="auto"/>
        <w:keepLines/>
      </w:pPr>
      <w:r>
        <w:rPr>
          <w:rFonts w:ascii="Carlito" w:hAnsi="Carlito"/>
          <w:color w:val="20262E"/>
          <w:sz w:val="19"/>
        </w:rPr>
        <w:t>Extended digital-forensic/eDiscovery matters, expert witness services, or legal chain-of-custody unless specifically contracted.</w:t>
      </w:r>
    </w:p>
    <w:p>
      <w:pPr>
        <w:pStyle w:val="ListBullet"/>
        <w:spacing w:after="44" w:line="259" w:lineRule="auto"/>
        <w:keepLines/>
      </w:pPr>
      <w:r>
        <w:rPr>
          <w:rFonts w:ascii="Carlito" w:hAnsi="Carlito"/>
          <w:color w:val="20262E"/>
          <w:sz w:val="19"/>
        </w:rPr>
        <w:t>Specialized penetration testing/red-team campaigns beyond the agreed Enterprise Rules of Engagement.</w:t>
      </w:r>
    </w:p>
    <w:p>
      <w:pPr>
        <w:pStyle w:val="ListBullet"/>
        <w:spacing w:after="44" w:line="259" w:lineRule="auto"/>
        <w:keepLines/>
      </w:pPr>
      <w:r>
        <w:rPr>
          <w:rFonts w:ascii="Carlito" w:hAnsi="Carlito"/>
          <w:color w:val="20262E"/>
          <w:sz w:val="19"/>
        </w:rPr>
        <w:t>Large architecture transformation programs or continuous project-management services.</w:t>
      </w:r>
    </w:p>
    <w:p>
      <w:pPr>
        <w:pStyle w:val="ListBullet"/>
        <w:spacing w:after="44" w:line="259" w:lineRule="auto"/>
        <w:keepLines/>
      </w:pPr>
      <w:r>
        <w:rPr>
          <w:rFonts w:ascii="Carlito" w:hAnsi="Carlito"/>
          <w:color w:val="20262E"/>
          <w:sz w:val="19"/>
        </w:rPr>
        <w:t>Any action requiring access or authorization the customer has not lawfully provided.</w:t>
      </w:r>
    </w:p>
    <w:p>
      <w:pPr>
        <w:pStyle w:val="Heading1"/>
        <w:spacing w:before="200" w:after="120"/>
        <w:keepNext/>
        <w:keepLines/>
      </w:pPr>
      <w:r>
        <w:rPr>
          <w:rFonts w:ascii="Carlito" w:hAnsi="Carlito"/>
          <w:b/>
          <w:color w:val="17324D"/>
          <w:sz w:val="32"/>
        </w:rPr>
        <w:t>20. Business Continuity &amp; Resilience</w:t>
      </w:r>
    </w:p>
    <w:p>
      <w:pPr>
        <w:pStyle w:val="ListBullet"/>
        <w:spacing w:after="44" w:line="259" w:lineRule="auto"/>
        <w:keepLines/>
      </w:pPr>
      <w:r>
        <w:rPr>
          <w:rFonts w:ascii="Carlito" w:hAnsi="Carlito"/>
          <w:color w:val="20262E"/>
          <w:sz w:val="19"/>
        </w:rPr>
        <w:t>Provider continuity arrangements support continued service delivery subject to the executed service terms and force-majeure provisions.</w:t>
      </w:r>
    </w:p>
    <w:p>
      <w:pPr>
        <w:pStyle w:val="ListBullet"/>
        <w:spacing w:after="44" w:line="259" w:lineRule="auto"/>
        <w:keepLines/>
      </w:pPr>
      <w:r>
        <w:rPr>
          <w:rFonts w:ascii="Carlito" w:hAnsi="Carlito"/>
          <w:color w:val="20262E"/>
          <w:sz w:val="19"/>
        </w:rPr>
        <w:t>Customer backup, disaster-recovery, high-availability and business-continuity objectives remain customer responsibilities unless contracted as managed services.</w:t>
      </w:r>
    </w:p>
    <w:p>
      <w:pPr>
        <w:pStyle w:val="ListBullet"/>
        <w:spacing w:after="44" w:line="259" w:lineRule="auto"/>
        <w:keepLines/>
      </w:pPr>
      <w:r>
        <w:rPr>
          <w:rFonts w:ascii="Carlito" w:hAnsi="Carlito"/>
          <w:color w:val="20262E"/>
          <w:sz w:val="19"/>
        </w:rPr>
        <w:t>RPO (maximum acceptable data-loss window) and RTO (target service restoration window) must be explicitly defined for systems where they are contractual requirements.</w:t>
      </w:r>
    </w:p>
    <w:p>
      <w:pPr>
        <w:pStyle w:val="ListBullet"/>
        <w:spacing w:after="44" w:line="259" w:lineRule="auto"/>
        <w:keepLines/>
      </w:pPr>
      <w:r>
        <w:rPr>
          <w:rFonts w:ascii="Carlito" w:hAnsi="Carlito"/>
          <w:color w:val="20262E"/>
          <w:sz w:val="19"/>
        </w:rPr>
        <w:t>Recovery procedures should be periodically tested; a successful backup job alone is not evidence that end-to-end recovery objectives can be met.</w:t>
      </w:r>
    </w:p>
    <w:p>
      <w:pPr>
        <w:pStyle w:val="Heading1"/>
        <w:spacing w:before="200" w:after="120"/>
        <w:keepNext/>
        <w:keepLines/>
      </w:pPr>
      <w:r>
        <w:rPr>
          <w:rFonts w:ascii="Carlito" w:hAnsi="Carlito"/>
          <w:b/>
          <w:color w:val="17324D"/>
          <w:sz w:val="32"/>
        </w:rPr>
        <w:t>21. Exit &amp; Offboarding</w:t>
      </w:r>
    </w:p>
    <w:p>
      <w:pPr>
        <w:pStyle w:val="ListBullet"/>
        <w:spacing w:after="44" w:line="259" w:lineRule="auto"/>
        <w:keepLines/>
      </w:pPr>
      <w:r>
        <w:rPr>
          <w:rFonts w:ascii="Carlito" w:hAnsi="Carlito"/>
          <w:color w:val="20262E"/>
          <w:sz w:val="19"/>
        </w:rPr>
        <w:t>Agree exit date, open-ticket disposition and final service-reporting cut-off.</w:t>
      </w:r>
    </w:p>
    <w:p>
      <w:pPr>
        <w:pStyle w:val="ListBullet"/>
        <w:spacing w:after="44" w:line="259" w:lineRule="auto"/>
        <w:keepLines/>
      </w:pPr>
      <w:r>
        <w:rPr>
          <w:rFonts w:ascii="Carlito" w:hAnsi="Carlito"/>
          <w:color w:val="20262E"/>
          <w:sz w:val="19"/>
        </w:rPr>
        <w:t>Revoke provider access and remove provider-managed credentials/tokens according to the access register.</w:t>
      </w:r>
    </w:p>
    <w:p>
      <w:pPr>
        <w:pStyle w:val="ListBullet"/>
        <w:spacing w:after="44" w:line="259" w:lineRule="auto"/>
        <w:keepLines/>
      </w:pPr>
      <w:r>
        <w:rPr>
          <w:rFonts w:ascii="Carlito" w:hAnsi="Carlito"/>
          <w:color w:val="20262E"/>
          <w:sz w:val="19"/>
        </w:rPr>
        <w:t>Return or securely dispose of customer-confidential data held for service delivery according to contracted retention requirements.</w:t>
      </w:r>
    </w:p>
    <w:p>
      <w:pPr>
        <w:pStyle w:val="ListBullet"/>
        <w:spacing w:after="44" w:line="259" w:lineRule="auto"/>
        <w:keepLines/>
      </w:pPr>
      <w:r>
        <w:rPr>
          <w:rFonts w:ascii="Carlito" w:hAnsi="Carlito"/>
          <w:color w:val="20262E"/>
          <w:sz w:val="19"/>
        </w:rPr>
        <w:t>Provide agreed operational documentation, runbooks and ticket extracts owned by the customer.</w:t>
      </w:r>
    </w:p>
    <w:p>
      <w:pPr>
        <w:pStyle w:val="ListBullet"/>
        <w:spacing w:after="44" w:line="259" w:lineRule="auto"/>
        <w:keepLines/>
      </w:pPr>
      <w:r>
        <w:rPr>
          <w:rFonts w:ascii="Carlito" w:hAnsi="Carlito"/>
          <w:color w:val="20262E"/>
          <w:sz w:val="19"/>
        </w:rPr>
        <w:t>Complete knowledge handover to customer or replacement provider when transition assistance is purchased or included.</w:t>
      </w:r>
    </w:p>
    <w:p>
      <w:pPr>
        <w:pStyle w:val="ListBullet"/>
        <w:spacing w:after="44" w:line="259" w:lineRule="auto"/>
        <w:keepLines/>
      </w:pPr>
      <w:r>
        <w:rPr>
          <w:rFonts w:ascii="Carlito" w:hAnsi="Carlito"/>
          <w:color w:val="20262E"/>
          <w:sz w:val="19"/>
        </w:rPr>
        <w:t>Identify unresolved risks, dependencies and pending changes at service termination.</w:t>
      </w:r>
    </w:p>
    <w:p>
      <w:pPr>
        <w:pStyle w:val="Heading1"/>
        <w:spacing w:before="200" w:after="120"/>
        <w:keepNext/>
        <w:keepLines/>
      </w:pPr>
      <w:r>
        <w:rPr>
          <w:rFonts w:ascii="Carlito" w:hAnsi="Carlito"/>
          <w:b/>
          <w:color w:val="17324D"/>
          <w:sz w:val="32"/>
        </w:rPr>
        <w:t>22. Commercial Proposal</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Package</w:t>
            </w:r>
          </w:p>
        </w:tc>
        <w:tc>
          <w:tcPr>
            <w:tcW w:type="dxa" w:w="464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Service Model</w:t>
            </w:r>
          </w:p>
        </w:tc>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7"/>
              </w:rPr>
              <w:t>Pack Price</w:t>
            </w:r>
          </w:p>
        </w:tc>
      </w:tr>
      <w:tr>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Reactive Support 50 Hours</w:t>
            </w:r>
          </w:p>
        </w:tc>
        <w:tc>
          <w:tcPr>
            <w:tcW w:type="dxa" w:w="464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50 prepaid hrs; 3-month validity; customer-local 8x5 shift; P1 effort at 2.0x</w:t>
            </w:r>
          </w:p>
        </w:tc>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INR 279,504 one time</w:t>
            </w:r>
          </w:p>
        </w:tc>
      </w:tr>
      <w:tr>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Reactive Support 100 Hours</w:t>
            </w:r>
          </w:p>
        </w:tc>
        <w:tc>
          <w:tcPr>
            <w:tcW w:type="dxa" w:w="464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100 prepaid hrs; 6-month validity; customer-local 8x5 shift; P1 effort at 2.0x</w:t>
            </w:r>
          </w:p>
        </w:tc>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INR 521,640 one time</w:t>
            </w:r>
          </w:p>
        </w:tc>
      </w:tr>
      <w:tr>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Reactive Support 200 Hours</w:t>
            </w:r>
          </w:p>
        </w:tc>
        <w:tc>
          <w:tcPr>
            <w:tcW w:type="dxa" w:w="464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200 prepaid hrs; 12-month validity; SOW-defined support window</w:t>
            </w:r>
          </w:p>
        </w:tc>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INR 943,920 one time</w:t>
            </w:r>
          </w:p>
        </w:tc>
      </w:tr>
      <w:tr>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Validity Extension</w:t>
            </w:r>
          </w:p>
        </w:tc>
        <w:tc>
          <w:tcPr>
            <w:tcW w:type="dxa" w:w="464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Adds one month of validity; does not add support hours</w:t>
            </w:r>
          </w:p>
        </w:tc>
        <w:tc>
          <w:tcPr>
            <w:tcW w:type="dxa" w:w="238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INR 24,840 per one-month extension</w:t>
            </w:r>
          </w:p>
        </w:tc>
      </w:tr>
    </w:tbl>
    <w:p>
      <w:pPr>
        <w:spacing w:after="20"/>
        <w:keepLines/>
      </w:pPr>
    </w:p>
    <w:tbl>
      <w:tblPr>
        <w:tblW w:type="auto" w:w="0"/>
        <w:jc w:val="center"/>
        <w:tblLayout w:type="fixed"/>
        <w:tblLook w:firstColumn="1" w:firstRow="1" w:lastColumn="0" w:lastRow="0" w:noHBand="0" w:noVBand="1" w:val="04A0"/>
      </w:tblPr>
      <w:tblGrid>
        <w:gridCol w:w="4933"/>
        <w:gridCol w:w="4933"/>
      </w:tblGrid>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Applicable taxes</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As applicable</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Pack validity</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Calculator Validity</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Billing model</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Prepaid in full</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Payment terms</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As agreed in the executed commercial schedule</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Currency</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INR</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Overage rate</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By quotation</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Onsite rate</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By quotation</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7"/>
              </w:rPr>
              <w:t>50 / 100 Hour Pack support window</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7"/>
              </w:rPr>
              <w:t>One customer-local 8-hour shift per business day, 5 business days/week; exact timezone, shift hours and holiday calendar in SOW.</w:t>
            </w:r>
          </w:p>
        </w:tc>
      </w:tr>
      <w:tr>
        <w:tc>
          <w:tcPr>
            <w:tcW w:type="dxa" w:w="28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7"/>
              </w:rPr>
              <w:t>50 / 100 Hour Pack P1 consumption</w:t>
            </w:r>
          </w:p>
        </w:tc>
        <w:tc>
          <w:tcPr>
            <w:tcW w:type="dxa" w:w="6236"/>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7"/>
              </w:rPr>
              <w:t>2.0 support hours per actual engineer-hour while actively handled as P1; aggregate concurrent engineer-hours are multiplied by 2.0x.</w:t>
            </w:r>
          </w:p>
        </w:tc>
      </w:tr>
    </w:tbl>
    <w:p>
      <w:pPr>
        <w:spacing w:after="80" w:before="0" w:line="269" w:lineRule="auto"/>
        <w:keepLines/>
      </w:pPr>
      <w:r>
        <w:rPr>
          <w:rFonts w:ascii="Carlito" w:hAnsi="Carlito"/>
          <w:b w:val="0"/>
          <w:i w:val="0"/>
          <w:color w:val="20262E"/>
          <w:sz w:val="18"/>
        </w:rPr>
        <w:t>Final pricing may vary based on users/endpoints, servers, network/security devices, locations, cloud footprint, technologies, monitoring volume, data ingestion, regulatory requirements, onsite needs, required service window, and dedicated/shared staffing model.</w:t>
      </w:r>
    </w:p>
    <w:tbl>
      <w:tblPr>
        <w:tblW w:type="auto" w:w="0"/>
        <w:jc w:val="center"/>
        <w:tblLayout w:type="fixed"/>
        <w:tblLook w:firstColumn="1" w:firstRow="1" w:lastColumn="0" w:lastRow="0" w:noHBand="0" w:noVBand="1" w:val="04A0"/>
      </w:tblPr>
      <w:tblGrid>
        <w:gridCol w:w="9866"/>
      </w:tblGrid>
      <w:tr>
        <w:tc>
          <w:tcPr>
            <w:tcW w:type="dxa" w:w="9866"/>
            <w:shd w:fill="EAF1F4"/>
            <w:tcMar>
              <w:top w:w="120" w:type="dxa"/>
              <w:start w:w="140" w:type="dxa"/>
              <w:bottom w:w="120" w:type="dxa"/>
              <w:end w:w="140" w:type="dxa"/>
            </w:tcMar>
            <w:tcBorders>
              <w:top w:val="nil"/>
              <w:left w:val="single" w:sz="14" w:color="0B6E75"/>
              <w:bottom w:val="nil"/>
              <w:right w:val="nil"/>
            </w:tcBorders>
          </w:tcPr>
          <w:p>
            <w:pPr>
              <w:spacing w:after="0" w:line="259" w:lineRule="auto"/>
            </w:pPr>
            <w:r>
              <w:rPr>
                <w:rFonts w:ascii="Carlito" w:hAnsi="Carlito"/>
                <w:b/>
                <w:color w:val="17324D"/>
                <w:sz w:val="19"/>
              </w:rPr>
              <w:t>Commercial control: The selected hour pack is a finite prepaid bank, not an unlimited-use or monthly-refresh service. Unused hours expire at the end of the pack validity period. For the 50 and 100 Hour Packs, support is limited to one customer-local shift and P1 active engineering time consumes the bank at 2.0x actual engineer-hours. Enterprise 24x7 support remains separately scoped and quoted.</w:t>
            </w:r>
            <w:r>
              <w:rPr>
                <w:rFonts w:ascii="Carlito" w:hAnsi="Carlito"/>
                <w:color w:val="20262E"/>
                <w:sz w:val="19"/>
              </w:rPr>
            </w:r>
          </w:p>
        </w:tc>
      </w:tr>
    </w:tbl>
    <w:p>
      <w:pPr>
        <w:spacing w:after="0"/>
        <w:keepLines/>
      </w:pPr>
    </w:p>
    <w:p>
      <w:pPr>
        <w:pStyle w:val="Heading1"/>
        <w:spacing w:before="200" w:after="120"/>
        <w:keepNext/>
        <w:keepLines/>
      </w:pPr>
      <w:r>
        <w:rPr>
          <w:rFonts w:ascii="Carlito" w:hAnsi="Carlito"/>
          <w:b/>
          <w:color w:val="17324D"/>
          <w:sz w:val="32"/>
        </w:rPr>
        <w:t>23. Optional Additional Services</w:t>
      </w:r>
    </w:p>
    <w:p>
      <w:pPr>
        <w:pStyle w:val="ListBullet"/>
        <w:spacing w:after="44" w:line="259" w:lineRule="auto"/>
        <w:keepLines/>
      </w:pPr>
      <w:r>
        <w:rPr>
          <w:rFonts w:ascii="Carlito" w:hAnsi="Carlito"/>
          <w:color w:val="20262E"/>
          <w:sz w:val="19"/>
        </w:rPr>
        <w:t>Cybersecurity maturity assessment; infrastructure assessment; cloud security assessment; Active Directory security assessment.</w:t>
      </w:r>
    </w:p>
    <w:p>
      <w:pPr>
        <w:pStyle w:val="ListBullet"/>
        <w:spacing w:after="44" w:line="259" w:lineRule="auto"/>
        <w:keepLines/>
      </w:pPr>
      <w:r>
        <w:rPr>
          <w:rFonts w:ascii="Carlito" w:hAnsi="Carlito"/>
          <w:color w:val="20262E"/>
          <w:sz w:val="19"/>
        </w:rPr>
        <w:t>Firewall rule review; Microsoft 365 security assessment; backup and disaster-recovery assessment.</w:t>
      </w:r>
    </w:p>
    <w:p>
      <w:pPr>
        <w:pStyle w:val="ListBullet"/>
        <w:spacing w:after="44" w:line="259" w:lineRule="auto"/>
        <w:keepLines/>
      </w:pPr>
      <w:r>
        <w:rPr>
          <w:rFonts w:ascii="Carlito" w:hAnsi="Carlito"/>
          <w:color w:val="20262E"/>
          <w:sz w:val="19"/>
        </w:rPr>
        <w:t>Incident response retainer; vulnerability management; penetration testing; red-team exercises.</w:t>
      </w:r>
    </w:p>
    <w:p>
      <w:pPr>
        <w:pStyle w:val="ListBullet"/>
        <w:spacing w:after="44" w:line="259" w:lineRule="auto"/>
        <w:keepLines/>
      </w:pPr>
      <w:r>
        <w:rPr>
          <w:rFonts w:ascii="Carlito" w:hAnsi="Carlito"/>
          <w:color w:val="20262E"/>
          <w:sz w:val="19"/>
        </w:rPr>
        <w:t>Security awareness programs; architecture consulting; cloud migration; infrastructure modernization.</w:t>
      </w:r>
    </w:p>
    <w:p>
      <w:pPr>
        <w:pStyle w:val="ListBullet"/>
        <w:spacing w:after="44" w:line="259" w:lineRule="auto"/>
        <w:keepLines/>
      </w:pPr>
      <w:r>
        <w:rPr>
          <w:rFonts w:ascii="Carlito" w:hAnsi="Carlito"/>
          <w:color w:val="20262E"/>
          <w:sz w:val="19"/>
        </w:rPr>
        <w:t>SOC implementation; SIEM implementation/tuning; Zero Trust consulting; dedicated engineering or onsite services.</w:t>
      </w:r>
    </w:p>
    <w:p>
      <w:pPr/>
      <w:r>
        <w:t>• NeoZaar CloudCraft deployment services: AWS/Azure architecture validation, infrastructure-as-code, deployment automation, deployment verification and related migration/deployment project services, subject to separate scope and SOW.</w:t>
      </w:r>
    </w:p>
    <w:p>
      <w:pPr>
        <w:pStyle w:val="Heading1"/>
        <w:spacing w:before="200" w:after="120"/>
        <w:keepNext/>
        <w:keepLines/>
      </w:pPr>
      <w:r>
        <w:rPr>
          <w:rFonts w:ascii="Carlito" w:hAnsi="Carlito"/>
          <w:b/>
          <w:color w:val="17324D"/>
          <w:sz w:val="32"/>
        </w:rPr>
        <w:t>24. Industry Alignment</w:t>
      </w:r>
    </w:p>
    <w:p>
      <w:pPr>
        <w:spacing w:after="80" w:before="0" w:line="269" w:lineRule="auto"/>
        <w:keepLines/>
      </w:pPr>
      <w:r>
        <w:rPr>
          <w:rFonts w:ascii="Carlito" w:hAnsi="Carlito"/>
          <w:b w:val="0"/>
          <w:i w:val="0"/>
          <w:color w:val="20262E"/>
          <w:sz w:val="19"/>
        </w:rPr>
        <w:t>The operating model is structured around recognized service-management and cybersecurity practices. Alignment is descriptive and does not represent certification, third-party attestation, or a contractual claim of conformity unless separately evidenced.</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340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Reference</w:t>
            </w:r>
          </w:p>
        </w:tc>
        <w:tc>
          <w:tcPr>
            <w:tcW w:type="dxa" w:w="56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How this proposal uses the practice</w:t>
            </w:r>
          </w:p>
        </w:tc>
      </w:tr>
      <w:tr>
        <w:tc>
          <w:tcPr>
            <w:tcW w:type="dxa" w:w="340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ISO/IEC 20000-1:2018 - Service Management System requirements</w:t>
            </w:r>
          </w:p>
        </w:tc>
        <w:tc>
          <w:tcPr>
            <w:tcW w:type="dxa" w:w="56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Service lifecycle, incident/request/change management, service reporting, governance and continual improvement concepts.</w:t>
            </w:r>
          </w:p>
        </w:tc>
      </w:tr>
      <w:tr>
        <w:tc>
          <w:tcPr>
            <w:tcW w:type="dxa" w:w="340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NIST Cybersecurity Framework (CSF) 2.0</w:t>
            </w:r>
          </w:p>
        </w:tc>
        <w:tc>
          <w:tcPr>
            <w:tcW w:type="dxa" w:w="56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Risk-governance and cybersecurity lifecycle concepts across Govern, Identify, Protect, Detect, Respond and Recover.</w:t>
            </w:r>
          </w:p>
        </w:tc>
      </w:tr>
      <w:tr>
        <w:tc>
          <w:tcPr>
            <w:tcW w:type="dxa" w:w="340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NIST SP 800-61 Rev. 3 (2025)</w:t>
            </w:r>
          </w:p>
        </w:tc>
        <w:tc>
          <w:tcPr>
            <w:tcW w:type="dxa" w:w="56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Cybersecurity incident-response integration with broader risk management, including preparation, response and recovery considerations.</w:t>
            </w:r>
          </w:p>
        </w:tc>
      </w:tr>
      <w:tr>
        <w:tc>
          <w:tcPr>
            <w:tcW w:type="dxa" w:w="3402"/>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ISO/IEC 27001:2022 - Information Security Management Systems</w:t>
            </w:r>
          </w:p>
        </w:tc>
        <w:tc>
          <w:tcPr>
            <w:tcW w:type="dxa" w:w="5669"/>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Risk-based information-security practices, access control, confidentiality/integrity/availability and continual improvement principles.</w:t>
            </w:r>
          </w:p>
        </w:tc>
      </w:tr>
    </w:tbl>
    <w:p>
      <w:pPr>
        <w:spacing w:after="20"/>
        <w:keepLines/>
      </w:pPr>
    </w:p>
    <w:p>
      <w:pPr>
        <w:spacing w:after="80" w:before="0" w:line="269" w:lineRule="auto"/>
        <w:keepLines/>
      </w:pPr>
      <w:r>
        <w:rPr>
          <w:rFonts w:ascii="Carlito" w:hAnsi="Carlito"/>
          <w:b w:val="0"/>
          <w:i w:val="0"/>
          <w:color w:val="5B6573"/>
          <w:sz w:val="16"/>
        </w:rPr>
        <w:t>Public reference links: https://www.iso.org/standard/70636.html | https://www.nist.gov/publications/nist-cybersecurity-framework-csf-20 | https://csrc.nist.gov/pubs/sp/800/61/r3/final | https://www.iso.org/standard/27001</w:t>
      </w:r>
    </w:p>
    <w:p>
      <w:pPr>
        <w:pStyle w:val="Heading1"/>
        <w:spacing w:before="200" w:after="120"/>
        <w:keepNext/>
        <w:keepLines/>
      </w:pPr>
      <w:r>
        <w:rPr>
          <w:rFonts w:ascii="Carlito" w:hAnsi="Carlito"/>
          <w:b/>
          <w:color w:val="17324D"/>
          <w:sz w:val="32"/>
        </w:rPr>
        <w:t>25. Next Steps</w:t>
      </w:r>
    </w:p>
    <w:p>
      <w:pPr>
        <w:spacing w:after="44" w:line="259" w:lineRule="auto"/>
        <w:keepLines/>
      </w:pPr>
      <w:r>
        <w:rPr>
          <w:rFonts w:ascii="Carlito" w:hAnsi="Carlito"/>
          <w:b/>
          <w:color w:val="17324D"/>
          <w:sz w:val="19"/>
        </w:rPr>
        <w:t xml:space="preserve">1.  Select the preferred reactive support hour bank and confirm the operating/support window.</w:t>
      </w:r>
      <w:r>
        <w:rPr>
          <w:rFonts w:ascii="Carlito" w:hAnsi="Carlito"/>
          <w:color w:val="20262E"/>
          <w:sz w:val="19"/>
        </w:rPr>
        <w:t/>
      </w:r>
    </w:p>
    <w:p>
      <w:pPr>
        <w:spacing w:after="44" w:line="259" w:lineRule="auto"/>
        <w:keepLines/>
      </w:pPr>
      <w:r>
        <w:rPr>
          <w:rFonts w:ascii="Carlito" w:hAnsi="Carlito"/>
          <w:b/>
          <w:color w:val="17324D"/>
          <w:sz w:val="19"/>
        </w:rPr>
        <w:t xml:space="preserve">2.  </w:t>
      </w:r>
      <w:r>
        <w:rPr>
          <w:rFonts w:ascii="Carlito" w:hAnsi="Carlito"/>
          <w:color w:val="20262E"/>
          <w:sz w:val="19"/>
        </w:rPr>
        <w:t>Complete customer/company identity, commercials, supported-technology inventory and customer-specific compliance/security requirements.</w:t>
      </w:r>
    </w:p>
    <w:p>
      <w:pPr>
        <w:spacing w:after="44" w:line="259" w:lineRule="auto"/>
        <w:keepLines/>
      </w:pPr>
      <w:r>
        <w:rPr>
          <w:rFonts w:ascii="Carlito" w:hAnsi="Carlito"/>
          <w:b/>
          <w:color w:val="17324D"/>
          <w:sz w:val="19"/>
        </w:rPr>
        <w:t xml:space="preserve">3.  </w:t>
      </w:r>
      <w:r>
        <w:rPr>
          <w:rFonts w:ascii="Carlito" w:hAnsi="Carlito"/>
          <w:color w:val="20262E"/>
          <w:sz w:val="19"/>
        </w:rPr>
        <w:t>Execute MSA/SOW and relevant security/DPA schedules.</w:t>
      </w:r>
    </w:p>
    <w:p>
      <w:pPr>
        <w:spacing w:after="44" w:line="259" w:lineRule="auto"/>
        <w:keepLines/>
      </w:pPr>
      <w:r>
        <w:rPr>
          <w:rFonts w:ascii="Carlito" w:hAnsi="Carlito"/>
          <w:b/>
          <w:color w:val="17324D"/>
          <w:sz w:val="19"/>
        </w:rPr>
        <w:t xml:space="preserve">4.  </w:t>
      </w:r>
      <w:r>
        <w:rPr>
          <w:rFonts w:ascii="Carlito" w:hAnsi="Carlito"/>
          <w:color w:val="20262E"/>
          <w:sz w:val="19"/>
        </w:rPr>
        <w:t>Perform technical discovery, access setup and knowledge transition.</w:t>
      </w:r>
    </w:p>
    <w:p>
      <w:pPr>
        <w:spacing w:after="44" w:line="259" w:lineRule="auto"/>
        <w:keepLines/>
      </w:pPr>
      <w:r>
        <w:rPr>
          <w:rFonts w:ascii="Carlito" w:hAnsi="Carlito"/>
          <w:b/>
          <w:color w:val="17324D"/>
          <w:sz w:val="19"/>
        </w:rPr>
        <w:t xml:space="preserve">5.  </w:t>
      </w:r>
      <w:r>
        <w:rPr>
          <w:rFonts w:ascii="Carlito" w:hAnsi="Carlito"/>
          <w:color w:val="20262E"/>
          <w:sz w:val="19"/>
        </w:rPr>
        <w:t>Validate ticketing, escalation, P1 path and monitoring integrations as applicable.</w:t>
      </w:r>
    </w:p>
    <w:p>
      <w:pPr>
        <w:spacing w:after="44" w:line="259" w:lineRule="auto"/>
        <w:keepLines/>
      </w:pPr>
      <w:r>
        <w:rPr>
          <w:rFonts w:ascii="Carlito" w:hAnsi="Carlito"/>
          <w:b/>
          <w:color w:val="17324D"/>
          <w:sz w:val="19"/>
        </w:rPr>
        <w:t xml:space="preserve">6.  </w:t>
      </w:r>
      <w:r>
        <w:rPr>
          <w:rFonts w:ascii="Carlito" w:hAnsi="Carlito"/>
          <w:color w:val="20262E"/>
          <w:sz w:val="19"/>
        </w:rPr>
        <w:t>Approve service readiness and transition to production go-live.</w:t>
      </w:r>
    </w:p>
    <w:p>
      <w:pPr>
        <w:spacing w:after="160" w:before="120" w:line="269" w:lineRule="auto"/>
        <w:jc w:val="center"/>
        <w:keepLines/>
      </w:pPr>
      <w:r>
        <w:rPr>
          <w:rFonts w:ascii="Carlito" w:hAnsi="Carlito"/>
          <w:b/>
          <w:i w:val="0"/>
          <w:color w:val="0B6E75"/>
          <w:sz w:val="20"/>
        </w:rPr>
        <w:t>Commercial Finalization -&gt; Contract/SOW -&gt; Technical Discovery -&gt; Access Setup -&gt; Knowledge Transition -&gt; Readiness Validation -&gt; Service Go-Live</w:t>
      </w:r>
    </w:p>
    <w:p>
      <w:pPr>
        <w:pStyle w:val="Heading1"/>
        <w:pageBreakBefore/>
        <w:spacing w:before="200" w:after="120"/>
        <w:keepNext/>
        <w:keepLines/>
      </w:pPr>
      <w:r>
        <w:rPr>
          <w:rFonts w:ascii="Carlito" w:hAnsi="Carlito"/>
          <w:b/>
          <w:color w:val="17324D"/>
          <w:sz w:val="32"/>
        </w:rPr>
        <w:t>26. Acceptance</w:t>
      </w:r>
    </w:p>
    <w:p>
      <w:pPr>
        <w:spacing w:after="80" w:before="0" w:line="269" w:lineRule="auto"/>
        <w:keepLines/>
      </w:pPr>
      <w:r>
        <w:rPr>
          <w:rFonts w:ascii="Carlito" w:hAnsi="Carlito"/>
          <w:b w:val="0"/>
          <w:i w:val="0"/>
          <w:color w:val="20262E"/>
          <w:sz w:val="19"/>
        </w:rPr>
        <w:t>We appreciate the opportunity to support Proposal Customer and look forward to establishing a long-term technology partnership focused on secure, reliable and resilient IT operations.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8"/>
              </w:rPr>
              <w:t>For Proposal Customer</w:t>
            </w:r>
          </w:p>
        </w:tc>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8"/>
              </w:rPr>
              <w:t>For NeoZaar Services</w:t>
            </w:r>
          </w:p>
        </w:tc>
      </w:tr>
      <w:tr>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Name: ______________________________</w:t>
            </w:r>
          </w:p>
        </w:tc>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Name: ______________________________</w:t>
            </w:r>
          </w:p>
        </w:tc>
      </w:tr>
      <w:tr>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Designation: _________________________</w:t>
            </w:r>
          </w:p>
        </w:tc>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Designation: _________________________</w:t>
            </w:r>
          </w:p>
        </w:tc>
      </w:tr>
      <w:tr>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Signature: ___________________________</w:t>
            </w:r>
          </w:p>
        </w:tc>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8"/>
              </w:rPr>
              <w:t>Signature: ___________________________</w:t>
            </w:r>
          </w:p>
        </w:tc>
      </w:tr>
      <w:tr>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Date: _______________________________</w:t>
            </w:r>
          </w:p>
        </w:tc>
        <w:tc>
          <w:tcPr>
            <w:tcW w:type="dxa" w:w="453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8"/>
              </w:rPr>
              <w:t>Date: _______________________________</w:t>
            </w:r>
          </w:p>
        </w:tc>
      </w:tr>
    </w:tbl>
    <w:p>
      <w:pPr>
        <w:spacing w:after="20"/>
        <w:keepLines/>
      </w:pPr>
    </w:p>
    <w:p>
      <w:pPr>
        <w:pStyle w:val="Heading1"/>
        <w:spacing w:before="200" w:after="120"/>
        <w:keepNext/>
        <w:keepLines/>
      </w:pPr>
      <w:r>
        <w:rPr>
          <w:rFonts w:ascii="Carlito" w:hAnsi="Carlito"/>
          <w:b/>
          <w:color w:val="17324D"/>
          <w:sz w:val="32"/>
        </w:rPr>
        <w:t>Appendix A. RACI Matrix (Baseline)</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Activity</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Provider</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Customer</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17324D"/>
          </w:tcPr>
          <w:p>
            <w:pPr>
              <w:spacing w:after="0" w:before="0" w:line="240" w:lineRule="auto"/>
            </w:pPr>
            <w:r>
              <w:rPr>
                <w:rFonts w:ascii="Carlito" w:hAnsi="Carlito"/>
                <w:b/>
                <w:color w:val="FFFFFF"/>
                <w:sz w:val="16"/>
              </w:rPr>
              <w:t>OEM / Third Party</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Incident logging / triage</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R/A</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I</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Provide required environment information</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I</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Grant/approve administrative access</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I</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Technical troubleshooting</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R/A</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Production change approval</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Execute approved support change</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R/A</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Maintain product licenses/OEM contracts</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I</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OEM defect resolution / hardware replacement</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R/A</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Business risk acceptance</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I</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color w:val="20262E"/>
                <w:sz w:val="16"/>
              </w:rPr>
              <w:t>Security containment authorization</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R</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A</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shd w:fill="F5F8FA"/>
          </w:tcPr>
          <w:p>
            <w:pPr>
              <w:spacing w:after="0" w:before="0" w:line="240" w:lineRule="auto"/>
            </w:pPr>
            <w:r>
              <w:rPr>
                <w:rFonts w:ascii="Carlito" w:hAnsi="Carlito"/>
                <w:b w:val="0"/>
                <w:color w:val="20262E"/>
                <w:sz w:val="16"/>
              </w:rPr>
              <w:t>C</w:t>
            </w:r>
          </w:p>
        </w:tc>
      </w:tr>
      <w:tr>
        <w:tc>
          <w:tcPr>
            <w:tcW w:type="dxa" w:w="3855"/>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color w:val="20262E"/>
                <w:sz w:val="16"/>
              </w:rPr>
              <w:t>Service reporting</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R/A</w:t>
            </w:r>
          </w:p>
        </w:tc>
        <w:tc>
          <w:tcPr>
            <w:tcW w:type="dxa" w:w="1701"/>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C</w:t>
            </w:r>
          </w:p>
        </w:tc>
        <w:tc>
          <w:tcPr>
            <w:tcW w:type="dxa" w:w="1814"/>
            <w:vAlign w:val="center"/>
            <w:tcMar>
              <w:top w:w="70" w:type="dxa"/>
              <w:start w:w="70" w:type="dxa"/>
              <w:bottom w:w="70" w:type="dxa"/>
              <w:end w:w="70" w:type="dxa"/>
            </w:tcMar>
            <w:tcBorders>
              <w:top w:val="single" w:sz="4" w:color="D5DCE3"/>
              <w:left w:val="single" w:sz="4" w:color="D5DCE3"/>
              <w:bottom w:val="single" w:sz="4" w:color="D5DCE3"/>
              <w:right w:val="single" w:sz="4" w:color="D5DCE3"/>
            </w:tcBorders>
          </w:tcPr>
          <w:p>
            <w:pPr>
              <w:spacing w:after="0" w:before="0" w:line="240" w:lineRule="auto"/>
            </w:pPr>
            <w:r>
              <w:rPr>
                <w:rFonts w:ascii="Carlito" w:hAnsi="Carlito"/>
                <w:b w:val="0"/>
                <w:color w:val="20262E"/>
                <w:sz w:val="16"/>
              </w:rPr>
              <w:t>I</w:t>
            </w:r>
          </w:p>
        </w:tc>
      </w:tr>
    </w:tbl>
    <w:p>
      <w:pPr>
        <w:spacing w:after="20"/>
        <w:keepLines/>
      </w:pPr>
    </w:p>
    <w:p>
      <w:pPr>
        <w:spacing w:after="80" w:before="0" w:line="269" w:lineRule="auto"/>
        <w:keepLines/>
      </w:pPr>
      <w:r>
        <w:rPr>
          <w:rFonts w:ascii="Carlito" w:hAnsi="Carlito"/>
          <w:b w:val="0"/>
          <w:i/>
          <w:color w:val="5B6573"/>
          <w:sz w:val="17"/>
        </w:rPr>
        <w:t>R = Responsible, A = Accountable, C = Consulted, I = Informed. The final RACI may be adjusted in the SOW.</w:t>
      </w:r>
    </w:p>
    <w:p>
      <w:pPr>
        <w:keepLines/>
      </w:pPr>
      <w:r>
        <w:br w:type="page"/>
      </w:r>
    </w:p>
    <w:p>
      <w:pPr>
        <w:pStyle w:val="Heading1"/>
        <w:spacing w:before="200" w:after="120"/>
        <w:keepNext/>
        <w:keepLines/>
      </w:pPr>
      <w:r>
        <w:rPr>
          <w:rFonts w:ascii="Carlito" w:hAnsi="Carlito"/>
          <w:b/>
          <w:color w:val="17324D"/>
          <w:sz w:val="32"/>
        </w:rPr>
        <w:t>Appendix B. Definitions</w:t>
      </w:r>
    </w:p>
    <w:p>
      <w:pPr>
        <w:spacing w:after="48" w:line="254" w:lineRule="auto"/>
        <w:keepLines/>
      </w:pPr>
      <w:r>
        <w:rPr>
          <w:rFonts w:ascii="Carlito" w:hAnsi="Carlito"/>
          <w:b/>
          <w:i w:val="0"/>
          <w:color w:val="17324D"/>
          <w:sz w:val="18"/>
        </w:rPr>
        <w:t xml:space="preserve">Business Hour: </w:t>
      </w:r>
      <w:r>
        <w:rPr>
          <w:rFonts w:ascii="Carlito" w:hAnsi="Carlito"/>
          <w:color w:val="20262E"/>
          <w:sz w:val="18"/>
        </w:rPr>
      </w:r>
      <w:r>
        <w:t>An hour within the package-specific contracted support window and business calendar.</w:t>
      </w:r>
    </w:p>
    <w:p>
      <w:pPr/>
      <w:r>
        <w:rPr>
          <w:rFonts w:ascii="Carlito" w:hAnsi="Carlito"/>
          <w:b/>
          <w:i w:val="0"/>
          <w:sz w:val="18"/>
        </w:rPr>
        <w:t xml:space="preserve">Customer Local Support Shift (CLSS): One continuous 8-hour support window per business day, five business days per week, aligned to the customer local timezone. Applicable to the 50 and 100 Hour Packs; exact shift times, working days and holiday calendar are stated in the SOW.</w:t>
      </w:r>
      <w:r>
        <w:t/>
      </w:r>
    </w:p>
    <w:p>
      <w:pPr>
        <w:spacing w:after="48" w:line="254" w:lineRule="auto"/>
        <w:keepLines/>
      </w:pPr>
      <w:r>
        <w:rPr>
          <w:rFonts w:ascii="Carlito" w:hAnsi="Carlito"/>
          <w:b/>
          <w:color w:val="17324D"/>
          <w:sz w:val="18"/>
        </w:rPr>
        <w:t xml:space="preserve">Initial Response: </w:t>
      </w:r>
      <w:r>
        <w:rPr>
          <w:rFonts w:ascii="Carlito" w:hAnsi="Carlito"/>
          <w:color w:val="20262E"/>
          <w:sz w:val="18"/>
        </w:rPr>
        <w:t>Qualified human acknowledgement and commencement of triage; not merely automated ticket receipt.</w:t>
      </w:r>
    </w:p>
    <w:p>
      <w:pPr>
        <w:spacing w:after="48" w:line="254" w:lineRule="auto"/>
        <w:keepLines/>
      </w:pPr>
      <w:r>
        <w:rPr>
          <w:rFonts w:ascii="Carlito" w:hAnsi="Carlito"/>
          <w:b/>
          <w:color w:val="17324D"/>
          <w:sz w:val="18"/>
        </w:rPr>
        <w:t xml:space="preserve">Restoration: </w:t>
      </w:r>
      <w:r>
        <w:rPr>
          <w:rFonts w:ascii="Carlito" w:hAnsi="Carlito"/>
          <w:color w:val="20262E"/>
          <w:sz w:val="18"/>
        </w:rPr>
        <w:t>Return of usable service, potentially through a workaround.</w:t>
      </w:r>
    </w:p>
    <w:p>
      <w:pPr>
        <w:spacing w:after="48" w:line="254" w:lineRule="auto"/>
        <w:keepLines/>
      </w:pPr>
      <w:r>
        <w:rPr>
          <w:rFonts w:ascii="Carlito" w:hAnsi="Carlito"/>
          <w:b/>
          <w:color w:val="17324D"/>
          <w:sz w:val="18"/>
        </w:rPr>
        <w:t xml:space="preserve">Resolution: </w:t>
      </w:r>
      <w:r>
        <w:rPr>
          <w:rFonts w:ascii="Carlito" w:hAnsi="Carlito"/>
          <w:color w:val="20262E"/>
          <w:sz w:val="18"/>
        </w:rPr>
        <w:t>Permanent remediation or formally accepted closure of the underlying incident.</w:t>
      </w:r>
    </w:p>
    <w:p>
      <w:pPr>
        <w:spacing w:after="48" w:line="254" w:lineRule="auto"/>
        <w:keepLines/>
      </w:pPr>
      <w:r>
        <w:rPr>
          <w:rFonts w:ascii="Carlito" w:hAnsi="Carlito"/>
          <w:b/>
          <w:color w:val="17324D"/>
          <w:sz w:val="18"/>
        </w:rPr>
        <w:t xml:space="preserve">P1 / P2 / P3 / P4: </w:t>
      </w:r>
      <w:r>
        <w:rPr>
          <w:rFonts w:ascii="Carlito" w:hAnsi="Carlito"/>
          <w:color w:val="20262E"/>
          <w:sz w:val="18"/>
        </w:rPr>
        <w:t>Incident priority levels based on impact and urgency.</w:t>
      </w:r>
    </w:p>
    <w:p>
      <w:pPr>
        <w:spacing w:after="48" w:line="254" w:lineRule="auto"/>
        <w:keepLines/>
      </w:pPr>
      <w:r>
        <w:rPr>
          <w:rFonts w:ascii="Carlito" w:hAnsi="Carlito"/>
          <w:b/>
          <w:i w:val="0"/>
          <w:color w:val="17324D"/>
          <w:sz w:val="18"/>
        </w:rPr>
        <w:t xml:space="preserve">Support Hour: Measured engineer/service effort charged against the selected prepaid bank. For P1 incidents under the 50 and 100 Hour Packs, active actual engineer-hours are multiplied by 2.0x for support-hour consumption.</w:t>
      </w:r>
      <w:r>
        <w:rPr>
          <w:rFonts w:ascii="Carlito" w:hAnsi="Carlito"/>
          <w:color w:val="20262E"/>
          <w:sz w:val="18"/>
        </w:rPr>
      </w:r>
      <w:r>
        <w:t/>
      </w:r>
    </w:p>
    <w:p>
      <w:pPr/>
      <w:r>
        <w:rPr>
          <w:rFonts w:ascii="Carlito" w:hAnsi="Carlito"/>
          <w:b/>
          <w:i w:val="0"/>
          <w:sz w:val="18"/>
        </w:rPr>
        <w:t xml:space="preserve">P1 Consumption Multiplier: For the 50 and 100 Hour Packs, a 2.0x factor applied to active actual engineer-hours while an incident is handled as P1. It is an hour-bank consumption rule and does not represent a promise of two engineers or a two-hour elapsed-time commitment.</w:t>
      </w:r>
      <w:r>
        <w:t/>
      </w:r>
    </w:p>
    <w:p>
      <w:pPr>
        <w:spacing w:after="48" w:line="254" w:lineRule="auto"/>
        <w:keepLines/>
      </w:pPr>
      <w:r>
        <w:rPr>
          <w:rFonts w:ascii="Carlito" w:hAnsi="Carlito"/>
          <w:b/>
          <w:color w:val="17324D"/>
          <w:sz w:val="18"/>
        </w:rPr>
        <w:t xml:space="preserve">L3 / SME: </w:t>
      </w:r>
      <w:r>
        <w:rPr>
          <w:rFonts w:ascii="Carlito" w:hAnsi="Carlito"/>
          <w:color w:val="20262E"/>
          <w:sz w:val="18"/>
        </w:rPr>
        <w:t>Senior technical or specialist resource engaged for complex issues.</w:t>
      </w:r>
    </w:p>
    <w:p>
      <w:pPr>
        <w:spacing w:after="48" w:line="254" w:lineRule="auto"/>
        <w:keepLines/>
      </w:pPr>
      <w:r>
        <w:rPr>
          <w:rFonts w:ascii="Carlito" w:hAnsi="Carlito"/>
          <w:b/>
          <w:color w:val="17324D"/>
          <w:sz w:val="18"/>
        </w:rPr>
        <w:t xml:space="preserve">Major Incident: </w:t>
      </w:r>
      <w:r>
        <w:rPr>
          <w:rFonts w:ascii="Carlito" w:hAnsi="Carlito"/>
          <w:color w:val="20262E"/>
          <w:sz w:val="18"/>
        </w:rPr>
        <w:t>A high-impact incident managed through coordinated cross-team incident command/communications.</w:t>
      </w:r>
    </w:p>
    <w:p>
      <w:pPr>
        <w:spacing w:after="48" w:line="254" w:lineRule="auto"/>
        <w:keepLines/>
      </w:pPr>
      <w:r>
        <w:rPr>
          <w:rFonts w:ascii="Carlito" w:hAnsi="Carlito"/>
          <w:b/>
          <w:color w:val="17324D"/>
          <w:sz w:val="18"/>
        </w:rPr>
        <w:t xml:space="preserve">Security Incident: </w:t>
      </w:r>
      <w:r>
        <w:rPr>
          <w:rFonts w:ascii="Carlito" w:hAnsi="Carlito"/>
          <w:color w:val="20262E"/>
          <w:sz w:val="18"/>
        </w:rPr>
        <w:t>An event that jeopardizes or is suspected to jeopardize confidentiality, integrity or availability and requires investigation/response.</w:t>
      </w:r>
    </w:p>
    <w:p>
      <w:pPr>
        <w:spacing w:after="48" w:line="254" w:lineRule="auto"/>
        <w:keepLines/>
      </w:pPr>
      <w:r>
        <w:rPr>
          <w:rFonts w:ascii="Carlito" w:hAnsi="Carlito"/>
          <w:b/>
          <w:color w:val="17324D"/>
          <w:sz w:val="18"/>
        </w:rPr>
        <w:t xml:space="preserve">RPO: </w:t>
      </w:r>
      <w:r>
        <w:rPr>
          <w:rFonts w:ascii="Carlito" w:hAnsi="Carlito"/>
          <w:color w:val="20262E"/>
          <w:sz w:val="18"/>
        </w:rPr>
        <w:t>Recovery Point Objective - target maximum period of data loss measured in time.</w:t>
      </w:r>
    </w:p>
    <w:p>
      <w:pPr>
        <w:spacing w:after="48" w:line="254" w:lineRule="auto"/>
        <w:keepLines/>
      </w:pPr>
      <w:r>
        <w:rPr>
          <w:rFonts w:ascii="Carlito" w:hAnsi="Carlito"/>
          <w:b/>
          <w:color w:val="17324D"/>
          <w:sz w:val="18"/>
        </w:rPr>
        <w:t xml:space="preserve">RTO: </w:t>
      </w:r>
      <w:r>
        <w:rPr>
          <w:rFonts w:ascii="Carlito" w:hAnsi="Carlito"/>
          <w:color w:val="20262E"/>
          <w:sz w:val="18"/>
        </w:rPr>
        <w:t>Recovery Time Objective - target time to restore a service following disruption.</w:t>
      </w:r>
    </w:p>
    <w:p>
      <w:pPr>
        <w:spacing w:after="48" w:line="254" w:lineRule="auto"/>
        <w:keepLines/>
      </w:pPr>
      <w:r>
        <w:rPr>
          <w:rFonts w:ascii="Carlito" w:hAnsi="Carlito"/>
          <w:b/>
          <w:color w:val="17324D"/>
          <w:sz w:val="18"/>
        </w:rPr>
        <w:t xml:space="preserve">SLA: </w:t>
      </w:r>
      <w:r>
        <w:rPr>
          <w:rFonts w:ascii="Carlito" w:hAnsi="Carlito"/>
          <w:color w:val="20262E"/>
          <w:sz w:val="18"/>
        </w:rPr>
        <w:t>Service Level Agreement / service-level schedule defining measurable service commitments.</w:t>
      </w:r>
    </w:p>
    <w:p>
      <w:pPr>
        <w:spacing w:after="48" w:line="254" w:lineRule="auto"/>
        <w:keepLines/>
      </w:pPr>
      <w:r>
        <w:rPr>
          <w:rFonts w:ascii="Carlito" w:hAnsi="Carlito"/>
          <w:b/>
          <w:color w:val="17324D"/>
          <w:sz w:val="18"/>
        </w:rPr>
        <w:t xml:space="preserve">SOW: </w:t>
      </w:r>
      <w:r>
        <w:rPr>
          <w:rFonts w:ascii="Carlito" w:hAnsi="Carlito"/>
          <w:color w:val="20262E"/>
          <w:sz w:val="18"/>
        </w:rPr>
        <w:t>Statement of Work defining scope, deliverables, assumptions, volumes, commercials and service-specific terms.</w:t>
      </w:r>
    </w:p>
    <w:p>
      <w:pPr>
        <w:spacing w:after="48" w:line="254" w:lineRule="auto"/>
        <w:keepLines/>
      </w:pPr>
      <w:r>
        <w:rPr>
          <w:rFonts w:ascii="Carlito" w:hAnsi="Carlito"/>
          <w:b/>
          <w:color w:val="17324D"/>
          <w:sz w:val="18"/>
        </w:rPr>
        <w:t xml:space="preserve">MSA: </w:t>
      </w:r>
      <w:r>
        <w:rPr>
          <w:rFonts w:ascii="Carlito" w:hAnsi="Carlito"/>
          <w:color w:val="20262E"/>
          <w:sz w:val="18"/>
        </w:rPr>
        <w:t>Master Services Agreement governing the overarching commercial/legal relationship.</w:t>
      </w:r>
    </w:p>
    <w:p>
      <w:pPr>
        <w:spacing w:after="48" w:line="254" w:lineRule="auto"/>
        <w:keepLines/>
      </w:pPr>
      <w:r>
        <w:rPr>
          <w:rFonts w:ascii="Carlito" w:hAnsi="Carlito"/>
          <w:b/>
          <w:color w:val="17324D"/>
          <w:sz w:val="18"/>
        </w:rPr>
        <w:t xml:space="preserve">OEM: </w:t>
      </w:r>
      <w:r>
        <w:rPr>
          <w:rFonts w:ascii="Carlito" w:hAnsi="Carlito"/>
          <w:color w:val="20262E"/>
          <w:sz w:val="18"/>
        </w:rPr>
        <w:t>Original Equipment Manufacturer or product vendor responsible for the underlying product/service.</w:t>
      </w:r>
    </w:p>
    <w:p>
      <w:r>
        <w:br w:type="page"/>
      </w:r>
    </w:p>
    <w:p>
      <w:pPr>
        <w:pStyle w:val="Heading1"/>
      </w:pPr>
      <w:r>
        <w:t>Appendix C. Support Commercial Models and Optional Services</w:t>
      </w:r>
    </w:p>
    <w:p>
      <w:r>
        <w:t>NeoZaar offers two hour-based commercial models in addition to separately sized Enterprise support. The selected model, support window, exact technology scope, contract term, rollover exception if any, and customer-specific operating assumptions must be confirmed in the executed SOW.</w:t>
      </w:r>
    </w:p>
    <w:p>
      <w:pPr>
        <w:pStyle w:val="Heading2"/>
      </w:pPr>
      <w:r>
        <w:t>Monthly Retainer Packages</w:t>
      </w:r>
    </w:p>
    <w:p>
      <w:r>
        <w:t>Monthly retainer hours replenish at the start of each monthly service period. Unused monthly hours expire at month end unless the executed commercial schedule expressly permits rollover.</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c>
          <w:tcPr>
            <w:tcW w:type="dxa" w:w="2466"/>
            <w:vAlign w:val="center"/>
          </w:tcPr>
          <w:p>
            <w:r>
              <w:t>Package</w:t>
            </w:r>
          </w:p>
        </w:tc>
        <w:tc>
          <w:tcPr>
            <w:tcW w:type="dxa" w:w="2466"/>
            <w:vAlign w:val="center"/>
          </w:tcPr>
          <w:p>
            <w:r>
              <w:t>Monthly Entitlement</w:t>
            </w:r>
          </w:p>
        </w:tc>
        <w:tc>
          <w:tcPr>
            <w:tcW w:type="dxa" w:w="2466"/>
            <w:vAlign w:val="center"/>
          </w:tcPr>
          <w:p>
            <w:r>
              <w:t>Service Model</w:t>
            </w:r>
          </w:p>
        </w:tc>
        <w:tc>
          <w:tcPr>
            <w:tcW w:type="dxa" w:w="2466"/>
            <w:vAlign w:val="center"/>
          </w:tcPr>
          <w:p>
            <w:r>
              <w:t>Monthly Price</w:t>
            </w:r>
          </w:p>
        </w:tc>
      </w:tr>
      <w:tr>
        <w:tc>
          <w:tcPr>
            <w:tcW w:type="dxa" w:w="2466"/>
          </w:tcPr>
          <w:p>
            <w:r>
              <w:t>40 Hour Monthly Retainer</w:t>
            </w:r>
          </w:p>
        </w:tc>
        <w:tc>
          <w:tcPr>
            <w:tcW w:type="dxa" w:w="2466"/>
          </w:tcPr>
          <w:p>
            <w:r>
              <w:t>40 pooled hours plus up to 2 L3 or SME hours</w:t>
            </w:r>
          </w:p>
        </w:tc>
        <w:tc>
          <w:tcPr>
            <w:tcW w:type="dxa" w:w="2466"/>
          </w:tcPr>
          <w:p>
            <w:r>
              <w:t>Customer-local 8x5 shift; P1 effort at 2.0x</w:t>
            </w:r>
          </w:p>
        </w:tc>
        <w:tc>
          <w:tcPr>
            <w:tcW w:type="dxa" w:w="2466"/>
          </w:tcPr>
          <w:p>
            <w:r>
              <w:t>INR 186,336 per month</w:t>
            </w:r>
          </w:p>
        </w:tc>
      </w:tr>
      <w:tr>
        <w:tc>
          <w:tcPr>
            <w:tcW w:type="dxa" w:w="2466"/>
          </w:tcPr>
          <w:p>
            <w:r>
              <w:t>60 Hour Monthly Retainer</w:t>
            </w:r>
          </w:p>
        </w:tc>
        <w:tc>
          <w:tcPr>
            <w:tcW w:type="dxa" w:w="2466"/>
          </w:tcPr>
          <w:p>
            <w:r>
              <w:t>60 pooled hours plus up to 5 L3 or SME hours</w:t>
            </w:r>
          </w:p>
        </w:tc>
        <w:tc>
          <w:tcPr>
            <w:tcW w:type="dxa" w:w="2466"/>
          </w:tcPr>
          <w:p>
            <w:r>
              <w:t>Customer-local 8x5 shift; P1 effort at 2.0x</w:t>
            </w:r>
          </w:p>
        </w:tc>
        <w:tc>
          <w:tcPr>
            <w:tcW w:type="dxa" w:w="2466"/>
          </w:tcPr>
          <w:p>
            <w:r>
              <w:t>INR 260,820 per month</w:t>
            </w:r>
          </w:p>
        </w:tc>
      </w:tr>
      <w:tr>
        <w:tc>
          <w:tcPr>
            <w:tcW w:type="dxa" w:w="2466"/>
          </w:tcPr>
          <w:p>
            <w:r>
              <w:t>100 Hour Monthly Retainer</w:t>
            </w:r>
          </w:p>
        </w:tc>
        <w:tc>
          <w:tcPr>
            <w:tcW w:type="dxa" w:w="2466"/>
          </w:tcPr>
          <w:p>
            <w:r>
              <w:t>100 pooled hours plus up to 10 L3 or SME hours</w:t>
            </w:r>
          </w:p>
        </w:tc>
        <w:tc>
          <w:tcPr>
            <w:tcW w:type="dxa" w:w="2466"/>
          </w:tcPr>
          <w:p>
            <w:r>
              <w:t>SOW-defined support window; P1 effort at 1.0x</w:t>
            </w:r>
          </w:p>
        </w:tc>
        <w:tc>
          <w:tcPr>
            <w:tcW w:type="dxa" w:w="2466"/>
          </w:tcPr>
          <w:p>
            <w:r>
              <w:t>INR 393,300 per month</w:t>
            </w:r>
          </w:p>
        </w:tc>
      </w:tr>
    </w:tbl>
    <w:p>
      <w:pPr>
        <w:pStyle w:val="Heading2"/>
      </w:pPr>
      <w:r>
        <w:t>Prepaid Term Valid Hour Banks</w:t>
      </w:r>
    </w:p>
    <w:p>
      <w:r>
        <w:t>The 50, 100 and 200-hour prepaid banks remain available with 3, 6 and 12-month validity respectively. They do not replenish monthly. Unused hours expire at the end of the validity period unless a paid validity extension or another written commercial exception is agreed before expiry. Pricing appears in Section 22.</w:t>
      </w:r>
    </w:p>
    <w:p>
      <w:pPr>
        <w:pStyle w:val="Heading2"/>
      </w:pPr>
      <w:r>
        <w:t>SLA Mapping Across Commercial Models</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c>
          <w:tcPr>
            <w:tcW w:type="dxa" w:w="1973"/>
            <w:vAlign w:val="center"/>
          </w:tcPr>
          <w:p>
            <w:r>
              <w:t>Package</w:t>
            </w:r>
          </w:p>
        </w:tc>
        <w:tc>
          <w:tcPr>
            <w:tcW w:type="dxa" w:w="1973"/>
            <w:vAlign w:val="center"/>
          </w:tcPr>
          <w:p>
            <w:r>
              <w:t>P1</w:t>
            </w:r>
          </w:p>
        </w:tc>
        <w:tc>
          <w:tcPr>
            <w:tcW w:type="dxa" w:w="1973"/>
            <w:vAlign w:val="center"/>
          </w:tcPr>
          <w:p>
            <w:r>
              <w:t>P2</w:t>
            </w:r>
          </w:p>
        </w:tc>
        <w:tc>
          <w:tcPr>
            <w:tcW w:type="dxa" w:w="1973"/>
            <w:vAlign w:val="center"/>
          </w:tcPr>
          <w:p>
            <w:r>
              <w:t>P3</w:t>
            </w:r>
          </w:p>
        </w:tc>
        <w:tc>
          <w:tcPr>
            <w:tcW w:type="dxa" w:w="1973"/>
            <w:vAlign w:val="center"/>
          </w:tcPr>
          <w:p>
            <w:r>
              <w:t>P4</w:t>
            </w:r>
          </w:p>
        </w:tc>
      </w:tr>
      <w:tr>
        <w:tc>
          <w:tcPr>
            <w:tcW w:type="dxa" w:w="1973"/>
          </w:tcPr>
          <w:p>
            <w:r>
              <w:t>40 Hour Monthly Retainer or 50 Hour Bank</w:t>
            </w:r>
          </w:p>
        </w:tc>
        <w:tc>
          <w:tcPr>
            <w:tcW w:type="dxa" w:w="1973"/>
          </w:tcPr>
          <w:p>
            <w:r>
              <w:t>60 min</w:t>
            </w:r>
          </w:p>
        </w:tc>
        <w:tc>
          <w:tcPr>
            <w:tcW w:type="dxa" w:w="1973"/>
          </w:tcPr>
          <w:p>
            <w:r>
              <w:t>4 business hrs</w:t>
            </w:r>
          </w:p>
        </w:tc>
        <w:tc>
          <w:tcPr>
            <w:tcW w:type="dxa" w:w="1973"/>
          </w:tcPr>
          <w:p>
            <w:r>
              <w:t>8 business hrs</w:t>
            </w:r>
          </w:p>
        </w:tc>
        <w:tc>
          <w:tcPr>
            <w:tcW w:type="dxa" w:w="1973"/>
          </w:tcPr>
          <w:p>
            <w:r>
              <w:t>2 business days</w:t>
            </w:r>
          </w:p>
        </w:tc>
      </w:tr>
      <w:tr>
        <w:tc>
          <w:tcPr>
            <w:tcW w:type="dxa" w:w="1973"/>
          </w:tcPr>
          <w:p>
            <w:r>
              <w:t>60 Hour Monthly Retainer or 100 Hour Bank</w:t>
            </w:r>
          </w:p>
        </w:tc>
        <w:tc>
          <w:tcPr>
            <w:tcW w:type="dxa" w:w="1973"/>
          </w:tcPr>
          <w:p>
            <w:r>
              <w:t>60 min</w:t>
            </w:r>
          </w:p>
        </w:tc>
        <w:tc>
          <w:tcPr>
            <w:tcW w:type="dxa" w:w="1973"/>
          </w:tcPr>
          <w:p>
            <w:r>
              <w:t>2 business hrs</w:t>
            </w:r>
          </w:p>
        </w:tc>
        <w:tc>
          <w:tcPr>
            <w:tcW w:type="dxa" w:w="1973"/>
          </w:tcPr>
          <w:p>
            <w:r>
              <w:t>4 business hrs</w:t>
            </w:r>
          </w:p>
        </w:tc>
        <w:tc>
          <w:tcPr>
            <w:tcW w:type="dxa" w:w="1973"/>
          </w:tcPr>
          <w:p>
            <w:r>
              <w:t>1 business day</w:t>
            </w:r>
          </w:p>
        </w:tc>
      </w:tr>
      <w:tr>
        <w:tc>
          <w:tcPr>
            <w:tcW w:type="dxa" w:w="1973"/>
          </w:tcPr>
          <w:p>
            <w:r>
              <w:t>100 Hour Monthly Retainer or 200 Hour Bank</w:t>
            </w:r>
          </w:p>
        </w:tc>
        <w:tc>
          <w:tcPr>
            <w:tcW w:type="dxa" w:w="1973"/>
          </w:tcPr>
          <w:p>
            <w:r>
              <w:t>30 min</w:t>
            </w:r>
          </w:p>
        </w:tc>
        <w:tc>
          <w:tcPr>
            <w:tcW w:type="dxa" w:w="1973"/>
          </w:tcPr>
          <w:p>
            <w:r>
              <w:t>1 business hr</w:t>
            </w:r>
          </w:p>
        </w:tc>
        <w:tc>
          <w:tcPr>
            <w:tcW w:type="dxa" w:w="1973"/>
          </w:tcPr>
          <w:p>
            <w:r>
              <w:t>4 business hrs</w:t>
            </w:r>
          </w:p>
        </w:tc>
        <w:tc>
          <w:tcPr>
            <w:tcW w:type="dxa" w:w="1973"/>
          </w:tcPr>
          <w:p>
            <w:r>
              <w:t>1 business day</w:t>
            </w:r>
          </w:p>
        </w:tc>
      </w:tr>
      <w:tr>
        <w:tc>
          <w:tcPr>
            <w:tcW w:type="dxa" w:w="1973"/>
          </w:tcPr>
          <w:p>
            <w:r>
              <w:t>Enterprise 24x7x365</w:t>
            </w:r>
          </w:p>
        </w:tc>
        <w:tc>
          <w:tcPr>
            <w:tcW w:type="dxa" w:w="1973"/>
          </w:tcPr>
          <w:p>
            <w:r>
              <w:t>15 min</w:t>
            </w:r>
          </w:p>
        </w:tc>
        <w:tc>
          <w:tcPr>
            <w:tcW w:type="dxa" w:w="1973"/>
          </w:tcPr>
          <w:p>
            <w:r>
              <w:t>30 min</w:t>
            </w:r>
          </w:p>
        </w:tc>
        <w:tc>
          <w:tcPr>
            <w:tcW w:type="dxa" w:w="1973"/>
          </w:tcPr>
          <w:p>
            <w:r>
              <w:t>2 hrs</w:t>
            </w:r>
          </w:p>
        </w:tc>
        <w:tc>
          <w:tcPr>
            <w:tcW w:type="dxa" w:w="1973"/>
          </w:tcPr>
          <w:p>
            <w:r>
              <w:t>4 hrs</w:t>
            </w:r>
          </w:p>
        </w:tc>
      </w:tr>
    </w:tbl>
    <w:p>
      <w:r>
        <w:t>Response targets remain subject to the applicable service window and the final SLA schedule in the executed SOW.</w:t>
      </w:r>
    </w:p>
    <w:p>
      <w:r>
        <w:br w:type="page"/>
      </w:r>
    </w:p>
    <w:p>
      <w:pPr>
        <w:pStyle w:val="Heading2"/>
      </w:pPr>
      <w:r>
        <w:t>Optional Additional Services</w:t>
      </w:r>
    </w:p>
    <w:p>
      <w:r>
        <w:t>Selected optional services: Calculator Add-ons. All add-ons are separately scoped and priced by quotation.</w:t>
      </w:r>
    </w:p>
    <w:tbl>
      <w:tblPr>
        <w:tblStyle w:val="TableGrid"/>
        <w:tblW w:type="auto" w:w="0"/>
        <w:jc w:val="center"/>
        <w:tblLayout w:type="autofit"/>
        <w:tblLook w:firstColumn="1" w:firstRow="1" w:lastColumn="0" w:lastRow="0" w:noHBand="0" w:noVBand="1" w:val="04A0"/>
      </w:tblPr>
      <w:tblGrid>
        <w:gridCol w:w="4933"/>
        <w:gridCol w:w="4933"/>
      </w:tblGrid>
      <w:tr>
        <w:tc>
          <w:tcPr>
            <w:tcW w:type="dxa" w:w="4933"/>
            <w:vAlign w:val="center"/>
          </w:tcPr>
          <w:p>
            <w:r>
              <w:t>Assessment and Advisory</w:t>
            </w:r>
          </w:p>
        </w:tc>
        <w:tc>
          <w:tcPr>
            <w:tcW w:type="dxa" w:w="4933"/>
            <w:vAlign w:val="center"/>
          </w:tcPr>
          <w:p>
            <w:r>
              <w:t>Security, Transformation and Delivery</w:t>
            </w:r>
          </w:p>
        </w:tc>
      </w:tr>
      <w:tr>
        <w:tc>
          <w:tcPr>
            <w:tcW w:type="dxa" w:w="4933"/>
          </w:tcPr>
          <w:p>
            <w:r>
              <w:t>Cybersecurity maturity assessment</w:t>
            </w:r>
          </w:p>
        </w:tc>
        <w:tc>
          <w:tcPr>
            <w:tcW w:type="dxa" w:w="4933"/>
          </w:tcPr>
          <w:p>
            <w:r>
              <w:t>Incident response retainer</w:t>
            </w:r>
          </w:p>
        </w:tc>
      </w:tr>
      <w:tr>
        <w:tc>
          <w:tcPr>
            <w:tcW w:type="dxa" w:w="4933"/>
          </w:tcPr>
          <w:p>
            <w:r>
              <w:t>Infrastructure assessment</w:t>
            </w:r>
          </w:p>
        </w:tc>
        <w:tc>
          <w:tcPr>
            <w:tcW w:type="dxa" w:w="4933"/>
          </w:tcPr>
          <w:p>
            <w:r>
              <w:t>Vulnerability management</w:t>
            </w:r>
          </w:p>
        </w:tc>
      </w:tr>
      <w:tr>
        <w:tc>
          <w:tcPr>
            <w:tcW w:type="dxa" w:w="4933"/>
          </w:tcPr>
          <w:p>
            <w:r>
              <w:t>Cloud security assessment</w:t>
            </w:r>
          </w:p>
        </w:tc>
        <w:tc>
          <w:tcPr>
            <w:tcW w:type="dxa" w:w="4933"/>
          </w:tcPr>
          <w:p>
            <w:r>
              <w:t>Penetration testing</w:t>
            </w:r>
          </w:p>
        </w:tc>
      </w:tr>
      <w:tr>
        <w:tc>
          <w:tcPr>
            <w:tcW w:type="dxa" w:w="4933"/>
          </w:tcPr>
          <w:p>
            <w:r>
              <w:t>Active Directory security assessment</w:t>
            </w:r>
          </w:p>
        </w:tc>
        <w:tc>
          <w:tcPr>
            <w:tcW w:type="dxa" w:w="4933"/>
          </w:tcPr>
          <w:p>
            <w:r>
              <w:t>Red-team exercise</w:t>
            </w:r>
          </w:p>
        </w:tc>
      </w:tr>
      <w:tr>
        <w:tc>
          <w:tcPr>
            <w:tcW w:type="dxa" w:w="4933"/>
          </w:tcPr>
          <w:p>
            <w:r>
              <w:t>Firewall rule review</w:t>
            </w:r>
          </w:p>
        </w:tc>
        <w:tc>
          <w:tcPr>
            <w:tcW w:type="dxa" w:w="4933"/>
          </w:tcPr>
          <w:p>
            <w:r>
              <w:t>Cloud migration</w:t>
            </w:r>
          </w:p>
        </w:tc>
      </w:tr>
      <w:tr>
        <w:tc>
          <w:tcPr>
            <w:tcW w:type="dxa" w:w="4933"/>
          </w:tcPr>
          <w:p>
            <w:r>
              <w:t>Microsoft 365 security assessment</w:t>
            </w:r>
          </w:p>
        </w:tc>
        <w:tc>
          <w:tcPr>
            <w:tcW w:type="dxa" w:w="4933"/>
          </w:tcPr>
          <w:p>
            <w:r>
              <w:t>Infrastructure modernization</w:t>
            </w:r>
          </w:p>
        </w:tc>
      </w:tr>
      <w:tr>
        <w:tc>
          <w:tcPr>
            <w:tcW w:type="dxa" w:w="4933"/>
          </w:tcPr>
          <w:p>
            <w:r>
              <w:t>Backup and disaster-recovery assessment</w:t>
            </w:r>
          </w:p>
        </w:tc>
        <w:tc>
          <w:tcPr>
            <w:tcW w:type="dxa" w:w="4933"/>
          </w:tcPr>
          <w:p>
            <w:r>
              <w:t>SOC implementation</w:t>
            </w:r>
          </w:p>
        </w:tc>
      </w:tr>
      <w:tr>
        <w:tc>
          <w:tcPr>
            <w:tcW w:type="dxa" w:w="4933"/>
          </w:tcPr>
          <w:p>
            <w:r>
              <w:t>Architecture consulting</w:t>
            </w:r>
          </w:p>
        </w:tc>
        <w:tc>
          <w:tcPr>
            <w:tcW w:type="dxa" w:w="4933"/>
          </w:tcPr>
          <w:p>
            <w:r>
              <w:t>SIEM implementation and tuning</w:t>
            </w:r>
          </w:p>
        </w:tc>
      </w:tr>
      <w:tr>
        <w:tc>
          <w:tcPr>
            <w:tcW w:type="dxa" w:w="4933"/>
          </w:tcPr>
          <w:p>
            <w:r>
              <w:t>Zero Trust consulting</w:t>
            </w:r>
          </w:p>
        </w:tc>
        <w:tc>
          <w:tcPr>
            <w:tcW w:type="dxa" w:w="4933"/>
          </w:tcPr>
          <w:p>
            <w:r>
              <w:t>Dedicated engineering or onsite services</w:t>
            </w:r>
          </w:p>
        </w:tc>
      </w:tr>
      <w:tr>
        <w:tc>
          <w:tcPr>
            <w:tcW w:type="dxa" w:w="4933"/>
          </w:tcPr>
          <w:p>
            <w:r>
              <w:t>Security awareness program</w:t>
            </w:r>
          </w:p>
        </w:tc>
        <w:tc>
          <w:tcPr>
            <w:tcW w:type="dxa" w:w="4933"/>
          </w:tcPr>
          <w:p>
            <w:r>
              <w:t>NeoZaar CloudCraft deployment services</w:t>
            </w:r>
          </w:p>
        </w:tc>
      </w:tr>
    </w:tbl>
    <w:sectPr w:rsidR="00FC693F" w:rsidRPr="0006063C" w:rsidSect="00034616">
      <w:headerReference w:type="default" r:id="rId9"/>
      <w:footerReference w:type="default" r:id="rId10"/>
      <w:pgSz w:w="11906" w:h="16838"/>
      <w:pgMar w:top="1020" w:right="1020" w:bottom="907"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5B6573"/>
        <w:sz w:val="16"/>
      </w:rPr>
      <w:t xml:space="preserve">Page </w:t>
    </w:r>
    <w:fldSimple w:instr="PAGE"/>
    <w:r>
      <w:rPr>
        <w:rFonts w:ascii="Carlito" w:hAnsi="Carlito"/>
        <w:color w:val="5B6573"/>
        <w:sz w:val="16"/>
      </w:rPr>
      <w:t xml:space="preserv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b/>
        <w:color w:val="17324D"/>
        <w:sz w:val="16"/>
      </w:rPr>
      <w:t>MANAGED IT INFRASTRUCTURE &amp; CYBERSECURITY SUPPORT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2026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rPr>
  </w:style>
  <w:style w:type="paragraph" w:styleId="ListBullet2">
    <w:name w:val="List Bullet 2"/>
    <w:basedOn w:val="Normal"/>
    <w:uiPriority w:val="99"/>
    <w:unhideWhenUsed/>
    <w:rsid w:val="00326F90"/>
    <w:pPr>
      <w:numPr>
        <w:numId w:val="2"/>
      </w:numPr>
      <w:contextualSpacing/>
    </w:pPr>
    <w:rPr>
      <w:rFonts w:ascii="Carlito" w:hAnsi="Carlito"/>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rPr>
  </w:style>
  <w:style w:type="paragraph" w:styleId="ListNumber2">
    <w:name w:val="List Number 2"/>
    <w:basedOn w:val="Normal"/>
    <w:uiPriority w:val="99"/>
    <w:unhideWhenUsed/>
    <w:rsid w:val="0029639D"/>
    <w:pPr>
      <w:numPr>
        <w:numId w:val="6"/>
      </w:numPr>
      <w:contextualSpacing/>
    </w:pPr>
    <w:rPr>
      <w:rFonts w:ascii="Carlito" w:hAnsi="Carlito"/>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NeoZaar Services - Managed IT Infrastructure &amp; Cybersecurity Support Services</dc:title>
  <dc:subject>Customer Proposal</dc:subject>
  <dc:creator>NeoZaar Services</dc:creator>
  <cp:keywords>Managed IT, Cybersecurity, SLA, SOC, NOC, EDR, XDR, Service Management</cp:keywords>
  <dc:description>NeoZaar-branded managed services proposal. Legal, SLA, entitlement, responsibility, dependency, exclusion and definition language retained from customer-ready v1.1 baseline; CloudCraft positioned separately.</dc:description>
  <cp:lastModifiedBy/>
  <cp:revision>1</cp:revision>
  <dcterms:created xsi:type="dcterms:W3CDTF">2013-12-23T23:15:00Z</dcterms:created>
  <dcterms:modified xsi:type="dcterms:W3CDTF">2013-12-23T23:15:00Z</dcterms:modified>
  <cp:category/>
  <cp:version>1.1</cp:version>
</cp:coreProperties>
</file>