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53CE2" w14:textId="77777777" w:rsidR="009B7B0C" w:rsidRDefault="00000000">
      <w:pPr>
        <w:spacing w:after="60"/>
      </w:pPr>
      <w:r>
        <w:rPr>
          <w:rFonts w:ascii="Georgia" w:eastAsia="Georgia" w:hAnsi="Georgia" w:cs="Georgia"/>
          <w:b/>
          <w:bCs/>
          <w:color w:val="000000"/>
          <w:sz w:val="40"/>
          <w:szCs w:val="40"/>
        </w:rPr>
        <w:t>Cyber Risk Report</w:t>
      </w:r>
    </w:p>
    <w:p w14:paraId="695D4EAA" w14:textId="77777777" w:rsidR="009B7B0C" w:rsidRDefault="00000000">
      <w:pPr>
        <w:spacing w:after="200"/>
      </w:pPr>
      <w:r>
        <w:rPr>
          <w:rFonts w:ascii="Georgia" w:eastAsia="Georgia" w:hAnsi="Georgia" w:cs="Georgia"/>
          <w:color w:val="000000"/>
          <w:sz w:val="26"/>
          <w:szCs w:val="26"/>
        </w:rPr>
        <w:t>TalkTalk Data Breach 2015</w:t>
      </w:r>
    </w:p>
    <w:p w14:paraId="3B9FC22D" w14:textId="77777777" w:rsidR="009B7B0C" w:rsidRDefault="009B7B0C">
      <w:pPr>
        <w:pBdr>
          <w:bottom w:val="single" w:sz="8" w:space="6" w:color="000000"/>
        </w:pBdr>
        <w:spacing w:after="200"/>
      </w:pPr>
    </w:p>
    <w:p w14:paraId="7AE8F9D5" w14:textId="77777777" w:rsidR="009B7B0C" w:rsidRDefault="00000000">
      <w:pPr>
        <w:spacing w:before="320" w:after="140"/>
      </w:pPr>
      <w:r>
        <w:rPr>
          <w:rFonts w:ascii="Georgia" w:eastAsia="Georgia" w:hAnsi="Georgia" w:cs="Georgia"/>
          <w:b/>
          <w:bCs/>
          <w:color w:val="000000"/>
          <w:sz w:val="26"/>
          <w:szCs w:val="26"/>
        </w:rPr>
        <w:t>What Happened</w:t>
      </w:r>
    </w:p>
    <w:p w14:paraId="56C55724" w14:textId="77777777" w:rsidR="009B7B0C" w:rsidRDefault="00000000">
      <w:pPr>
        <w:spacing w:after="160"/>
      </w:pPr>
      <w:r>
        <w:rPr>
          <w:rFonts w:ascii="Georgia" w:eastAsia="Georgia" w:hAnsi="Georgia" w:cs="Georgia"/>
          <w:color w:val="000000"/>
          <w:sz w:val="22"/>
          <w:szCs w:val="22"/>
        </w:rPr>
        <w:t>In October 2015, TalkTalk suffered a major cyberattack. Attackers broke into an old, forgotten part of the company's website and used it to reach a customer database, stealing personal and financial details belonging to more than 156,000 customers. The company was fined £400,000 by the regulator, received a ransom demand from the attackers, and lost a significant number of customers as a result.</w:t>
      </w:r>
    </w:p>
    <w:p w14:paraId="6BACD62B" w14:textId="77777777" w:rsidR="009B7B0C" w:rsidRDefault="00000000">
      <w:pPr>
        <w:spacing w:before="320" w:after="140"/>
      </w:pPr>
      <w:r>
        <w:rPr>
          <w:rFonts w:ascii="Georgia" w:eastAsia="Georgia" w:hAnsi="Georgia" w:cs="Georgia"/>
          <w:b/>
          <w:bCs/>
          <w:color w:val="000000"/>
          <w:sz w:val="26"/>
          <w:szCs w:val="26"/>
        </w:rPr>
        <w:t>Risk</w:t>
      </w:r>
    </w:p>
    <w:tbl>
      <w:tblPr>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3"/>
        <w:gridCol w:w="5101"/>
        <w:gridCol w:w="1734"/>
      </w:tblGrid>
      <w:tr w:rsidR="009B7B0C" w14:paraId="0395B41C" w14:textId="77777777" w:rsidTr="0021250A">
        <w:tblPrEx>
          <w:tblCellMar>
            <w:top w:w="0" w:type="dxa"/>
            <w:bottom w:w="0" w:type="dxa"/>
          </w:tblCellMar>
        </w:tblPrEx>
        <w:trPr>
          <w:trHeight w:val="186"/>
          <w:tblHeader/>
        </w:trPr>
        <w:tc>
          <w:tcPr>
            <w:tcW w:w="3473" w:type="dxa"/>
            <w:shd w:val="clear" w:color="auto" w:fill="203864"/>
          </w:tcPr>
          <w:p w14:paraId="60A12482" w14:textId="77777777" w:rsidR="009B7B0C" w:rsidRDefault="00000000">
            <w:pPr>
              <w:spacing w:before="40" w:after="40"/>
            </w:pPr>
            <w:r>
              <w:rPr>
                <w:rFonts w:ascii="Georgia" w:eastAsia="Georgia" w:hAnsi="Georgia" w:cs="Georgia"/>
                <w:b/>
                <w:bCs/>
                <w:color w:val="FFFFFF"/>
              </w:rPr>
              <w:t>Risk</w:t>
            </w:r>
          </w:p>
        </w:tc>
        <w:tc>
          <w:tcPr>
            <w:tcW w:w="5101" w:type="dxa"/>
            <w:shd w:val="clear" w:color="auto" w:fill="203864"/>
          </w:tcPr>
          <w:p w14:paraId="210276DB" w14:textId="77777777" w:rsidR="009B7B0C" w:rsidRDefault="00000000">
            <w:pPr>
              <w:spacing w:before="40" w:after="40"/>
            </w:pPr>
            <w:r>
              <w:rPr>
                <w:rFonts w:ascii="Georgia" w:eastAsia="Georgia" w:hAnsi="Georgia" w:cs="Georgia"/>
                <w:b/>
                <w:bCs/>
                <w:color w:val="FFFFFF"/>
              </w:rPr>
              <w:t xml:space="preserve">What It Means </w:t>
            </w:r>
            <w:proofErr w:type="gramStart"/>
            <w:r>
              <w:rPr>
                <w:rFonts w:ascii="Georgia" w:eastAsia="Georgia" w:hAnsi="Georgia" w:cs="Georgia"/>
                <w:b/>
                <w:bCs/>
                <w:color w:val="FFFFFF"/>
              </w:rPr>
              <w:t>For</w:t>
            </w:r>
            <w:proofErr w:type="gramEnd"/>
            <w:r>
              <w:rPr>
                <w:rFonts w:ascii="Georgia" w:eastAsia="Georgia" w:hAnsi="Georgia" w:cs="Georgia"/>
                <w:b/>
                <w:bCs/>
                <w:color w:val="FFFFFF"/>
              </w:rPr>
              <w:t xml:space="preserve"> Us</w:t>
            </w:r>
          </w:p>
        </w:tc>
        <w:tc>
          <w:tcPr>
            <w:tcW w:w="1734" w:type="dxa"/>
            <w:shd w:val="clear" w:color="auto" w:fill="203864"/>
          </w:tcPr>
          <w:p w14:paraId="76966B0C" w14:textId="77777777" w:rsidR="009B7B0C" w:rsidRDefault="00000000">
            <w:pPr>
              <w:spacing w:before="40" w:after="40"/>
            </w:pPr>
            <w:r>
              <w:rPr>
                <w:rFonts w:ascii="Georgia" w:eastAsia="Georgia" w:hAnsi="Georgia" w:cs="Georgia"/>
                <w:b/>
                <w:bCs/>
                <w:color w:val="FFFFFF"/>
              </w:rPr>
              <w:t>Rating</w:t>
            </w:r>
          </w:p>
        </w:tc>
      </w:tr>
      <w:tr w:rsidR="009B7B0C" w14:paraId="76788787" w14:textId="77777777" w:rsidTr="0021250A">
        <w:tblPrEx>
          <w:tblCellMar>
            <w:top w:w="0" w:type="dxa"/>
            <w:bottom w:w="0" w:type="dxa"/>
          </w:tblCellMar>
        </w:tblPrEx>
        <w:trPr>
          <w:trHeight w:val="322"/>
        </w:trPr>
        <w:tc>
          <w:tcPr>
            <w:tcW w:w="3473" w:type="dxa"/>
          </w:tcPr>
          <w:p w14:paraId="212B3651" w14:textId="77777777" w:rsidR="009B7B0C" w:rsidRDefault="00000000">
            <w:pPr>
              <w:spacing w:before="40" w:after="40"/>
            </w:pPr>
            <w:r>
              <w:rPr>
                <w:rFonts w:ascii="Georgia" w:eastAsia="Georgia" w:hAnsi="Georgia" w:cs="Georgia"/>
                <w:color w:val="000000"/>
              </w:rPr>
              <w:t>Outdated, unprotected website pages</w:t>
            </w:r>
          </w:p>
        </w:tc>
        <w:tc>
          <w:tcPr>
            <w:tcW w:w="5101" w:type="dxa"/>
          </w:tcPr>
          <w:p w14:paraId="11CF9859" w14:textId="77777777" w:rsidR="009B7B0C" w:rsidRDefault="00000000">
            <w:pPr>
              <w:spacing w:before="40" w:after="40"/>
            </w:pPr>
            <w:r>
              <w:rPr>
                <w:rFonts w:ascii="Georgia" w:eastAsia="Georgia" w:hAnsi="Georgia" w:cs="Georgia"/>
                <w:color w:val="000000"/>
              </w:rPr>
              <w:t>Hackers could break in through parts of our website we've forgotten about.</w:t>
            </w:r>
          </w:p>
        </w:tc>
        <w:tc>
          <w:tcPr>
            <w:tcW w:w="1734" w:type="dxa"/>
            <w:shd w:val="clear" w:color="auto" w:fill="8C1F1F"/>
          </w:tcPr>
          <w:p w14:paraId="6414366B" w14:textId="77777777" w:rsidR="009B7B0C" w:rsidRDefault="00000000">
            <w:pPr>
              <w:spacing w:before="40" w:after="40"/>
            </w:pPr>
            <w:r>
              <w:rPr>
                <w:rFonts w:ascii="Georgia" w:eastAsia="Georgia" w:hAnsi="Georgia" w:cs="Georgia"/>
                <w:b/>
                <w:bCs/>
                <w:color w:val="FFFFFF"/>
              </w:rPr>
              <w:t>Extreme</w:t>
            </w:r>
          </w:p>
        </w:tc>
      </w:tr>
      <w:tr w:rsidR="009B7B0C" w14:paraId="1FB195C1" w14:textId="77777777" w:rsidTr="0021250A">
        <w:tblPrEx>
          <w:tblCellMar>
            <w:top w:w="0" w:type="dxa"/>
            <w:bottom w:w="0" w:type="dxa"/>
          </w:tblCellMar>
        </w:tblPrEx>
        <w:trPr>
          <w:trHeight w:val="331"/>
        </w:trPr>
        <w:tc>
          <w:tcPr>
            <w:tcW w:w="3473" w:type="dxa"/>
          </w:tcPr>
          <w:p w14:paraId="08F42C06" w14:textId="77777777" w:rsidR="009B7B0C" w:rsidRDefault="00000000">
            <w:pPr>
              <w:spacing w:before="40" w:after="40"/>
            </w:pPr>
            <w:r>
              <w:rPr>
                <w:rFonts w:ascii="Georgia" w:eastAsia="Georgia" w:hAnsi="Georgia" w:cs="Georgia"/>
                <w:color w:val="000000"/>
              </w:rPr>
              <w:t>Missed warning signs</w:t>
            </w:r>
          </w:p>
        </w:tc>
        <w:tc>
          <w:tcPr>
            <w:tcW w:w="5101" w:type="dxa"/>
          </w:tcPr>
          <w:p w14:paraId="1A499DE6" w14:textId="77777777" w:rsidR="009B7B0C" w:rsidRDefault="00000000">
            <w:pPr>
              <w:spacing w:before="40" w:after="40"/>
            </w:pPr>
            <w:r>
              <w:rPr>
                <w:rFonts w:ascii="Georgia" w:eastAsia="Georgia" w:hAnsi="Georgia" w:cs="Georgia"/>
                <w:color w:val="000000"/>
              </w:rPr>
              <w:t>We might not notice someone trying to break in until it's too late.</w:t>
            </w:r>
          </w:p>
        </w:tc>
        <w:tc>
          <w:tcPr>
            <w:tcW w:w="1734" w:type="dxa"/>
            <w:shd w:val="clear" w:color="auto" w:fill="C0672A"/>
          </w:tcPr>
          <w:p w14:paraId="153B517B" w14:textId="77777777" w:rsidR="009B7B0C" w:rsidRDefault="00000000">
            <w:pPr>
              <w:spacing w:before="40" w:after="40"/>
            </w:pPr>
            <w:r>
              <w:rPr>
                <w:rFonts w:ascii="Georgia" w:eastAsia="Georgia" w:hAnsi="Georgia" w:cs="Georgia"/>
                <w:b/>
                <w:bCs/>
                <w:color w:val="FFFFFF"/>
              </w:rPr>
              <w:t>High</w:t>
            </w:r>
          </w:p>
        </w:tc>
      </w:tr>
      <w:tr w:rsidR="009B7B0C" w14:paraId="09D09684" w14:textId="77777777" w:rsidTr="0021250A">
        <w:tblPrEx>
          <w:tblCellMar>
            <w:top w:w="0" w:type="dxa"/>
            <w:bottom w:w="0" w:type="dxa"/>
          </w:tblCellMar>
        </w:tblPrEx>
        <w:trPr>
          <w:trHeight w:val="331"/>
        </w:trPr>
        <w:tc>
          <w:tcPr>
            <w:tcW w:w="3473" w:type="dxa"/>
          </w:tcPr>
          <w:p w14:paraId="7ACADE2F" w14:textId="77777777" w:rsidR="009B7B0C" w:rsidRDefault="00000000">
            <w:pPr>
              <w:spacing w:before="40" w:after="40"/>
            </w:pPr>
            <w:r>
              <w:rPr>
                <w:rFonts w:ascii="Georgia" w:eastAsia="Georgia" w:hAnsi="Georgia" w:cs="Georgia"/>
                <w:color w:val="000000"/>
              </w:rPr>
              <w:t>Old systems from past acquisitions</w:t>
            </w:r>
          </w:p>
        </w:tc>
        <w:tc>
          <w:tcPr>
            <w:tcW w:w="5101" w:type="dxa"/>
          </w:tcPr>
          <w:p w14:paraId="53BA9F71" w14:textId="77777777" w:rsidR="009B7B0C" w:rsidRDefault="00000000">
            <w:pPr>
              <w:spacing w:before="40" w:after="40"/>
            </w:pPr>
            <w:r>
              <w:rPr>
                <w:rFonts w:ascii="Georgia" w:eastAsia="Georgia" w:hAnsi="Georgia" w:cs="Georgia"/>
                <w:color w:val="000000"/>
              </w:rPr>
              <w:t>Buying another company could bring hidden security risks we don't know about.</w:t>
            </w:r>
          </w:p>
        </w:tc>
        <w:tc>
          <w:tcPr>
            <w:tcW w:w="1734" w:type="dxa"/>
            <w:shd w:val="clear" w:color="auto" w:fill="C0672A"/>
          </w:tcPr>
          <w:p w14:paraId="3983A152" w14:textId="77777777" w:rsidR="009B7B0C" w:rsidRDefault="00000000">
            <w:pPr>
              <w:spacing w:before="40" w:after="40"/>
            </w:pPr>
            <w:r>
              <w:rPr>
                <w:rFonts w:ascii="Georgia" w:eastAsia="Georgia" w:hAnsi="Georgia" w:cs="Georgia"/>
                <w:b/>
                <w:bCs/>
                <w:color w:val="FFFFFF"/>
              </w:rPr>
              <w:t>High</w:t>
            </w:r>
          </w:p>
        </w:tc>
      </w:tr>
      <w:tr w:rsidR="009B7B0C" w14:paraId="1216A654" w14:textId="77777777" w:rsidTr="0021250A">
        <w:tblPrEx>
          <w:tblCellMar>
            <w:top w:w="0" w:type="dxa"/>
            <w:bottom w:w="0" w:type="dxa"/>
          </w:tblCellMar>
        </w:tblPrEx>
        <w:trPr>
          <w:trHeight w:val="469"/>
        </w:trPr>
        <w:tc>
          <w:tcPr>
            <w:tcW w:w="3473" w:type="dxa"/>
          </w:tcPr>
          <w:p w14:paraId="222B039F" w14:textId="77777777" w:rsidR="009B7B0C" w:rsidRDefault="00000000">
            <w:pPr>
              <w:spacing w:before="40" w:after="40"/>
            </w:pPr>
            <w:r>
              <w:rPr>
                <w:rFonts w:ascii="Georgia" w:eastAsia="Georgia" w:hAnsi="Georgia" w:cs="Georgia"/>
                <w:color w:val="000000"/>
              </w:rPr>
              <w:t>Customers not properly told</w:t>
            </w:r>
          </w:p>
        </w:tc>
        <w:tc>
          <w:tcPr>
            <w:tcW w:w="5101" w:type="dxa"/>
          </w:tcPr>
          <w:p w14:paraId="6736B10B" w14:textId="6D10A723" w:rsidR="009B7B0C" w:rsidRDefault="00000000">
            <w:pPr>
              <w:spacing w:before="40" w:after="40"/>
            </w:pPr>
            <w:r>
              <w:rPr>
                <w:rFonts w:ascii="Georgia" w:eastAsia="Georgia" w:hAnsi="Georgia" w:cs="Georgia"/>
                <w:color w:val="000000"/>
              </w:rPr>
              <w:t>If a breach happens, we may fail to inform everyone affected, risking further harm and reputational damage.</w:t>
            </w:r>
          </w:p>
        </w:tc>
        <w:tc>
          <w:tcPr>
            <w:tcW w:w="1734" w:type="dxa"/>
            <w:shd w:val="clear" w:color="auto" w:fill="C0672A"/>
          </w:tcPr>
          <w:p w14:paraId="3832DB5F" w14:textId="77777777" w:rsidR="009B7B0C" w:rsidRDefault="00000000">
            <w:pPr>
              <w:spacing w:before="40" w:after="40"/>
            </w:pPr>
            <w:r>
              <w:rPr>
                <w:rFonts w:ascii="Georgia" w:eastAsia="Georgia" w:hAnsi="Georgia" w:cs="Georgia"/>
                <w:b/>
                <w:bCs/>
                <w:color w:val="FFFFFF"/>
              </w:rPr>
              <w:t>High</w:t>
            </w:r>
          </w:p>
        </w:tc>
      </w:tr>
      <w:tr w:rsidR="009B7B0C" w14:paraId="1FC3730C" w14:textId="77777777" w:rsidTr="0021250A">
        <w:tblPrEx>
          <w:tblCellMar>
            <w:top w:w="0" w:type="dxa"/>
            <w:bottom w:w="0" w:type="dxa"/>
          </w:tblCellMar>
        </w:tblPrEx>
        <w:trPr>
          <w:trHeight w:val="322"/>
        </w:trPr>
        <w:tc>
          <w:tcPr>
            <w:tcW w:w="3473" w:type="dxa"/>
          </w:tcPr>
          <w:p w14:paraId="09F79DB1" w14:textId="77777777" w:rsidR="009B7B0C" w:rsidRDefault="00000000">
            <w:pPr>
              <w:spacing w:before="40" w:after="40"/>
            </w:pPr>
            <w:r>
              <w:rPr>
                <w:rFonts w:ascii="Georgia" w:eastAsia="Georgia" w:hAnsi="Georgia" w:cs="Georgia"/>
                <w:color w:val="000000"/>
              </w:rPr>
              <w:t>Threats after a breach</w:t>
            </w:r>
          </w:p>
        </w:tc>
        <w:tc>
          <w:tcPr>
            <w:tcW w:w="5101" w:type="dxa"/>
          </w:tcPr>
          <w:p w14:paraId="7B69331D" w14:textId="77777777" w:rsidR="009B7B0C" w:rsidRDefault="00000000">
            <w:pPr>
              <w:spacing w:before="40" w:after="40"/>
            </w:pPr>
            <w:r>
              <w:rPr>
                <w:rFonts w:ascii="Georgia" w:eastAsia="Georgia" w:hAnsi="Georgia" w:cs="Georgia"/>
                <w:color w:val="000000"/>
              </w:rPr>
              <w:t>Attackers may try to extort money from us using data they've stolen.</w:t>
            </w:r>
          </w:p>
        </w:tc>
        <w:tc>
          <w:tcPr>
            <w:tcW w:w="1734" w:type="dxa"/>
            <w:shd w:val="clear" w:color="auto" w:fill="C0672A"/>
          </w:tcPr>
          <w:p w14:paraId="0DDAD8FF" w14:textId="77777777" w:rsidR="009B7B0C" w:rsidRDefault="00000000">
            <w:pPr>
              <w:spacing w:before="40" w:after="40"/>
            </w:pPr>
            <w:r>
              <w:rPr>
                <w:rFonts w:ascii="Georgia" w:eastAsia="Georgia" w:hAnsi="Georgia" w:cs="Georgia"/>
                <w:b/>
                <w:bCs/>
                <w:color w:val="FFFFFF"/>
              </w:rPr>
              <w:t>High</w:t>
            </w:r>
          </w:p>
        </w:tc>
      </w:tr>
      <w:tr w:rsidR="009B7B0C" w14:paraId="0F6F34C5" w14:textId="77777777" w:rsidTr="0021250A">
        <w:tblPrEx>
          <w:tblCellMar>
            <w:top w:w="0" w:type="dxa"/>
            <w:bottom w:w="0" w:type="dxa"/>
          </w:tblCellMar>
        </w:tblPrEx>
        <w:trPr>
          <w:trHeight w:val="322"/>
        </w:trPr>
        <w:tc>
          <w:tcPr>
            <w:tcW w:w="3473" w:type="dxa"/>
          </w:tcPr>
          <w:p w14:paraId="282166FB" w14:textId="77777777" w:rsidR="009B7B0C" w:rsidRDefault="00000000">
            <w:pPr>
              <w:spacing w:before="40" w:after="40"/>
            </w:pPr>
            <w:r>
              <w:rPr>
                <w:rFonts w:ascii="Georgia" w:eastAsia="Georgia" w:hAnsi="Georgia" w:cs="Georgia"/>
                <w:color w:val="000000"/>
              </w:rPr>
              <w:t>Weakly protected payment data</w:t>
            </w:r>
          </w:p>
        </w:tc>
        <w:tc>
          <w:tcPr>
            <w:tcW w:w="5101" w:type="dxa"/>
          </w:tcPr>
          <w:p w14:paraId="247879EF" w14:textId="77777777" w:rsidR="009B7B0C" w:rsidRDefault="00000000">
            <w:pPr>
              <w:spacing w:before="40" w:after="40"/>
            </w:pPr>
            <w:r>
              <w:rPr>
                <w:rFonts w:ascii="Georgia" w:eastAsia="Georgia" w:hAnsi="Georgia" w:cs="Georgia"/>
                <w:color w:val="000000"/>
              </w:rPr>
              <w:t>Card details could still be exposed if not properly encrypted, not just hidden.</w:t>
            </w:r>
          </w:p>
        </w:tc>
        <w:tc>
          <w:tcPr>
            <w:tcW w:w="1734" w:type="dxa"/>
            <w:shd w:val="clear" w:color="auto" w:fill="C0672A"/>
          </w:tcPr>
          <w:p w14:paraId="3CEA9BFE" w14:textId="77777777" w:rsidR="009B7B0C" w:rsidRDefault="00000000">
            <w:pPr>
              <w:spacing w:before="40" w:after="40"/>
            </w:pPr>
            <w:r>
              <w:rPr>
                <w:rFonts w:ascii="Georgia" w:eastAsia="Georgia" w:hAnsi="Georgia" w:cs="Georgia"/>
                <w:b/>
                <w:bCs/>
                <w:color w:val="FFFFFF"/>
              </w:rPr>
              <w:t>High</w:t>
            </w:r>
          </w:p>
        </w:tc>
      </w:tr>
    </w:tbl>
    <w:p w14:paraId="384826B5" w14:textId="77777777" w:rsidR="009B7B0C" w:rsidRDefault="00000000">
      <w:pPr>
        <w:spacing w:before="320" w:after="140"/>
      </w:pPr>
      <w:r>
        <w:rPr>
          <w:rFonts w:ascii="Georgia" w:eastAsia="Georgia" w:hAnsi="Georgia" w:cs="Georgia"/>
          <w:b/>
          <w:bCs/>
          <w:color w:val="000000"/>
          <w:sz w:val="26"/>
          <w:szCs w:val="26"/>
        </w:rPr>
        <w:t>Overall Risk Level: High</w:t>
      </w:r>
    </w:p>
    <w:p w14:paraId="4301CFFC" w14:textId="77777777" w:rsidR="009B7B0C" w:rsidRDefault="00000000">
      <w:pPr>
        <w:spacing w:after="160"/>
      </w:pPr>
      <w:r>
        <w:rPr>
          <w:rFonts w:ascii="Georgia" w:eastAsia="Georgia" w:hAnsi="Georgia" w:cs="Georgia"/>
          <w:color w:val="000000"/>
          <w:sz w:val="22"/>
          <w:szCs w:val="22"/>
        </w:rPr>
        <w:t>The risk to the business is currently high, not because of one weak point, but because gaps existed across several areas at once: outdated technology, insufficient monitoring, unclear ownership of systems gained through acquisitions, and weaknesses in how we would communicate with customers after an incident. Any one of these could be managed on its own, but together they significantly increase the chance of a serious, costly incident.</w:t>
      </w:r>
    </w:p>
    <w:p w14:paraId="3794D568" w14:textId="77777777" w:rsidR="009B7B0C" w:rsidRDefault="00000000">
      <w:pPr>
        <w:spacing w:before="320" w:after="140"/>
      </w:pPr>
      <w:r>
        <w:rPr>
          <w:rFonts w:ascii="Georgia" w:eastAsia="Georgia" w:hAnsi="Georgia" w:cs="Georgia"/>
          <w:b/>
          <w:bCs/>
          <w:color w:val="000000"/>
          <w:sz w:val="26"/>
          <w:szCs w:val="26"/>
        </w:rPr>
        <w:t>Recommended Actions</w:t>
      </w:r>
    </w:p>
    <w:p w14:paraId="63CBCEF8" w14:textId="77777777" w:rsidR="009B7B0C" w:rsidRDefault="00000000">
      <w:pPr>
        <w:pStyle w:val="ListParagraph"/>
        <w:numPr>
          <w:ilvl w:val="0"/>
          <w:numId w:val="1"/>
        </w:numPr>
        <w:spacing w:after="120"/>
      </w:pPr>
      <w:r>
        <w:rPr>
          <w:rFonts w:ascii="Georgia" w:eastAsia="Georgia" w:hAnsi="Georgia" w:cs="Georgia"/>
          <w:sz w:val="22"/>
          <w:szCs w:val="22"/>
        </w:rPr>
        <w:t>Fix and regularly update our website software. This is the most urgent item, as it was the direct cause of the breach.</w:t>
      </w:r>
    </w:p>
    <w:p w14:paraId="1CCFF848" w14:textId="7B55D5D2" w:rsidR="009B7B0C" w:rsidRDefault="00000000">
      <w:pPr>
        <w:pStyle w:val="ListParagraph"/>
        <w:numPr>
          <w:ilvl w:val="0"/>
          <w:numId w:val="1"/>
        </w:numPr>
        <w:spacing w:after="120"/>
      </w:pPr>
      <w:r>
        <w:rPr>
          <w:rFonts w:ascii="Georgia" w:eastAsia="Georgia" w:hAnsi="Georgia" w:cs="Georgia"/>
          <w:sz w:val="22"/>
          <w:szCs w:val="22"/>
        </w:rPr>
        <w:t>Set up round</w:t>
      </w:r>
      <w:r w:rsidR="0021250A">
        <w:rPr>
          <w:rFonts w:ascii="Georgia" w:eastAsia="Georgia" w:hAnsi="Georgia" w:cs="Georgia"/>
          <w:sz w:val="22"/>
          <w:szCs w:val="22"/>
        </w:rPr>
        <w:t xml:space="preserve"> </w:t>
      </w:r>
      <w:r>
        <w:rPr>
          <w:rFonts w:ascii="Georgia" w:eastAsia="Georgia" w:hAnsi="Georgia" w:cs="Georgia"/>
          <w:sz w:val="22"/>
          <w:szCs w:val="22"/>
        </w:rPr>
        <w:t>the</w:t>
      </w:r>
      <w:r w:rsidR="0021250A">
        <w:rPr>
          <w:rFonts w:ascii="Georgia" w:eastAsia="Georgia" w:hAnsi="Georgia" w:cs="Georgia"/>
          <w:sz w:val="22"/>
          <w:szCs w:val="22"/>
        </w:rPr>
        <w:t xml:space="preserve"> </w:t>
      </w:r>
      <w:r>
        <w:rPr>
          <w:rFonts w:ascii="Georgia" w:eastAsia="Georgia" w:hAnsi="Georgia" w:cs="Georgia"/>
          <w:sz w:val="22"/>
          <w:szCs w:val="22"/>
        </w:rPr>
        <w:t>clock monitoring so we notice suspicious activity immediately, not months later.</w:t>
      </w:r>
    </w:p>
    <w:p w14:paraId="7174A31E" w14:textId="77777777" w:rsidR="009B7B0C" w:rsidRDefault="00000000">
      <w:pPr>
        <w:pStyle w:val="ListParagraph"/>
        <w:numPr>
          <w:ilvl w:val="0"/>
          <w:numId w:val="1"/>
        </w:numPr>
        <w:spacing w:after="120"/>
      </w:pPr>
      <w:r>
        <w:rPr>
          <w:rFonts w:ascii="Georgia" w:eastAsia="Georgia" w:hAnsi="Georgia" w:cs="Georgia"/>
          <w:sz w:val="22"/>
          <w:szCs w:val="22"/>
        </w:rPr>
        <w:t>Review all systems inherited from past acquisitions and shut down anything no longer needed.</w:t>
      </w:r>
    </w:p>
    <w:p w14:paraId="22A2A23F" w14:textId="77777777" w:rsidR="009B7B0C" w:rsidRDefault="00000000">
      <w:pPr>
        <w:pStyle w:val="ListParagraph"/>
        <w:numPr>
          <w:ilvl w:val="0"/>
          <w:numId w:val="1"/>
        </w:numPr>
        <w:spacing w:after="120"/>
      </w:pPr>
      <w:r>
        <w:rPr>
          <w:rFonts w:ascii="Georgia" w:eastAsia="Georgia" w:hAnsi="Georgia" w:cs="Georgia"/>
          <w:sz w:val="22"/>
          <w:szCs w:val="22"/>
        </w:rPr>
        <w:t>Build a reliable, checked process for telling every affected customer if a breach happens, with no exceptions.</w:t>
      </w:r>
    </w:p>
    <w:p w14:paraId="54371763" w14:textId="77777777" w:rsidR="009B7B0C" w:rsidRDefault="00000000">
      <w:pPr>
        <w:pStyle w:val="ListParagraph"/>
        <w:numPr>
          <w:ilvl w:val="0"/>
          <w:numId w:val="1"/>
        </w:numPr>
        <w:spacing w:after="120"/>
      </w:pPr>
      <w:r>
        <w:rPr>
          <w:rFonts w:ascii="Georgia" w:eastAsia="Georgia" w:hAnsi="Georgia" w:cs="Georgia"/>
          <w:sz w:val="22"/>
          <w:szCs w:val="22"/>
        </w:rPr>
        <w:t>Properly encrypt sensitive customer and payment data, rather than just partially hiding it.</w:t>
      </w:r>
    </w:p>
    <w:p w14:paraId="60891C43" w14:textId="77777777" w:rsidR="009B7B0C" w:rsidRDefault="00000000">
      <w:pPr>
        <w:spacing w:before="320" w:after="140"/>
      </w:pPr>
      <w:r>
        <w:rPr>
          <w:rFonts w:ascii="Georgia" w:eastAsia="Georgia" w:hAnsi="Georgia" w:cs="Georgia"/>
          <w:b/>
          <w:bCs/>
          <w:color w:val="000000"/>
          <w:sz w:val="26"/>
          <w:szCs w:val="26"/>
        </w:rPr>
        <w:t>Summary</w:t>
      </w:r>
    </w:p>
    <w:p w14:paraId="070E1461" w14:textId="276F0714" w:rsidR="009B7B0C" w:rsidRDefault="00000000">
      <w:pPr>
        <w:spacing w:after="160"/>
      </w:pPr>
      <w:r>
        <w:rPr>
          <w:rFonts w:ascii="Georgia" w:eastAsia="Georgia" w:hAnsi="Georgia" w:cs="Georgia"/>
          <w:color w:val="000000"/>
          <w:sz w:val="22"/>
          <w:szCs w:val="22"/>
        </w:rPr>
        <w:lastRenderedPageBreak/>
        <w:t xml:space="preserve">None of these fixes are complex or unusual. They are standard security practice. The real lesson is that security cannot be treated as a </w:t>
      </w:r>
      <w:proofErr w:type="spellStart"/>
      <w:proofErr w:type="gramStart"/>
      <w:r>
        <w:rPr>
          <w:rFonts w:ascii="Georgia" w:eastAsia="Georgia" w:hAnsi="Georgia" w:cs="Georgia"/>
          <w:color w:val="000000"/>
          <w:sz w:val="22"/>
          <w:szCs w:val="22"/>
        </w:rPr>
        <w:t>one</w:t>
      </w:r>
      <w:r w:rsidR="0021250A">
        <w:rPr>
          <w:rFonts w:ascii="Georgia" w:eastAsia="Georgia" w:hAnsi="Georgia" w:cs="Georgia"/>
          <w:color w:val="000000"/>
          <w:sz w:val="22"/>
          <w:szCs w:val="22"/>
        </w:rPr>
        <w:t xml:space="preserve"> </w:t>
      </w:r>
      <w:r>
        <w:rPr>
          <w:rFonts w:ascii="Georgia" w:eastAsia="Georgia" w:hAnsi="Georgia" w:cs="Georgia"/>
          <w:color w:val="000000"/>
          <w:sz w:val="22"/>
          <w:szCs w:val="22"/>
        </w:rPr>
        <w:t>time</w:t>
      </w:r>
      <w:proofErr w:type="spellEnd"/>
      <w:proofErr w:type="gramEnd"/>
      <w:r>
        <w:rPr>
          <w:rFonts w:ascii="Georgia" w:eastAsia="Georgia" w:hAnsi="Georgia" w:cs="Georgia"/>
          <w:color w:val="000000"/>
          <w:sz w:val="22"/>
          <w:szCs w:val="22"/>
        </w:rPr>
        <w:t xml:space="preserve"> project. It needs ongoing attention, clear ownership, and regular review, so that gaps like these are caught and closed before they can be exploited.</w:t>
      </w:r>
    </w:p>
    <w:sectPr w:rsidR="009B7B0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B00EAF"/>
    <w:multiLevelType w:val="hybridMultilevel"/>
    <w:tmpl w:val="2A4C17E0"/>
    <w:lvl w:ilvl="0" w:tplc="4E8A7BF4">
      <w:start w:val="1"/>
      <w:numFmt w:val="bullet"/>
      <w:lvlText w:val="●"/>
      <w:lvlJc w:val="left"/>
      <w:pPr>
        <w:ind w:left="720" w:hanging="360"/>
      </w:pPr>
    </w:lvl>
    <w:lvl w:ilvl="1" w:tplc="B0E00AB6">
      <w:start w:val="1"/>
      <w:numFmt w:val="bullet"/>
      <w:lvlText w:val="○"/>
      <w:lvlJc w:val="left"/>
      <w:pPr>
        <w:ind w:left="1440" w:hanging="360"/>
      </w:pPr>
    </w:lvl>
    <w:lvl w:ilvl="2" w:tplc="5286790E">
      <w:start w:val="1"/>
      <w:numFmt w:val="bullet"/>
      <w:lvlText w:val="■"/>
      <w:lvlJc w:val="left"/>
      <w:pPr>
        <w:ind w:left="2160" w:hanging="360"/>
      </w:pPr>
    </w:lvl>
    <w:lvl w:ilvl="3" w:tplc="6FCC5CF2">
      <w:start w:val="1"/>
      <w:numFmt w:val="bullet"/>
      <w:lvlText w:val="●"/>
      <w:lvlJc w:val="left"/>
      <w:pPr>
        <w:ind w:left="2880" w:hanging="360"/>
      </w:pPr>
    </w:lvl>
    <w:lvl w:ilvl="4" w:tplc="3C92F78E">
      <w:start w:val="1"/>
      <w:numFmt w:val="bullet"/>
      <w:lvlText w:val="○"/>
      <w:lvlJc w:val="left"/>
      <w:pPr>
        <w:ind w:left="3600" w:hanging="360"/>
      </w:pPr>
    </w:lvl>
    <w:lvl w:ilvl="5" w:tplc="8D30CB96">
      <w:start w:val="1"/>
      <w:numFmt w:val="bullet"/>
      <w:lvlText w:val="■"/>
      <w:lvlJc w:val="left"/>
      <w:pPr>
        <w:ind w:left="4320" w:hanging="360"/>
      </w:pPr>
    </w:lvl>
    <w:lvl w:ilvl="6" w:tplc="D1BCCF94">
      <w:start w:val="1"/>
      <w:numFmt w:val="bullet"/>
      <w:lvlText w:val="●"/>
      <w:lvlJc w:val="left"/>
      <w:pPr>
        <w:ind w:left="5040" w:hanging="360"/>
      </w:pPr>
    </w:lvl>
    <w:lvl w:ilvl="7" w:tplc="DC006756">
      <w:start w:val="1"/>
      <w:numFmt w:val="bullet"/>
      <w:lvlText w:val="●"/>
      <w:lvlJc w:val="left"/>
      <w:pPr>
        <w:ind w:left="5760" w:hanging="360"/>
      </w:pPr>
    </w:lvl>
    <w:lvl w:ilvl="8" w:tplc="B234E934">
      <w:start w:val="1"/>
      <w:numFmt w:val="bullet"/>
      <w:lvlText w:val="●"/>
      <w:lvlJc w:val="left"/>
      <w:pPr>
        <w:ind w:left="6480" w:hanging="360"/>
      </w:pPr>
    </w:lvl>
  </w:abstractNum>
  <w:num w:numId="1" w16cid:durableId="1846238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B0C"/>
    <w:rsid w:val="0021250A"/>
    <w:rsid w:val="00553ABD"/>
    <w:rsid w:val="009B7B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B307DB"/>
  <w15:docId w15:val="{8E3127BB-F152-5948-96F9-C2023EDC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Leah Osei</cp:lastModifiedBy>
  <cp:revision>2</cp:revision>
  <dcterms:created xsi:type="dcterms:W3CDTF">2026-08-06T18:01:00Z</dcterms:created>
  <dcterms:modified xsi:type="dcterms:W3CDTF">2026-08-06T18:01:00Z</dcterms:modified>
</cp:coreProperties>
</file>