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856"/>
        <w:gridCol w:w="1469"/>
      </w:tblGrid>
      <w:tr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itle"/>
              <w:spacing w:before="0" w:after="8" w:line="240" w:lineRule="auto"/>
            </w:pPr>
            <w:r>
              <w:rPr>
                <w:rFonts w:ascii="Aptos" w:hAnsi="Aptos" w:eastAsia="Microsoft YaHei"/>
                <w:b/>
                <w:color w:val="0F172A"/>
                <w:sz w:val="46"/>
              </w:rPr>
              <w:t>乔一帆</w:t>
            </w:r>
          </w:p>
          <w:p>
            <w:pPr>
              <w:spacing w:before="0" w:after="24" w:line="240" w:lineRule="auto"/>
            </w:pPr>
            <w:r>
              <w:rPr>
                <w:rFonts w:ascii="Aptos" w:hAnsi="Aptos" w:eastAsia="Microsoft YaHei"/>
                <w:b/>
                <w:color w:val="254F6C"/>
                <w:sz w:val="20"/>
              </w:rPr>
              <w:t>AI 应用开发  Python 后端开发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Microsoft YaHei"/>
                <w:b w:val="0"/>
                <w:color w:val="475569"/>
                <w:sz w:val="17"/>
              </w:rPr>
              <w:t>18035855929   |   Qyf21533@163.com</w:t>
            </w:r>
          </w:p>
        </w:tc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8096" cy="7680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768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spacing w:before="64" w:after="26" w:line="240" w:lineRule="auto"/>
      </w:pPr>
      <w:r>
        <w:rPr>
          <w:rFonts w:ascii="Aptos" w:hAnsi="Aptos" w:eastAsia="Microsoft YaHei"/>
          <w:b/>
          <w:color w:val="0F172A"/>
          <w:sz w:val="23"/>
        </w:rPr>
        <w:t>个人概述</w:t>
      </w:r>
    </w:p>
    <w:p>
      <w:pPr>
        <w:spacing w:before="0" w:after="12" w:line="240" w:lineRule="auto"/>
      </w:pPr>
      <w:r>
        <w:rPr>
          <w:rFonts w:ascii="Aptos" w:hAnsi="Aptos" w:eastAsia="Microsoft YaHei"/>
          <w:b w:val="0"/>
          <w:color w:val="0F172A"/>
          <w:sz w:val="17"/>
        </w:rPr>
        <w:t>具备 Python 后端与 LLM Agent 应用开发实践，能完成接口设计、模型与工具接入、异步任务和单节点容器化交付。关注执行边界、证据可信度与故障恢复，使用结构化契约和确定性校验约束模型不确定性，并能结合日志、测试与数据库状态排查问题。</w:t>
      </w:r>
    </w:p>
    <w:p>
      <w:pPr>
        <w:pStyle w:val="Heading1"/>
        <w:keepNext/>
        <w:spacing w:before="64" w:after="26" w:line="240" w:lineRule="auto"/>
      </w:pPr>
      <w:r>
        <w:rPr>
          <w:rFonts w:ascii="Aptos" w:hAnsi="Aptos" w:eastAsia="Microsoft YaHei"/>
          <w:b/>
          <w:color w:val="0F172A"/>
          <w:sz w:val="23"/>
        </w:rPr>
        <w:t>教育背景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045"/>
      </w:tblGrid>
      <w:tr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0F172A"/>
                <w:sz w:val="20"/>
              </w:rPr>
              <w:t>山西工学院  计算机科学与技术 本科</w:t>
            </w:r>
          </w:p>
        </w:tc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475569"/>
                <w:sz w:val="17"/>
              </w:rPr>
              <w:t>2024.09 - 2026.06</w:t>
            </w:r>
          </w:p>
        </w:tc>
      </w:tr>
    </w:tbl>
    <w:p>
      <w:pPr>
        <w:pStyle w:val="Heading1"/>
        <w:keepNext/>
        <w:spacing w:before="64" w:after="26" w:line="240" w:lineRule="auto"/>
      </w:pPr>
      <w:r>
        <w:rPr>
          <w:rFonts w:ascii="Aptos" w:hAnsi="Aptos" w:eastAsia="Microsoft YaHei"/>
          <w:b/>
          <w:color w:val="0F172A"/>
          <w:sz w:val="23"/>
        </w:rPr>
        <w:t>实习经历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045"/>
      </w:tblGrid>
      <w:tr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0F172A"/>
                <w:sz w:val="20"/>
              </w:rPr>
              <w:t>山西龙晟达科技有限公司</w:t>
            </w:r>
          </w:p>
        </w:tc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475569"/>
                <w:sz w:val="17"/>
              </w:rPr>
              <w:t>2025.12 - 2026.03</w:t>
            </w:r>
          </w:p>
        </w:tc>
      </w:tr>
    </w:tbl>
    <w:p>
      <w:pPr>
        <w:keepNext/>
        <w:spacing w:before="0" w:after="12" w:line="240" w:lineRule="auto"/>
      </w:pPr>
      <w:r>
        <w:rPr>
          <w:rFonts w:ascii="Aptos" w:hAnsi="Aptos" w:eastAsia="Microsoft YaHei"/>
          <w:b w:val="0"/>
          <w:color w:val="475569"/>
          <w:sz w:val="17"/>
        </w:rPr>
        <w:t>AI Agent 应用开发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Agent 接入规范  </w:t>
      </w:r>
      <w:r>
        <w:rPr>
          <w:rFonts w:ascii="Aptos" w:hAnsi="Aptos" w:eastAsia="Microsoft YaHei"/>
          <w:b w:val="0"/>
          <w:color w:val="0F172A"/>
          <w:sz w:val="17"/>
        </w:rPr>
        <w:t>参与统一输入输出协议、Tool 声明与错误语义，补充接口文档和测试要求，减少新增模块的联调偏差。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模型异常治理  </w:t>
      </w:r>
      <w:r>
        <w:rPr>
          <w:rFonts w:ascii="Aptos" w:hAnsi="Aptos" w:eastAsia="Microsoft YaHei"/>
          <w:b w:val="0"/>
          <w:color w:val="0F172A"/>
          <w:sz w:val="17"/>
        </w:rPr>
        <w:t>用 Pydantic 校验结构化输出并分类处理故障：结构错误受限修复，超时与限流延迟重试，鉴权等永久错误终止并记录原因。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交付与运维  </w:t>
      </w:r>
      <w:r>
        <w:rPr>
          <w:rFonts w:ascii="Aptos" w:hAnsi="Aptos" w:eastAsia="Microsoft YaHei"/>
          <w:b w:val="0"/>
          <w:color w:val="0F172A"/>
          <w:sz w:val="17"/>
        </w:rPr>
        <w:t>将手工配置整理为 Docker Compose 与环境变量配置，编写 PowerShell 脚本支持健康检查、数据库备份恢复和异常任务排查。</w:t>
      </w:r>
    </w:p>
    <w:p>
      <w:pPr>
        <w:pStyle w:val="Heading1"/>
        <w:keepNext/>
        <w:spacing w:before="64" w:after="26" w:line="240" w:lineRule="auto"/>
      </w:pPr>
      <w:r>
        <w:rPr>
          <w:rFonts w:ascii="Aptos" w:hAnsi="Aptos" w:eastAsia="Microsoft YaHei"/>
          <w:b/>
          <w:color w:val="0F172A"/>
          <w:sz w:val="23"/>
        </w:rPr>
        <w:t>项目经历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045"/>
      </w:tblGrid>
      <w:tr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0F172A"/>
                <w:sz w:val="20"/>
              </w:rPr>
              <w:t>企业经营洞察助手</w:t>
            </w:r>
            <w:r>
              <w:rPr>
                <w:rFonts w:ascii="Aptos" w:hAnsi="Aptos" w:eastAsia="Microsoft YaHei"/>
                <w:b w:val="0"/>
                <w:color w:val="254F6C"/>
                <w:sz w:val="16"/>
              </w:rPr>
              <w:t xml:space="preserve">  本地完成  未上线</w:t>
            </w:r>
          </w:p>
        </w:tc>
        <w:tc>
          <w:tcPr>
            <w:tcW w:type="dxa" w:w="52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475569"/>
                <w:sz w:val="17"/>
              </w:rPr>
              <w:t>2026.03 - 2026.06</w:t>
            </w:r>
          </w:p>
        </w:tc>
      </w:tr>
    </w:tbl>
    <w:p>
      <w:pPr>
        <w:keepNext/>
        <w:spacing w:before="0" w:after="12" w:line="240" w:lineRule="auto"/>
      </w:pPr>
      <w:r>
        <w:rPr>
          <w:rFonts w:ascii="Aptos" w:hAnsi="Aptos" w:eastAsia="Microsoft YaHei"/>
          <w:b w:val="0"/>
          <w:color w:val="475569"/>
          <w:sz w:val="17"/>
        </w:rPr>
        <w:t>个人项目  Python  FastAPI  LangGraph  Celery  PostgreSQL  pgvector</w:t>
      </w:r>
    </w:p>
    <w:p>
      <w:pPr>
        <w:spacing w:before="0" w:after="8" w:line="240" w:lineRule="auto"/>
      </w:pPr>
      <w:r>
        <w:rPr>
          <w:rFonts w:ascii="Aptos" w:hAnsi="Aptos" w:eastAsia="Microsoft YaHei"/>
          <w:b w:val="0"/>
          <w:color w:val="0F172A"/>
          <w:sz w:val="17"/>
        </w:rPr>
        <w:t>面向中小企业经营分析，以自然语言查询授权经营数据与内部文档，输出可复算事实、证据支持的原因假设、行动建议和限制说明。负责单节点生产风格架构与主要功能实现。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Agent 编排与并行工具调用  </w:t>
      </w:r>
      <w:r>
        <w:rPr>
          <w:rFonts w:ascii="Aptos" w:hAnsi="Aptos" w:eastAsia="Microsoft YaHei"/>
          <w:b w:val="0"/>
          <w:color w:val="0F172A"/>
          <w:sz w:val="17"/>
        </w:rPr>
        <w:t>用 LangGraph 编排 Planner、DataAgent、KnowledgeAgent、Reviewer 与确定性 Router。Planner 生成有界 DAG；依赖独立且权限、预算已冻结时，并行执行多次只读工具调用，证据汇合后再复核，并用步数、调用、Token、成本与 Deadline 控制终止。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上下文压缩与记忆  </w:t>
      </w:r>
      <w:r>
        <w:rPr>
          <w:rFonts w:ascii="Aptos" w:hAnsi="Aptos" w:eastAsia="Microsoft YaHei"/>
          <w:b w:val="0"/>
          <w:color w:val="0F172A"/>
          <w:sz w:val="17"/>
        </w:rPr>
        <w:t>将系统策略、任务范围、当前问题、会话快照、长期记忆和工具证据分层，按预算做相关性选择、摘要压缩与截断标记。Working Memory 随 Checkpoint 持久化；长期记忆仅写入已发布事实，并保存来源、公司范围、TTL、冲突和删除状态。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工具与证据边界  </w:t>
      </w:r>
      <w:r>
        <w:rPr>
          <w:rFonts w:ascii="Aptos" w:hAnsi="Aptos" w:eastAsia="Microsoft YaHei"/>
          <w:b w:val="0"/>
          <w:color w:val="0F172A"/>
          <w:sz w:val="17"/>
        </w:rPr>
        <w:t>以 Tool Registry 白名单和服务端注入范围限制模型权限；候选 SQL 经 sqlglot、Schema Snapshot、只读账号、超时及结果契约约束。RAG 使用 pgvector 与 CrossEncoder，报告经 Claim Evidence 关系校验数字、引用、权限和证据支持后发布。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重试 降级与熔断  </w:t>
      </w:r>
      <w:r>
        <w:rPr>
          <w:rFonts w:ascii="Aptos" w:hAnsi="Aptos" w:eastAsia="Microsoft YaHei"/>
          <w:b w:val="0"/>
          <w:color w:val="0F172A"/>
          <w:sz w:val="17"/>
        </w:rPr>
        <w:t>按错误分类执行 timeout、指数退避与 jitter：临时故障有限重试，结构错误受限修复，模型故障在相同 Schema 与权限下 fallback；连续依赖故障触发 Circuit Breaker 或 Kill Switch。权限错误 fail closed，证据不足返回 partial 或 insufficient evidence，降级不放宽发布门禁。</w:t>
      </w:r>
    </w:p>
    <w:p>
      <w:pPr>
        <w:keepLines/>
        <w:spacing w:before="0" w:after="6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7"/>
        </w:rPr>
        <w:t xml:space="preserve">•  </w:t>
      </w:r>
      <w:r>
        <w:rPr>
          <w:rFonts w:ascii="Aptos" w:hAnsi="Aptos" w:eastAsia="Microsoft YaHei"/>
          <w:b/>
          <w:color w:val="0F172A"/>
          <w:sz w:val="17"/>
        </w:rPr>
        <w:t xml:space="preserve">状态恢复与验收  </w:t>
      </w:r>
      <w:r>
        <w:rPr>
          <w:rFonts w:ascii="Aptos" w:hAnsi="Aptos" w:eastAsia="Microsoft YaHei"/>
          <w:b w:val="0"/>
          <w:color w:val="0F172A"/>
          <w:sz w:val="17"/>
        </w:rPr>
        <w:t>以 PostgreSQL 任务与 Execution Attempt 为权威状态，结合事务 Outbox、租约心跳、execution id fencing 和版本化 Checkpoint 处理重复投递、Worker 崩溃、取消与迟到写入。完成单节点交付、真实依赖 E2E、故障注入、冻结集评测和备份恢复演练；未上线，暂无线上流量与 SLA 数据。</w:t>
      </w:r>
    </w:p>
    <w:p>
      <w:pPr>
        <w:pStyle w:val="Heading1"/>
        <w:keepNext/>
        <w:spacing w:before="64" w:after="26" w:line="240" w:lineRule="auto"/>
      </w:pPr>
      <w:r>
        <w:rPr>
          <w:rFonts w:ascii="Aptos" w:hAnsi="Aptos" w:eastAsia="Microsoft YaHei"/>
          <w:b/>
          <w:color w:val="0F172A"/>
          <w:sz w:val="23"/>
        </w:rPr>
        <w:t>专业技能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6"/>
        </w:rPr>
        <w:t xml:space="preserve">•  </w:t>
      </w:r>
      <w:r>
        <w:rPr>
          <w:rFonts w:ascii="Aptos" w:hAnsi="Aptos" w:eastAsia="Microsoft YaHei"/>
          <w:b/>
          <w:color w:val="0F172A"/>
          <w:sz w:val="16"/>
        </w:rPr>
        <w:t xml:space="preserve">Agent 与 LLM  </w:t>
      </w:r>
      <w:r>
        <w:rPr>
          <w:rFonts w:ascii="Aptos" w:hAnsi="Aptos" w:eastAsia="Microsoft YaHei"/>
          <w:b w:val="0"/>
          <w:color w:val="0F172A"/>
          <w:sz w:val="16"/>
        </w:rPr>
        <w:t>LangGraph 状态机、结构化输出、Tool Calling、上下文与记忆治理、模型预算、错误分类、重试降级与调用审计。</w:t>
      </w:r>
    </w:p>
    <w:p>
      <w:pPr>
        <w:keepLines/>
        <w:spacing w:before="0" w:after="9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6"/>
        </w:rPr>
        <w:t xml:space="preserve">•  </w:t>
      </w:r>
      <w:r>
        <w:rPr>
          <w:rFonts w:ascii="Aptos" w:hAnsi="Aptos" w:eastAsia="Microsoft YaHei"/>
          <w:b/>
          <w:color w:val="0F172A"/>
          <w:sz w:val="16"/>
        </w:rPr>
        <w:t xml:space="preserve">RAG 与评测  </w:t>
      </w:r>
      <w:r>
        <w:rPr>
          <w:rFonts w:ascii="Aptos" w:hAnsi="Aptos" w:eastAsia="Microsoft YaHei"/>
          <w:b w:val="0"/>
          <w:color w:val="0F172A"/>
          <w:sz w:val="16"/>
        </w:rPr>
        <w:t>PostgreSQL pgvector、CrossEncoder、范围过滤、引用与数字校验；能以开发集和冻结留出集分析 Bad Case，区分检索指标、业务正确性与真实 E2E。</w:t>
      </w:r>
    </w:p>
    <w:p>
      <w:pPr>
        <w:keepLines/>
        <w:spacing w:before="0" w:after="0" w:line="240" w:lineRule="auto"/>
        <w:ind w:left="261" w:hanging="181"/>
      </w:pPr>
      <w:r>
        <w:rPr>
          <w:rFonts w:ascii="Aptos" w:hAnsi="Aptos" w:eastAsia="Microsoft YaHei"/>
          <w:b w:val="0"/>
          <w:color w:val="94A3B8"/>
          <w:sz w:val="16"/>
        </w:rPr>
        <w:t xml:space="preserve">•  </w:t>
      </w:r>
      <w:r>
        <w:rPr>
          <w:rFonts w:ascii="Aptos" w:hAnsi="Aptos" w:eastAsia="Microsoft YaHei"/>
          <w:b/>
          <w:color w:val="0F172A"/>
          <w:sz w:val="16"/>
        </w:rPr>
        <w:t xml:space="preserve">Python 后端  </w:t>
      </w:r>
      <w:r>
        <w:rPr>
          <w:rFonts w:ascii="Aptos" w:hAnsi="Aptos" w:eastAsia="Microsoft YaHei"/>
          <w:b w:val="0"/>
          <w:color w:val="0F172A"/>
          <w:sz w:val="16"/>
        </w:rPr>
        <w:t>Python、FastAPI、Pydantic、SQLAlchemy 2.0、Alembic、Celery、Redis、PostgreSQL；pytest 单元/集成/E2E、结构化日志、Docker Compose 与 PowerShell 运维脚本。</w:t>
      </w:r>
    </w:p>
    <w:sectPr w:rsidR="00FC693F" w:rsidRPr="0006063C" w:rsidSect="00034616">
      <w:pgSz w:w="11906" w:h="16838"/>
      <w:pgMar w:top="465" w:right="737" w:bottom="408" w:left="73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ptos" w:hAnsi="Aptos" w:eastAsia="Microsoft YaHei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F172A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乔一帆 AI 应用开发简历</dc:title>
  <dc:subject>AI 应用开发与 Python 后端岗位</dc:subject>
  <dc:creator>乔一帆</dc:creator>
  <cp:keywords>AI Agent, Python, FastAPI, LangGraph,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