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lp05rckds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Caso de Uso: Generación de Recibo de Pago para Cuenta Corriente (RF09)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Dueño / Administrador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tiene sesión activa.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navega a la ficha del cliente en el frontend y selecciona "Cargar Pago".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ingresa el monto abonado por el cliente y presiona confirmar.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un POST a la ruta de recibos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valida el Access Token.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inicia una transacción en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inserta un nuevo registro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recibos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movimientos_cc</w:t>
      </w:r>
      <w:r w:rsidDel="00000000" w:rsidR="00000000" w:rsidRPr="00000000">
        <w:rPr>
          <w:rtl w:val="0"/>
        </w:rPr>
        <w:t xml:space="preserve"> con tipo "CREDITO").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ejecuta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restando el monto abonado al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saldo_actual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registra la operación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201 Created devolviendo el saldo actualizado y la URL del recibo en formato PDF para su descarga o impresión.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