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scse4dban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Caso de Uso: Recuperación de Contraseña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Usuario registrado que olvidó su clave.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conoce el email con el que se registró.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r6q3l8ht5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hace clic en "Olvidé mi contraseña" e ingresa su email.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busca el email en la base de datos. (Por seguridad, siempre responde "Si el email existe, enviamos un correo", para evitar enumeración de usuarios).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existe, genera un </w:t>
      </w:r>
      <w:r w:rsidDel="00000000" w:rsidR="00000000" w:rsidRPr="00000000">
        <w:rPr>
          <w:b w:val="1"/>
          <w:bCs w:val="1"/>
          <w:rtl w:val="0"/>
        </w:rPr>
        <w:t xml:space="preserve">Token de Recuperación</w:t>
      </w:r>
      <w:r w:rsidDel="00000000" w:rsidR="00000000" w:rsidRPr="00000000">
        <w:rPr>
          <w:rtl w:val="0"/>
        </w:rPr>
        <w:t xml:space="preserve"> (expira en 15-30 minutos) y lo guarda en PostgreSQL.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envía un correo con el 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[https://tudominio.com/reset-password?token=ABC](https://tudominio.com/reset-password?token=ABC)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hace clic y ve un formulario para ingresar su nueva contraseña.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la nueva contraseña junto con el token.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valida que el token exista, no haya expirado y pertenezca a ese usuario.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hashea la nueva contraseña, actualiza la base de datos, elimina el token de recuperación e invalida todos los Refresh Tokens anteriores (cierra sesión en otros dispositivos).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