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6m16kcnvreu" w:id="0"/>
      <w:bookmarkEnd w:id="0"/>
      <w:r w:rsidDel="00000000" w:rsidR="00000000" w:rsidRPr="00000000">
        <w:rPr>
          <w:rtl w:val="0"/>
        </w:rPr>
        <w:t xml:space="preserve">TP3 : sémaphore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yr9wo5wcat9" w:id="1"/>
      <w:bookmarkEnd w:id="1"/>
      <w:r w:rsidDel="00000000" w:rsidR="00000000" w:rsidRPr="00000000">
        <w:rPr>
          <w:rtl w:val="0"/>
        </w:rPr>
        <w:t xml:space="preserve">Sémaphore sous Linux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Q1) Un sémaphore comprend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fonction d’initialisation qui prendra une valeur en paramètre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fonction P (puis-je?)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fonction V (vas-y)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fonction permettant de supprimer le sémaphore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42774" cy="24322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74" cy="243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 et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31378" cy="28034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378" cy="280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325147" cy="3096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147" cy="309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ghwlddvqxo9c" w:id="2"/>
      <w:bookmarkEnd w:id="2"/>
      <w:r w:rsidDel="00000000" w:rsidR="00000000" w:rsidRPr="00000000">
        <w:rPr>
          <w:rtl w:val="0"/>
        </w:rPr>
        <w:t xml:space="preserve">Affichage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33528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