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Vibe Coding aplicado a um protótipo institucional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Estudo de caso: protótipo de site para a Data Hawk Solution</w:t>
      </w:r>
    </w:p>
    <w:p>
      <w:pPr>
        <w:pStyle w:val="Heading1"/>
        <w:spacing w:after="160" w:before="200"/>
      </w:pPr>
      <w:r>
        <w:t xml:space="preserve">Resumo do processo</w:t>
      </w:r>
    </w:p>
    <w:p>
      <w:pPr>
        <w:spacing w:after="200" w:line="300"/>
      </w:pPr>
      <w:r>
        <w:rPr>
          <w:sz w:val="22"/>
          <w:szCs w:val="22"/>
        </w:rPr>
        <w:t xml:space="preserve">O trabalho consistiu em transformar uma ideia descrita em linguagem natural — um site institucional para uma consultoria de governança de dados e IA — em um protótipo visual e, em seguida, em uma página web funcional, usando um assistente de IA (Claude) como par de desenvolvimento ao longo de todo o processo. Não houve escrita manual de código em nenhuma etapa: cada resultado foi produzido a partir de instruções em português descrevendo a intenção ("quero uma página inicial, com apresentação da consultoria, e subpáginas de serviços e contato, com interface limpa e moderna"), refinadas por rodadas curtas de revisão e ajuste.</w:t>
      </w:r>
    </w:p>
    <w:p>
      <w:pPr>
        <w:spacing w:after="200" w:line="300"/>
      </w:pPr>
      <w:r>
        <w:rPr>
          <w:sz w:val="22"/>
          <w:szCs w:val="22"/>
        </w:rPr>
        <w:t xml:space="preserve">Esse é o núcleo do que se chama de "vibe coding": em vez de especificar sintaxe, estruturas de dados ou arquitetura de antemão, o desenvolvedor comunica a intenção e o resultado desejado, e deixa que o modelo gere o artefato (design, texto, código), revisando e redirecionando pelo resultado obtido, não pelo caminho percorrido. O papel humano não desaparece — desloca-se: de quem escreve cada linha para quem define objetivo, avalia o resultado, corrige rumo e garante que o conteúdo gerado seja verdadeiro e coerente com a realidade da empresa, e não apenas texto genérico de marketing.</w:t>
      </w:r>
    </w:p>
    <w:p>
      <w:pPr>
        <w:spacing w:after="200" w:line="300"/>
      </w:pPr>
      <w:r>
        <w:rPr>
          <w:sz w:val="22"/>
          <w:szCs w:val="22"/>
        </w:rPr>
        <w:t xml:space="preserve">Na prática, o processo teve três camadas: (1) um esboço estrutural de baixa fidelidade da ideia original, para validar a organização do conteúdo antes de investir em visual; (2) um protótipo visual de alta fidelidade (tipografia, cores, ícones, hierarquia), construído em uma ferramenta de design; e (3) a tradução desse protótipo em uma página HTML/CSS real, navegável e testável localmente. Cada camada foi revisada antes de avançar para a próxima — inclusive com uma etapa de conferência automatizada do conteúdo gerado, para pegar inconsistências de texto e de layout antes da entrega.</w:t>
      </w:r>
    </w:p>
    <w:p>
      <w:pPr>
        <w:pStyle w:val="Heading1"/>
        <w:spacing w:after="160" w:before="300"/>
      </w:pPr>
      <w:r>
        <w:t xml:space="preserve">Como a empresa poderia usar Vibe Coding</w:t>
      </w:r>
    </w:p>
    <w:p>
      <w:pPr>
        <w:spacing w:after="200" w:line="300"/>
      </w:pPr>
      <w:r>
        <w:rPr>
          <w:sz w:val="22"/>
          <w:szCs w:val="22"/>
        </w:rPr>
        <w:t xml:space="preserve">Para uma consultoria pequena e sênior como a Data Hawk Solution — sem uma equipe dedicada de desenvolvimento front-end —, o vibe coding tem aplicação direta em pelo menos três frentes:</w:t>
      </w:r>
    </w:p>
    <w:p>
      <w:pPr>
        <w:spacing w:after="200" w:line="300"/>
      </w:pPr>
      <w:r>
        <w:rPr>
          <w:sz w:val="22"/>
          <w:szCs w:val="22"/>
        </w:rPr>
        <w:t xml:space="preserve">Prototipagem rápida de material comercial: landing pages, propostas visuais e materiais de apresentação para clientes podem ser produzidos e iterados em horas, não semanas, sem depender de terceirizar cada ajuste de layout ou texto.</w:t>
      </w:r>
    </w:p>
    <w:p>
      <w:pPr>
        <w:spacing w:after="200" w:line="300"/>
      </w:pPr>
      <w:r>
        <w:rPr>
          <w:sz w:val="22"/>
          <w:szCs w:val="22"/>
        </w:rPr>
        <w:t xml:space="preserve">Provas de conceito técnicas: o próprio motor de geração de políticas de governança via IA e RAG, já em produção, nasceu de um processo semelhante — descrever a necessidade de negócio e deixar que a IA gerasse e ajustasse a implementação, com revisão humana concentrada nas decisões que realmente importam (arquitetura, segurança, sanitização de dados sensíveis).</w:t>
      </w:r>
    </w:p>
    <w:p>
      <w:pPr>
        <w:spacing w:after="200" w:line="300"/>
      </w:pPr>
      <w:r>
        <w:rPr>
          <w:sz w:val="22"/>
          <w:szCs w:val="22"/>
        </w:rPr>
        <w:t xml:space="preserve">Democratização da criação dentro da equipe: pessoas que não programam podem descrever um dashboard, um formulário interno ou um relatório e obter uma primeira versão funcional, reduzindo a dependência de um único especialista técnico para toda demanda pequena.</w:t>
      </w:r>
    </w:p>
    <w:p>
      <w:pPr>
        <w:spacing w:after="200" w:line="300"/>
      </w:pPr>
      <w:r>
        <w:rPr>
          <w:sz w:val="22"/>
          <w:szCs w:val="22"/>
        </w:rPr>
        <w:t xml:space="preserve">O limite importante é que vibe coding acelera a prototipagem e a exploração, mas não substitui rigor de engenharia em sistemas de produção: dados sensíveis, integrações de pagamento e conformidade regulatória continuam exigindo revisão técnica humana antes de ir ao ar — como já é prática no próprio projeto de geração de políticas da empresa, em que a sanitização de dados acontece em camadas e nunca depende só da instrução dada à IA.</w:t>
      </w:r>
    </w:p>
    <w:p>
      <w:r>
        <w:br w:type="page"/>
      </w:r>
    </w:p>
    <w:p>
      <w:pPr>
        <w:pStyle w:val="Heading1"/>
        <w:spacing w:after="160" w:before="0"/>
      </w:pPr>
      <w:r>
        <w:t xml:space="preserve">Imagens</w:t>
      </w:r>
    </w:p>
    <w:p>
      <w:pPr>
        <w:spacing w:after="120" w:before="300"/>
        <w:jc w:val="center"/>
      </w:pPr>
      <w:r>
        <w:rPr>
          <w:b/>
          <w:bCs/>
          <w:sz w:val="22"/>
          <w:szCs w:val="22"/>
        </w:rPr>
        <w:t xml:space="preserve">a) Modelo da ideia original</w:t>
      </w:r>
    </w:p>
    <w:p>
      <w:pPr>
        <w:jc w:val="center"/>
      </w:pPr>
      <w:r>
        <w:drawing>
          <wp:inline distT="0" distB="0" distL="0" distR="0">
            <wp:extent cx="4381500" cy="5295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/>
        <w:jc w:val="center"/>
      </w:pPr>
      <w:r>
        <w:rPr>
          <w:i/>
          <w:iCs/>
          <w:color w:val="555555"/>
          <w:sz w:val="20"/>
          <w:szCs w:val="20"/>
        </w:rPr>
        <w:t xml:space="preserve">Figura 1 — Rascunho estrutural de baixa fidelidade (wireframe) da página inicial, usado para validar a organização do conteúdo antes do design visual.</w:t>
      </w:r>
    </w:p>
    <w:p>
      <w:r>
        <w:br w:type="page"/>
      </w:r>
    </w:p>
    <w:p>
      <w:pPr>
        <w:spacing w:after="120" w:before="300"/>
        <w:jc w:val="center"/>
      </w:pPr>
      <w:r>
        <w:rPr>
          <w:b/>
          <w:bCs/>
          <w:sz w:val="22"/>
          <w:szCs w:val="22"/>
        </w:rPr>
        <w:t xml:space="preserve">b) Página web HTML criada</w:t>
      </w:r>
    </w:p>
    <w:p>
      <w:pPr>
        <w:jc w:val="center"/>
      </w:pPr>
      <w:r>
        <w:drawing>
          <wp:inline distT="0" distB="0" distL="0" distR="0">
            <wp:extent cx="3619500" cy="766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66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/>
        <w:jc w:val="center"/>
      </w:pPr>
      <w:r>
        <w:rPr>
          <w:i/>
          <w:iCs/>
          <w:color w:val="555555"/>
          <w:sz w:val="20"/>
          <w:szCs w:val="20"/>
        </w:rPr>
        <w:t xml:space="preserve">Figura 2 — Página inicial (index.html) do protótipo final, em HTML e CSS, navegável e testável localmente no navegador.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b4b102d0eaea3b7db9bdddc29722b62d1288254.png"/><Relationship Id="rId8" Type="http://schemas.openxmlformats.org/officeDocument/2006/relationships/image" Target="media/d58c01017c6325c6e2a85387f7478283e50b469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2026-09-12T22:48:55.916Z</dcterms:created>
  <dcterms:modified xsi:type="dcterms:W3CDTF">2026-09-12T22:48:55.916Z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