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Box-model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Toda tag HTML é uma caixa. A produção de sites é basicamente uma caixa dentro da outra. Toda caixa possui lados e dimensões.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Lados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Top – cima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Right – Direta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Bottom – Baixo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Left – Esquerda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Dimensões: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Width – Largura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Height – altura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Padding – Espaçamento interno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Border – borda da caixa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Margin – Espaçamento externo da caxa, ou seja, o espaçamento entre as outras caixas(tag).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Content – Conteudo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Existem 2 tipos de tags: Tags block-leve e inline-level. As tags block-level são aquelas em que fica apenas ela naquela divisão estipulada e inline-level, como o nome sugere, são tags que podemos inserir dentro da linha de outras tags.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Block-level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Inline-level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