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9A8F6" w14:textId="77777777" w:rsidR="00101698" w:rsidRPr="005664B9" w:rsidRDefault="00101698" w:rsidP="00101698">
      <w:pPr>
        <w:rPr>
          <w:rFonts w:ascii="Times New Roman" w:eastAsia="Times New Roman" w:hAnsi="Times New Roman" w:cs="Times New Roman"/>
          <w:b/>
          <w:bCs/>
          <w:kern w:val="0"/>
          <w14:ligatures w14:val="none"/>
        </w:rPr>
      </w:pPr>
      <w:r w:rsidRPr="005664B9">
        <w:rPr>
          <w:rFonts w:ascii="Times New Roman" w:eastAsia="Times New Roman" w:hAnsi="Times New Roman" w:cs="Times New Roman"/>
          <w:b/>
          <w:bCs/>
          <w:kern w:val="0"/>
          <w14:ligatures w14:val="none"/>
        </w:rPr>
        <w:t>ANEXO III – REGRAS DE CÁLCULO DA MENSALIDADE</w:t>
      </w:r>
    </w:p>
    <w:p w14:paraId="3C2B70A5" w14:textId="7777777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(Parte integrante e indissociável do Contrato de Leasing de Sistema Fotovoltaico)</w:t>
      </w:r>
    </w:p>
    <w:p w14:paraId="69E1732C" w14:textId="77777777" w:rsidR="00101698" w:rsidRPr="005664B9" w:rsidRDefault="00101698" w:rsidP="00101698">
      <w:pPr>
        <w:rPr>
          <w:rFonts w:ascii="Times New Roman" w:eastAsia="Times New Roman" w:hAnsi="Times New Roman" w:cs="Times New Roman"/>
          <w:b/>
          <w:bCs/>
          <w:kern w:val="0"/>
          <w14:ligatures w14:val="none"/>
        </w:rPr>
      </w:pPr>
      <w:r w:rsidRPr="005664B9">
        <w:rPr>
          <w:rFonts w:ascii="Times New Roman" w:eastAsia="Times New Roman" w:hAnsi="Times New Roman" w:cs="Times New Roman"/>
          <w:b/>
          <w:bCs/>
          <w:kern w:val="0"/>
          <w14:ligatures w14:val="none"/>
        </w:rPr>
        <w:t>1. OBJETIVO</w:t>
      </w:r>
    </w:p>
    <w:p w14:paraId="39989286" w14:textId="2723A9FC"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 xml:space="preserve">Este Anexo define a metodologia de cálculo da mensalidade devida pelo CONTRATANTE, com base na energia contratada (Kc), consumo real (Kr), tarifas públicas e encargos incidentes, </w:t>
      </w:r>
      <w:r w:rsidR="001C23C4" w:rsidRPr="001C23C4">
        <w:rPr>
          <w:rFonts w:ascii="Times New Roman" w:eastAsia="Times New Roman" w:hAnsi="Times New Roman" w:cs="Times New Roman"/>
          <w:kern w:val="0"/>
          <w14:ligatures w14:val="none"/>
        </w:rPr>
        <w:t>conforme previsto na CLÁUSULA 4 do Contrato de Leasing de Sistema Fotovoltaico</w:t>
      </w:r>
      <w:r w:rsidR="001C23C4" w:rsidRPr="005664B9">
        <w:rPr>
          <w:rFonts w:ascii="Times New Roman" w:eastAsia="Times New Roman" w:hAnsi="Times New Roman" w:cs="Times New Roman"/>
          <w:kern w:val="0"/>
          <w14:ligatures w14:val="none"/>
        </w:rPr>
        <w:t>.</w:t>
      </w:r>
    </w:p>
    <w:p w14:paraId="25BA8413" w14:textId="77777777" w:rsidR="00101698" w:rsidRDefault="00101698" w:rsidP="00101698">
      <w:pPr>
        <w:rPr>
          <w:rFonts w:ascii="Times New Roman" w:eastAsia="Times New Roman" w:hAnsi="Times New Roman" w:cs="Times New Roman"/>
          <w:b/>
          <w:bCs/>
          <w:kern w:val="0"/>
          <w14:ligatures w14:val="none"/>
        </w:rPr>
      </w:pPr>
      <w:r w:rsidRPr="005664B9">
        <w:rPr>
          <w:rFonts w:ascii="Times New Roman" w:eastAsia="Times New Roman" w:hAnsi="Times New Roman" w:cs="Times New Roman"/>
          <w:b/>
          <w:bCs/>
          <w:kern w:val="0"/>
          <w14:ligatures w14:val="none"/>
        </w:rPr>
        <w:t>2. FÓRMULA DA MENSALIDADE</w:t>
      </w:r>
    </w:p>
    <w:p w14:paraId="17328C3A" w14:textId="21ED8B25" w:rsidR="00571A5C" w:rsidRPr="00571A5C" w:rsidRDefault="00571A5C" w:rsidP="00101698">
      <w:pPr>
        <w:rPr>
          <w:rFonts w:ascii="Times New Roman" w:eastAsia="Times New Roman" w:hAnsi="Times New Roman" w:cs="Times New Roman"/>
          <w:kern w:val="0"/>
          <w14:ligatures w14:val="none"/>
        </w:rPr>
      </w:pPr>
      <w:r w:rsidRPr="00571A5C">
        <w:rPr>
          <w:rFonts w:ascii="Times New Roman" w:eastAsia="Times New Roman" w:hAnsi="Times New Roman" w:cs="Times New Roman"/>
          <w:kern w:val="0"/>
          <w14:ligatures w14:val="none"/>
        </w:rPr>
        <w:t>2.1. A metodologia de cálculo estabelecida neste Anexo reflete a conversão do custo da energia elétrica da rede em contraprestação pelo serviço energético prestado pela CONTRATADA, conforme previsto na Cláusula 4 do contrato principal.</w:t>
      </w:r>
    </w:p>
    <w:p w14:paraId="0FFE3D6D" w14:textId="7777777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A mensalidade mensal (M) será calculada conforme a seguinte fórmula:</w:t>
      </w:r>
    </w:p>
    <w:p w14:paraId="0B72F3BB" w14:textId="486E6982"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 xml:space="preserve">M = Kc × Tc + MAX(0; Kr </w:t>
      </w:r>
      <w:r w:rsidR="00153EEE">
        <w:rPr>
          <w:rFonts w:ascii="Times New Roman" w:eastAsia="Times New Roman" w:hAnsi="Times New Roman" w:cs="Times New Roman"/>
          <w:kern w:val="0"/>
          <w14:ligatures w14:val="none"/>
        </w:rPr>
        <w:t>–</w:t>
      </w:r>
      <w:r w:rsidRPr="005664B9">
        <w:rPr>
          <w:rFonts w:ascii="Times New Roman" w:eastAsia="Times New Roman" w:hAnsi="Times New Roman" w:cs="Times New Roman"/>
          <w:kern w:val="0"/>
          <w14:ligatures w14:val="none"/>
        </w:rPr>
        <w:t xml:space="preserve"> </w:t>
      </w:r>
      <w:r w:rsidR="00153EEE">
        <w:rPr>
          <w:rFonts w:ascii="Times New Roman" w:eastAsia="Times New Roman" w:hAnsi="Times New Roman" w:cs="Times New Roman"/>
          <w:kern w:val="0"/>
          <w14:ligatures w14:val="none"/>
        </w:rPr>
        <w:t>(</w:t>
      </w:r>
      <w:r w:rsidRPr="005664B9">
        <w:rPr>
          <w:rFonts w:ascii="Times New Roman" w:eastAsia="Times New Roman" w:hAnsi="Times New Roman" w:cs="Times New Roman"/>
          <w:kern w:val="0"/>
          <w14:ligatures w14:val="none"/>
        </w:rPr>
        <w:t xml:space="preserve">Kc </w:t>
      </w:r>
      <w:r w:rsidR="00153EEE">
        <w:rPr>
          <w:rFonts w:ascii="Times New Roman" w:eastAsia="Times New Roman" w:hAnsi="Times New Roman" w:cs="Times New Roman"/>
          <w:kern w:val="0"/>
          <w14:ligatures w14:val="none"/>
        </w:rPr>
        <w:t>+</w:t>
      </w:r>
      <w:r w:rsidRPr="005664B9">
        <w:rPr>
          <w:rFonts w:ascii="Times New Roman" w:eastAsia="Times New Roman" w:hAnsi="Times New Roman" w:cs="Times New Roman"/>
          <w:kern w:val="0"/>
          <w14:ligatures w14:val="none"/>
        </w:rPr>
        <w:t xml:space="preserve"> C</w:t>
      </w:r>
      <w:r w:rsidR="00153EEE">
        <w:rPr>
          <w:rFonts w:ascii="Times New Roman" w:eastAsia="Times New Roman" w:hAnsi="Times New Roman" w:cs="Times New Roman"/>
          <w:kern w:val="0"/>
          <w14:ligatures w14:val="none"/>
        </w:rPr>
        <w:t>)</w:t>
      </w:r>
      <w:r w:rsidRPr="005664B9">
        <w:rPr>
          <w:rFonts w:ascii="Times New Roman" w:eastAsia="Times New Roman" w:hAnsi="Times New Roman" w:cs="Times New Roman"/>
          <w:kern w:val="0"/>
          <w14:ligatures w14:val="none"/>
        </w:rPr>
        <w:t>) × T + E</w:t>
      </w:r>
    </w:p>
    <w:p w14:paraId="2A50A17A" w14:textId="7777777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Onde:</w:t>
      </w:r>
    </w:p>
    <w:p w14:paraId="724F84EF" w14:textId="354F061B"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b/>
          <w:bCs/>
          <w:kern w:val="0"/>
          <w14:ligatures w14:val="none"/>
        </w:rPr>
        <w:t>- Kc:</w:t>
      </w:r>
      <w:r w:rsidRPr="005664B9">
        <w:rPr>
          <w:rFonts w:ascii="Times New Roman" w:eastAsia="Times New Roman" w:hAnsi="Times New Roman" w:cs="Times New Roman"/>
          <w:kern w:val="0"/>
          <w14:ligatures w14:val="none"/>
        </w:rPr>
        <w:t xml:space="preserve"> Energia contratada (kWh/mês)</w:t>
      </w:r>
    </w:p>
    <w:p w14:paraId="31FBFF4F" w14:textId="721EC1B2" w:rsidR="002E06ED" w:rsidRDefault="00101698" w:rsidP="002E06ED">
      <w:pPr>
        <w:pStyle w:val="p1"/>
      </w:pPr>
      <w:r w:rsidRPr="005664B9">
        <w:rPr>
          <w:b/>
          <w:bCs/>
        </w:rPr>
        <w:t>- Tc:</w:t>
      </w:r>
      <w:r w:rsidR="002E06ED">
        <w:t xml:space="preserve"> Tarifa contratual aplicada à energia contratada (R$/kWh), calculada com base na tarifa integral vigente da distribuidora aplicável à unidade consumidora do CONTRATANTE, incluindo todos os componentes tarifários, encargos e tributos incidentes.</w:t>
      </w:r>
    </w:p>
    <w:p w14:paraId="272C0356" w14:textId="2F234900"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b/>
          <w:bCs/>
          <w:kern w:val="0"/>
          <w14:ligatures w14:val="none"/>
        </w:rPr>
        <w:t>- Kr:</w:t>
      </w:r>
      <w:r w:rsidRPr="005664B9">
        <w:rPr>
          <w:rFonts w:ascii="Times New Roman" w:eastAsia="Times New Roman" w:hAnsi="Times New Roman" w:cs="Times New Roman"/>
          <w:kern w:val="0"/>
          <w14:ligatures w14:val="none"/>
        </w:rPr>
        <w:t xml:space="preserve"> Consumo real da unidade no mês (kWh)</w:t>
      </w:r>
    </w:p>
    <w:p w14:paraId="5E88B882" w14:textId="7BB1A8E1"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b/>
          <w:bCs/>
          <w:kern w:val="0"/>
          <w14:ligatures w14:val="none"/>
        </w:rPr>
        <w:t>- C:</w:t>
      </w:r>
      <w:r w:rsidRPr="005664B9">
        <w:rPr>
          <w:rFonts w:ascii="Times New Roman" w:eastAsia="Times New Roman" w:hAnsi="Times New Roman" w:cs="Times New Roman"/>
          <w:kern w:val="0"/>
          <w14:ligatures w14:val="none"/>
        </w:rPr>
        <w:t xml:space="preserve"> Créditos de energia utilizados para compensação no mês (kWh)</w:t>
      </w:r>
    </w:p>
    <w:p w14:paraId="76D59448" w14:textId="77777777" w:rsidR="0009205B" w:rsidRDefault="00101698" w:rsidP="0009205B">
      <w:pPr>
        <w:pStyle w:val="p1"/>
      </w:pPr>
      <w:r w:rsidRPr="005664B9">
        <w:rPr>
          <w:b/>
          <w:bCs/>
        </w:rPr>
        <w:t>- T:</w:t>
      </w:r>
      <w:r w:rsidRPr="005664B9">
        <w:t xml:space="preserve"> </w:t>
      </w:r>
      <w:r w:rsidR="0009205B">
        <w:t>Tarifa integral vigente da distribuidora aplicável à unidade consumidora do CONTRATANTE (R$/kWh), correspondente ao valor final do kWh cobrado ao consumidor, incluindo todos os componentes tarifários, encargos e tributos.</w:t>
      </w:r>
    </w:p>
    <w:p w14:paraId="33495A99" w14:textId="7AA68870"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b/>
          <w:bCs/>
          <w:kern w:val="0"/>
          <w14:ligatures w14:val="none"/>
        </w:rPr>
        <w:t>- E:</w:t>
      </w:r>
      <w:r w:rsidRPr="005664B9">
        <w:rPr>
          <w:rFonts w:ascii="Times New Roman" w:eastAsia="Times New Roman" w:hAnsi="Times New Roman" w:cs="Times New Roman"/>
          <w:kern w:val="0"/>
          <w14:ligatures w14:val="none"/>
        </w:rPr>
        <w:t xml:space="preserve"> Encargos adicionais não compensáveis, conforme item 3.2</w:t>
      </w:r>
    </w:p>
    <w:p w14:paraId="59484F0D" w14:textId="77777777" w:rsidR="00101698" w:rsidRPr="005664B9" w:rsidRDefault="00101698" w:rsidP="00101698">
      <w:pPr>
        <w:rPr>
          <w:rFonts w:ascii="Times New Roman" w:eastAsia="Times New Roman" w:hAnsi="Times New Roman" w:cs="Times New Roman"/>
          <w:b/>
          <w:bCs/>
          <w:kern w:val="0"/>
          <w14:ligatures w14:val="none"/>
        </w:rPr>
      </w:pPr>
      <w:r w:rsidRPr="005664B9">
        <w:rPr>
          <w:rFonts w:ascii="Times New Roman" w:eastAsia="Times New Roman" w:hAnsi="Times New Roman" w:cs="Times New Roman"/>
          <w:b/>
          <w:bCs/>
          <w:kern w:val="0"/>
          <w14:ligatures w14:val="none"/>
        </w:rPr>
        <w:t>3. DEFINIÇÕES E REGRAS OPERACIONAIS</w:t>
      </w:r>
    </w:p>
    <w:p w14:paraId="369A638C" w14:textId="77777777" w:rsidR="00275458" w:rsidRPr="00275458" w:rsidRDefault="00275458" w:rsidP="00275458">
      <w:pPr>
        <w:rPr>
          <w:rFonts w:ascii="Times New Roman" w:eastAsia="Times New Roman" w:hAnsi="Times New Roman" w:cs="Times New Roman"/>
          <w:kern w:val="0"/>
          <w14:ligatures w14:val="none"/>
        </w:rPr>
      </w:pPr>
      <w:r w:rsidRPr="00275458">
        <w:rPr>
          <w:rFonts w:ascii="Times New Roman" w:eastAsia="Times New Roman" w:hAnsi="Times New Roman" w:cs="Times New Roman"/>
          <w:kern w:val="0"/>
          <w14:ligatures w14:val="none"/>
        </w:rPr>
        <w:t xml:space="preserve">3.1. </w:t>
      </w:r>
      <w:r w:rsidRPr="00006575">
        <w:rPr>
          <w:rFonts w:ascii="Times New Roman" w:eastAsia="Times New Roman" w:hAnsi="Times New Roman" w:cs="Times New Roman"/>
          <w:b/>
          <w:bCs/>
          <w:kern w:val="0"/>
          <w14:ligatures w14:val="none"/>
        </w:rPr>
        <w:t>Créditos de Energia</w:t>
      </w:r>
    </w:p>
    <w:p w14:paraId="18500710" w14:textId="77777777" w:rsidR="00F16B8C" w:rsidRDefault="00F16B8C" w:rsidP="00F16B8C">
      <w:pPr>
        <w:pStyle w:val="p1"/>
      </w:pPr>
      <w:r>
        <w:t>Os créditos de energia eventualmente gerados pelo sistema fotovoltaico pertencem ao CONTRATANTE, observadas as regras do Sistema de Compensação de Energia Elétrica estabelecidas pela legislação aplicável e pela regulamentação da ANEEL.</w:t>
      </w:r>
    </w:p>
    <w:p w14:paraId="512BB3DF" w14:textId="77777777" w:rsidR="00F16B8C" w:rsidRDefault="00F16B8C" w:rsidP="00F16B8C">
      <w:pPr>
        <w:pStyle w:val="p2"/>
      </w:pPr>
    </w:p>
    <w:p w14:paraId="14A061A8" w14:textId="77777777" w:rsidR="00F16B8C" w:rsidRDefault="00F16B8C" w:rsidP="00F16B8C">
      <w:pPr>
        <w:pStyle w:val="p1"/>
      </w:pPr>
      <w:r>
        <w:lastRenderedPageBreak/>
        <w:t>A CONTRATADA atuará exclusivamente na operação e gestão técnica desses créditos no âmbito do sistema de compensação de energia elétrica, utilizando-os prioritariamente para compensação do consumo da unidade consumidora vinculada ao contrato.</w:t>
      </w:r>
    </w:p>
    <w:p w14:paraId="13606B39" w14:textId="77777777" w:rsidR="00F16B8C" w:rsidRDefault="00F16B8C" w:rsidP="00F16B8C">
      <w:pPr>
        <w:pStyle w:val="p1"/>
      </w:pPr>
      <w:r>
        <w:t>Enquanto o CONTRATANTE estiver adimplente, os créditos de energia gerados serão utilizados integralmente em seu benefício, conforme as regras deste contrato e da regulamentação aplicável.</w:t>
      </w:r>
    </w:p>
    <w:p w14:paraId="56CBC20D" w14:textId="77777777" w:rsidR="00F16B8C" w:rsidRDefault="00F16B8C" w:rsidP="00F16B8C">
      <w:pPr>
        <w:pStyle w:val="p1"/>
      </w:pPr>
      <w:r>
        <w:t>O CONTRATANTE poderá solicitar à CONTRATADA o rateio, realocação ou redistribuição dos créditos de energia entre diferentes unidades consumidoras de sua titularidade, vinculadas ao mesmo CPF ou CNPJ, desde que tais unidades:</w:t>
      </w:r>
    </w:p>
    <w:p w14:paraId="75F3FD7B" w14:textId="77777777" w:rsidR="00F16B8C" w:rsidRDefault="00F16B8C" w:rsidP="00F16B8C">
      <w:pPr>
        <w:pStyle w:val="p1"/>
      </w:pPr>
      <w:r>
        <w:t>a) estejam localizadas dentro da mesma área de concessão ou permissão da distribuidora de energia elétrica aplicável;</w:t>
      </w:r>
    </w:p>
    <w:p w14:paraId="1D3D9FC5" w14:textId="77777777" w:rsidR="00F16B8C" w:rsidRDefault="00F16B8C" w:rsidP="00F16B8C">
      <w:pPr>
        <w:pStyle w:val="p1"/>
      </w:pPr>
      <w:r>
        <w:t>b) estejam devidamente cadastradas no sistema de compensação de energia elétrica da distribuidora;</w:t>
      </w:r>
    </w:p>
    <w:p w14:paraId="5776EBED" w14:textId="77777777" w:rsidR="00F16B8C" w:rsidRDefault="00F16B8C" w:rsidP="00F16B8C">
      <w:pPr>
        <w:pStyle w:val="p1"/>
      </w:pPr>
      <w:r>
        <w:t>c) atendam às regras regulatórias vigentes estabelecidas pela ANEEL; e</w:t>
      </w:r>
    </w:p>
    <w:p w14:paraId="7A64C734" w14:textId="77777777" w:rsidR="00F16B8C" w:rsidRDefault="00F16B8C" w:rsidP="00F16B8C">
      <w:pPr>
        <w:pStyle w:val="p1"/>
      </w:pPr>
      <w:r>
        <w:t>d) possuam consumo médio consolidado compatível com a energia mensal contratada (Kc) prevista neste contrato.</w:t>
      </w:r>
    </w:p>
    <w:p w14:paraId="013003DE" w14:textId="77777777" w:rsidR="00F16B8C" w:rsidRDefault="00F16B8C" w:rsidP="00F16B8C">
      <w:pPr>
        <w:pStyle w:val="p1"/>
      </w:pPr>
      <w:r>
        <w:t>A CONTRATADA poderá operacionalizar o rateio solicitado pelo CONTRATANTE no âmbito do sistema de compensação de energia elétrica, desde que não haja impedimento técnico, regulatório ou contratual que comprometa o correto funcionamento do sistema, o equilíbrio econômico do contrato ou a conformidade com as regras da distribuidora.</w:t>
      </w:r>
    </w:p>
    <w:p w14:paraId="6CCE612A" w14:textId="5C74C6CD" w:rsidR="00F16B8C" w:rsidRDefault="00F16B8C" w:rsidP="00F16B8C">
      <w:pPr>
        <w:pStyle w:val="p1"/>
      </w:pPr>
      <w:r>
        <w:t xml:space="preserve">Em caso de inadimplência, nos termos das Cláusulas </w:t>
      </w:r>
      <w:r w:rsidR="00041733">
        <w:t>4</w:t>
      </w:r>
      <w:r>
        <w:t xml:space="preserve"> e 1</w:t>
      </w:r>
      <w:r w:rsidR="00041733">
        <w:t>1</w:t>
      </w:r>
      <w:r>
        <w:t xml:space="preserve"> do contrato principal, a CONTRATADA poderá reter, bloquear, realocar ou redirecionar créditos de energia eventualmente existentes até a regularização integral dos débitos, sem direito a compensação retroativa.</w:t>
      </w:r>
    </w:p>
    <w:p w14:paraId="3227E54B" w14:textId="383F2487" w:rsidR="009110CD" w:rsidRPr="009110CD" w:rsidRDefault="009110CD" w:rsidP="00275458">
      <w:pPr>
        <w:rPr>
          <w:rFonts w:ascii="Times New Roman" w:eastAsia="Times New Roman" w:hAnsi="Times New Roman" w:cs="Times New Roman"/>
          <w:kern w:val="0"/>
          <w14:ligatures w14:val="none"/>
        </w:rPr>
      </w:pPr>
      <w:r w:rsidRPr="009110CD">
        <w:rPr>
          <w:rFonts w:ascii="Times New Roman" w:eastAsia="Times New Roman" w:hAnsi="Times New Roman" w:cs="Times New Roman"/>
          <w:kern w:val="0"/>
          <w14:ligatures w14:val="none"/>
        </w:rPr>
        <w:t>3.2</w:t>
      </w:r>
      <w:r w:rsidR="00F32C50">
        <w:rPr>
          <w:rFonts w:ascii="Times New Roman" w:eastAsia="Times New Roman" w:hAnsi="Times New Roman" w:cs="Times New Roman"/>
          <w:kern w:val="0"/>
          <w14:ligatures w14:val="none"/>
        </w:rPr>
        <w:t>.</w:t>
      </w:r>
      <w:r w:rsidRPr="009110CD">
        <w:rPr>
          <w:rFonts w:ascii="Times New Roman" w:eastAsia="Times New Roman" w:hAnsi="Times New Roman" w:cs="Times New Roman"/>
          <w:kern w:val="0"/>
          <w14:ligatures w14:val="none"/>
        </w:rPr>
        <w:t xml:space="preserve"> </w:t>
      </w:r>
      <w:r w:rsidRPr="00006575">
        <w:rPr>
          <w:rFonts w:ascii="Times New Roman" w:eastAsia="Times New Roman" w:hAnsi="Times New Roman" w:cs="Times New Roman"/>
          <w:b/>
          <w:bCs/>
          <w:kern w:val="0"/>
          <w14:ligatures w14:val="none"/>
        </w:rPr>
        <w:t>Encargos (E)</w:t>
      </w:r>
    </w:p>
    <w:p w14:paraId="37B7F8FE" w14:textId="77777777" w:rsidR="009110CD" w:rsidRPr="009110CD" w:rsidRDefault="009110CD" w:rsidP="009110CD">
      <w:pPr>
        <w:rPr>
          <w:rFonts w:ascii="Times New Roman" w:eastAsia="Times New Roman" w:hAnsi="Times New Roman" w:cs="Times New Roman"/>
          <w:kern w:val="0"/>
          <w14:ligatures w14:val="none"/>
        </w:rPr>
      </w:pPr>
      <w:r w:rsidRPr="009110CD">
        <w:rPr>
          <w:rFonts w:ascii="Times New Roman" w:eastAsia="Times New Roman" w:hAnsi="Times New Roman" w:cs="Times New Roman"/>
          <w:kern w:val="0"/>
          <w14:ligatures w14:val="none"/>
        </w:rPr>
        <w:t>São considerados encargos não compensáveis os valores cobrados pela distribuidora ou por órgãos públicos que não são compensados pelos créditos de energia gerados pela usina, incluindo, exemplificativamente:</w:t>
      </w:r>
    </w:p>
    <w:p w14:paraId="21BC87E7" w14:textId="77777777" w:rsidR="009110CD" w:rsidRPr="009110CD" w:rsidRDefault="009110CD" w:rsidP="009110CD">
      <w:pPr>
        <w:rPr>
          <w:rFonts w:ascii="Times New Roman" w:eastAsia="Times New Roman" w:hAnsi="Times New Roman" w:cs="Times New Roman"/>
          <w:kern w:val="0"/>
          <w14:ligatures w14:val="none"/>
        </w:rPr>
      </w:pPr>
      <w:r w:rsidRPr="009110CD">
        <w:rPr>
          <w:rFonts w:ascii="Times New Roman" w:eastAsia="Times New Roman" w:hAnsi="Times New Roman" w:cs="Times New Roman"/>
          <w:kern w:val="0"/>
          <w14:ligatures w14:val="none"/>
        </w:rPr>
        <w:t>- Bandeiras tarifárias;</w:t>
      </w:r>
    </w:p>
    <w:p w14:paraId="6AAC7633" w14:textId="77777777" w:rsidR="009110CD" w:rsidRPr="009110CD" w:rsidRDefault="009110CD" w:rsidP="009110CD">
      <w:pPr>
        <w:rPr>
          <w:rFonts w:ascii="Times New Roman" w:eastAsia="Times New Roman" w:hAnsi="Times New Roman" w:cs="Times New Roman"/>
          <w:kern w:val="0"/>
          <w14:ligatures w14:val="none"/>
        </w:rPr>
      </w:pPr>
      <w:r w:rsidRPr="009110CD">
        <w:rPr>
          <w:rFonts w:ascii="Times New Roman" w:eastAsia="Times New Roman" w:hAnsi="Times New Roman" w:cs="Times New Roman"/>
          <w:kern w:val="0"/>
          <w14:ligatures w14:val="none"/>
        </w:rPr>
        <w:t>- Contribuição de Iluminação Pública (CIP);</w:t>
      </w:r>
    </w:p>
    <w:p w14:paraId="205913AD" w14:textId="77777777" w:rsidR="009110CD" w:rsidRPr="009110CD" w:rsidRDefault="009110CD" w:rsidP="009110CD">
      <w:pPr>
        <w:rPr>
          <w:rFonts w:ascii="Times New Roman" w:eastAsia="Times New Roman" w:hAnsi="Times New Roman" w:cs="Times New Roman"/>
          <w:kern w:val="0"/>
          <w14:ligatures w14:val="none"/>
        </w:rPr>
      </w:pPr>
      <w:r w:rsidRPr="009110CD">
        <w:rPr>
          <w:rFonts w:ascii="Times New Roman" w:eastAsia="Times New Roman" w:hAnsi="Times New Roman" w:cs="Times New Roman"/>
          <w:kern w:val="0"/>
          <w14:ligatures w14:val="none"/>
        </w:rPr>
        <w:t>- multas, refaturamentos ou ajustes aplicados pela distribuidora;</w:t>
      </w:r>
    </w:p>
    <w:p w14:paraId="358B85D6" w14:textId="0DE8DE03" w:rsidR="00101698" w:rsidRDefault="009110CD" w:rsidP="009110CD">
      <w:pPr>
        <w:rPr>
          <w:rFonts w:ascii="Times New Roman" w:eastAsia="Times New Roman" w:hAnsi="Times New Roman" w:cs="Times New Roman"/>
          <w:kern w:val="0"/>
          <w14:ligatures w14:val="none"/>
        </w:rPr>
      </w:pPr>
      <w:r w:rsidRPr="009110CD">
        <w:rPr>
          <w:rFonts w:ascii="Times New Roman" w:eastAsia="Times New Roman" w:hAnsi="Times New Roman" w:cs="Times New Roman"/>
          <w:kern w:val="0"/>
          <w14:ligatures w14:val="none"/>
        </w:rPr>
        <w:t>- encargos extraordinários ou valores não compensáveis previstos na regulamentação da ANEEL.</w:t>
      </w:r>
    </w:p>
    <w:p w14:paraId="449A3AB5" w14:textId="427DF096"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lastRenderedPageBreak/>
        <w:t>3.3.</w:t>
      </w:r>
      <w:r w:rsidR="00E74FE1" w:rsidRPr="005664B9">
        <w:rPr>
          <w:rFonts w:ascii="Times New Roman" w:eastAsia="Times New Roman" w:hAnsi="Times New Roman" w:cs="Times New Roman"/>
          <w:kern w:val="0"/>
          <w14:ligatures w14:val="none"/>
        </w:rPr>
        <w:t xml:space="preserve"> </w:t>
      </w:r>
      <w:r w:rsidRPr="00006575">
        <w:rPr>
          <w:rFonts w:ascii="Times New Roman" w:eastAsia="Times New Roman" w:hAnsi="Times New Roman" w:cs="Times New Roman"/>
          <w:b/>
          <w:bCs/>
          <w:kern w:val="0"/>
          <w14:ligatures w14:val="none"/>
        </w:rPr>
        <w:t>Ajuste Automático de Kc</w:t>
      </w:r>
    </w:p>
    <w:p w14:paraId="68F2C798" w14:textId="7777777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A CONTRATADA poderá revisar, de forma unilateral e motivada, o valor de Kc, mediante constatação técnica de:</w:t>
      </w:r>
    </w:p>
    <w:p w14:paraId="44DFFD71" w14:textId="7777777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 Geração permanentemente inferior à estimativa inicial;</w:t>
      </w:r>
    </w:p>
    <w:p w14:paraId="600AAF1E" w14:textId="7777777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 Limitações estruturais, sombreamento ou fatores externos permanentes;</w:t>
      </w:r>
    </w:p>
    <w:p w14:paraId="14ECEE4A" w14:textId="7777777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 Alterações da concessionária ou mudanças regulatórias;</w:t>
      </w:r>
    </w:p>
    <w:p w14:paraId="607E3EEF" w14:textId="7777777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 Solicitação do próprio CONTRATANTE.</w:t>
      </w:r>
    </w:p>
    <w:p w14:paraId="6FE3252F" w14:textId="7777777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O novo valor de Kc passará a ser considerado para cálculo das mensalidades seguintes, sem necessidade de aditivo contratual e sem gerar direito a rescisão, desconto ou compensação.</w:t>
      </w:r>
    </w:p>
    <w:p w14:paraId="0EDBE1E0" w14:textId="77777777" w:rsidR="00101698" w:rsidRDefault="00101698" w:rsidP="00101698">
      <w:pPr>
        <w:rPr>
          <w:rFonts w:ascii="Times New Roman" w:eastAsia="Times New Roman" w:hAnsi="Times New Roman" w:cs="Times New Roman"/>
          <w:b/>
          <w:bCs/>
          <w:kern w:val="0"/>
          <w14:ligatures w14:val="none"/>
        </w:rPr>
      </w:pPr>
      <w:r w:rsidRPr="005664B9">
        <w:rPr>
          <w:rFonts w:ascii="Times New Roman" w:eastAsia="Times New Roman" w:hAnsi="Times New Roman" w:cs="Times New Roman"/>
          <w:b/>
          <w:bCs/>
          <w:kern w:val="0"/>
          <w14:ligatures w14:val="none"/>
        </w:rPr>
        <w:t>4. REAJUSTES</w:t>
      </w:r>
    </w:p>
    <w:p w14:paraId="2E436CFA" w14:textId="77777777" w:rsidR="006D6CBD" w:rsidRDefault="006D6CBD" w:rsidP="006D6CBD">
      <w:pPr>
        <w:pStyle w:val="p1"/>
      </w:pPr>
      <w:r>
        <w:rPr>
          <w:b/>
          <w:bCs/>
        </w:rPr>
        <w:t>4.1. Alterações Regulatórias e Atualização da Metodologia</w:t>
      </w:r>
    </w:p>
    <w:p w14:paraId="1DA932BB" w14:textId="77777777" w:rsidR="006D6CBD" w:rsidRDefault="006D6CBD" w:rsidP="006D6CBD">
      <w:pPr>
        <w:pStyle w:val="p3"/>
      </w:pPr>
      <w:r>
        <w:t>Caso alterações regulatórias, legais ou tarifárias impactem o Sistema de Compensação de Energia Elétrica, a estrutura tarifária do setor elétrico, ou a forma de cálculo da energia compensada no âmbito da microgeração distribuída, a CONTRATADA poderá ajustar a metodologia de cálculo da Mensalidade prevista neste Anexo, exclusivamente na medida necessária para preservar o equilíbrio econômico-financeiro do contrato.</w:t>
      </w:r>
    </w:p>
    <w:p w14:paraId="077EB50B" w14:textId="77777777" w:rsidR="006D6CBD" w:rsidRDefault="006D6CBD" w:rsidP="006D6CBD">
      <w:pPr>
        <w:pStyle w:val="p3"/>
      </w:pPr>
      <w:r>
        <w:t>Consideram-se, para fins desta cláusula, alterações regulatórias ou tarifárias, entre outras:</w:t>
      </w:r>
    </w:p>
    <w:p w14:paraId="08FBED64" w14:textId="77777777" w:rsidR="006D6CBD" w:rsidRDefault="006D6CBD" w:rsidP="006D6CBD">
      <w:pPr>
        <w:pStyle w:val="p3"/>
      </w:pPr>
      <w:r>
        <w:t>a) mudanças na legislação aplicável à microgeração ou minigeração distribuída;</w:t>
      </w:r>
    </w:p>
    <w:p w14:paraId="71787BCB" w14:textId="77777777" w:rsidR="006D6CBD" w:rsidRDefault="006D6CBD" w:rsidP="006D6CBD">
      <w:pPr>
        <w:pStyle w:val="p3"/>
      </w:pPr>
      <w:r>
        <w:t>b) alterações nas resoluções normativas da ANEEL;</w:t>
      </w:r>
    </w:p>
    <w:p w14:paraId="3C0FA4B7" w14:textId="77777777" w:rsidR="006D6CBD" w:rsidRDefault="006D6CBD" w:rsidP="006D6CBD">
      <w:pPr>
        <w:pStyle w:val="p3"/>
      </w:pPr>
      <w:r>
        <w:t>c) modificações na forma de compensação de créditos de energia;</w:t>
      </w:r>
    </w:p>
    <w:p w14:paraId="003B92D7" w14:textId="77777777" w:rsidR="006D6CBD" w:rsidRDefault="006D6CBD" w:rsidP="006D6CBD">
      <w:pPr>
        <w:pStyle w:val="p3"/>
      </w:pPr>
      <w:r>
        <w:t>d) alterações na composição tarifária da energia elétrica, incluindo tarifas de energia (TE), tarifas de uso do sistema de distribuição (TUSD), encargos setoriais, tributos ou quaisquer outros componentes que integrem o valor final do kWh cobrado ao consumidor;</w:t>
      </w:r>
    </w:p>
    <w:p w14:paraId="3D17049B" w14:textId="77777777" w:rsidR="006D6CBD" w:rsidRDefault="006D6CBD" w:rsidP="006D6CBD">
      <w:pPr>
        <w:pStyle w:val="p3"/>
      </w:pPr>
      <w:r>
        <w:t>e) criação, extinção ou modificação de encargos ou mecanismos tarifários aplicáveis à geração distribuída.</w:t>
      </w:r>
    </w:p>
    <w:p w14:paraId="40824E1D" w14:textId="77777777" w:rsidR="006D6CBD" w:rsidRDefault="006D6CBD" w:rsidP="006D6CBD">
      <w:pPr>
        <w:pStyle w:val="p3"/>
      </w:pPr>
      <w:r>
        <w:t>As tarifas públicas de referência utilizadas no cálculo da Mensalidade (T e Tc) serão atualizadas automaticamente sempre que houver:</w:t>
      </w:r>
    </w:p>
    <w:p w14:paraId="61FB976F" w14:textId="77777777" w:rsidR="006D6CBD" w:rsidRDefault="006D6CBD" w:rsidP="006D6CBD">
      <w:pPr>
        <w:pStyle w:val="p2"/>
      </w:pPr>
    </w:p>
    <w:p w14:paraId="0BED628E" w14:textId="77777777" w:rsidR="006D6CBD" w:rsidRDefault="006D6CBD" w:rsidP="006D6CBD">
      <w:pPr>
        <w:pStyle w:val="p3"/>
      </w:pPr>
      <w:r>
        <w:lastRenderedPageBreak/>
        <w:t>I – publicação de novos valores tarifários homologados pela ANEEL ou pela distribuidora local;</w:t>
      </w:r>
    </w:p>
    <w:p w14:paraId="40ACDE3B" w14:textId="77777777" w:rsidR="006D6CBD" w:rsidRDefault="006D6CBD" w:rsidP="006D6CBD">
      <w:pPr>
        <w:pStyle w:val="p3"/>
      </w:pPr>
      <w:r>
        <w:t>II – alterações nos tributos, encargos setoriais ou componentes tarifários que integrem o valor final da energia elétrica.</w:t>
      </w:r>
    </w:p>
    <w:p w14:paraId="34EA3E13" w14:textId="77777777" w:rsidR="006D6CBD" w:rsidRDefault="006D6CBD" w:rsidP="006D6CBD">
      <w:pPr>
        <w:pStyle w:val="p3"/>
      </w:pPr>
      <w:r>
        <w:t>Tais atualizações serão aplicadas automaticamente às mensalidades subsequentes, independentemente de aditamento contratual, não configurando alteração unilateral prejudicial ao CONTRATANTE, mas mera atualização decorrente de alterações regulatórias ou tarifárias do setor elétrico.</w:t>
      </w:r>
    </w:p>
    <w:p w14:paraId="6B81D869" w14:textId="77777777" w:rsidR="00FA12DB" w:rsidRDefault="00FA12DB" w:rsidP="00101698">
      <w:pPr>
        <w:rPr>
          <w:rFonts w:ascii="Times New Roman" w:eastAsia="Times New Roman" w:hAnsi="Times New Roman" w:cs="Times New Roman"/>
          <w:b/>
          <w:bCs/>
          <w:kern w:val="0"/>
          <w14:ligatures w14:val="none"/>
        </w:rPr>
      </w:pPr>
    </w:p>
    <w:p w14:paraId="64F70F36" w14:textId="0834C54D" w:rsidR="00101698" w:rsidRPr="005664B9" w:rsidRDefault="00101698" w:rsidP="00101698">
      <w:pPr>
        <w:rPr>
          <w:rFonts w:ascii="Times New Roman" w:eastAsia="Times New Roman" w:hAnsi="Times New Roman" w:cs="Times New Roman"/>
          <w:b/>
          <w:bCs/>
          <w:kern w:val="0"/>
          <w14:ligatures w14:val="none"/>
        </w:rPr>
      </w:pPr>
      <w:r w:rsidRPr="005664B9">
        <w:rPr>
          <w:rFonts w:ascii="Times New Roman" w:eastAsia="Times New Roman" w:hAnsi="Times New Roman" w:cs="Times New Roman"/>
          <w:b/>
          <w:bCs/>
          <w:kern w:val="0"/>
          <w14:ligatures w14:val="none"/>
        </w:rPr>
        <w:t>5. EXEMPLOS ILUSTRATIVOS</w:t>
      </w:r>
    </w:p>
    <w:p w14:paraId="6C3CDAC6" w14:textId="7777777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(Para fins ilustrativos. Os valores não representam garantias ou promessas contratuais.)</w:t>
      </w:r>
    </w:p>
    <w:p w14:paraId="5D1B9860" w14:textId="13A9B8BA"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Parâmetros base:</w:t>
      </w:r>
    </w:p>
    <w:p w14:paraId="06B17684" w14:textId="7777777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 Kc = 2000 kWh</w:t>
      </w:r>
    </w:p>
    <w:p w14:paraId="611C5F0C" w14:textId="7777777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 Tc = R$ 0,88/kWh</w:t>
      </w:r>
    </w:p>
    <w:p w14:paraId="187738F0" w14:textId="7777777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 T = R$ 1,10/kWh</w:t>
      </w:r>
    </w:p>
    <w:p w14:paraId="30D0000B" w14:textId="7777777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 E = R$ 45,00</w:t>
      </w:r>
    </w:p>
    <w:p w14:paraId="369E69F5" w14:textId="77777777" w:rsidR="00101698" w:rsidRPr="005664B9" w:rsidRDefault="00101698" w:rsidP="00101698">
      <w:pPr>
        <w:rPr>
          <w:rFonts w:ascii="Times New Roman" w:eastAsia="Times New Roman" w:hAnsi="Times New Roman" w:cs="Times New Roman"/>
          <w:kern w:val="0"/>
          <w14:ligatures w14:val="none"/>
        </w:rPr>
      </w:pPr>
    </w:p>
    <w:p w14:paraId="7653AC2D" w14:textId="109548FF"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Exemplo 1 – Consumo abaixo do piso com sobra de crédito:</w:t>
      </w:r>
    </w:p>
    <w:p w14:paraId="030121D4" w14:textId="7777777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 xml:space="preserve">Kr = 1800 kWh, C = 400 kWh  </w:t>
      </w:r>
    </w:p>
    <w:p w14:paraId="5D7B6FA5" w14:textId="7777777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M = 2000 × 0,88 + 0 + 45 = R$ 1.805,00</w:t>
      </w:r>
    </w:p>
    <w:p w14:paraId="670FA655" w14:textId="7CD2496A"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Exemplo 2 – Consumo acima do piso com crédito parcial:</w:t>
      </w:r>
    </w:p>
    <w:p w14:paraId="5E6CFF8A" w14:textId="7777777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 xml:space="preserve">Kr = 2300 kWh, C = 200 kWh  </w:t>
      </w:r>
    </w:p>
    <w:p w14:paraId="16944A38" w14:textId="7777777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 xml:space="preserve">Excedente = 100 kWh  </w:t>
      </w:r>
    </w:p>
    <w:p w14:paraId="51F00E33" w14:textId="7777777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M = 2000 × 0,88 + 100 × 1,10 + 45 = R$ 1.915,00</w:t>
      </w:r>
    </w:p>
    <w:p w14:paraId="015D9BCA" w14:textId="77777777" w:rsidR="00101698" w:rsidRPr="005664B9" w:rsidRDefault="00101698" w:rsidP="00101698">
      <w:pPr>
        <w:rPr>
          <w:rFonts w:ascii="Times New Roman" w:eastAsia="Times New Roman" w:hAnsi="Times New Roman" w:cs="Times New Roman"/>
          <w:kern w:val="0"/>
          <w14:ligatures w14:val="none"/>
        </w:rPr>
      </w:pPr>
    </w:p>
    <w:p w14:paraId="7F2E3F03" w14:textId="73EDDCFC"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Exemplo 3 – Consumo nulo (zero):</w:t>
      </w:r>
    </w:p>
    <w:p w14:paraId="2C3463DB" w14:textId="7777777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 xml:space="preserve">Kr = 0 kWh, C = 0  </w:t>
      </w:r>
    </w:p>
    <w:p w14:paraId="70E7A10C" w14:textId="7777777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M = 2000 × 0,88 + 0 + 45 = R$ 1.805,00</w:t>
      </w:r>
    </w:p>
    <w:p w14:paraId="65BEEAED" w14:textId="25A54BAA" w:rsidR="00101698" w:rsidRPr="005664B9" w:rsidRDefault="00101698" w:rsidP="00101698">
      <w:pPr>
        <w:rPr>
          <w:rFonts w:ascii="Times New Roman" w:eastAsia="Times New Roman" w:hAnsi="Times New Roman" w:cs="Times New Roman"/>
          <w:b/>
          <w:bCs/>
          <w:kern w:val="0"/>
          <w14:ligatures w14:val="none"/>
        </w:rPr>
      </w:pPr>
      <w:r w:rsidRPr="005664B9">
        <w:rPr>
          <w:rFonts w:ascii="Times New Roman" w:eastAsia="Times New Roman" w:hAnsi="Times New Roman" w:cs="Times New Roman"/>
          <w:b/>
          <w:bCs/>
          <w:kern w:val="0"/>
          <w14:ligatures w14:val="none"/>
        </w:rPr>
        <w:lastRenderedPageBreak/>
        <w:t>6. DISPOSIÇÕES FINAIS</w:t>
      </w:r>
    </w:p>
    <w:p w14:paraId="47BDC90B" w14:textId="77777777" w:rsidR="008971D6" w:rsidRPr="008971D6" w:rsidRDefault="00101698" w:rsidP="00101698">
      <w:pPr>
        <w:rPr>
          <w:rFonts w:ascii="Times New Roman" w:hAnsi="Times New Roman" w:cs="Times New Roman"/>
          <w:shd w:val="clear" w:color="auto" w:fill="FAFAFA"/>
        </w:rPr>
      </w:pPr>
      <w:r w:rsidRPr="008971D6">
        <w:rPr>
          <w:rFonts w:ascii="Times New Roman" w:eastAsia="Times New Roman" w:hAnsi="Times New Roman" w:cs="Times New Roman"/>
          <w:kern w:val="0"/>
          <w14:ligatures w14:val="none"/>
        </w:rPr>
        <w:t xml:space="preserve">6.1. </w:t>
      </w:r>
      <w:r w:rsidR="008971D6" w:rsidRPr="008971D6">
        <w:rPr>
          <w:rFonts w:ascii="Times New Roman" w:hAnsi="Times New Roman" w:cs="Times New Roman"/>
          <w:shd w:val="clear" w:color="auto" w:fill="FAFAFA"/>
        </w:rPr>
        <w:t>A energia contratada é estimada com base em dados históricos e técnicos médios. A geração efetiva do sistema está sujeita a variações sazonais, climáticas, técnicas e estruturais, não configurando garantia de produção mínima.</w:t>
      </w:r>
    </w:p>
    <w:p w14:paraId="5B2C6F3C" w14:textId="77777777" w:rsidR="00A669F4" w:rsidRDefault="00A669F4" w:rsidP="00101698">
      <w:pPr>
        <w:rPr>
          <w:rFonts w:ascii="Times New Roman" w:eastAsia="Times New Roman" w:hAnsi="Times New Roman" w:cs="Times New Roman"/>
          <w:kern w:val="0"/>
          <w14:ligatures w14:val="none"/>
        </w:rPr>
      </w:pPr>
      <w:r w:rsidRPr="00A669F4">
        <w:rPr>
          <w:rFonts w:ascii="Times New Roman" w:eastAsia="Times New Roman" w:hAnsi="Times New Roman" w:cs="Times New Roman"/>
          <w:kern w:val="0"/>
          <w14:ligatures w14:val="none"/>
        </w:rPr>
        <w:t>6.2. O início da cobrança da mensalidade ocorrerá nos termos da Cláusula 6 do contrato principal, após a assinatura do Termo de Aceite Técnico (Anexo VII), observado o início do primeiro ciclo completo de medição da distribuidora, salvo hipótese diversa expressamente prevista no contrato.</w:t>
      </w:r>
    </w:p>
    <w:p w14:paraId="6B957F7C" w14:textId="11509337" w:rsidR="00101698" w:rsidRDefault="00101698" w:rsidP="00101698">
      <w:pPr>
        <w:rPr>
          <w:rFonts w:ascii="Times New Roman" w:hAnsi="Times New Roman" w:cs="Times New Roman"/>
          <w:shd w:val="clear" w:color="auto" w:fill="FAFAFA"/>
        </w:rPr>
      </w:pPr>
      <w:r w:rsidRPr="005664B9">
        <w:rPr>
          <w:rFonts w:ascii="Times New Roman" w:eastAsia="Times New Roman" w:hAnsi="Times New Roman" w:cs="Times New Roman"/>
          <w:kern w:val="0"/>
          <w14:ligatures w14:val="none"/>
        </w:rPr>
        <w:t xml:space="preserve">6.3. </w:t>
      </w:r>
      <w:r w:rsidR="003D30F0" w:rsidRPr="003D30F0">
        <w:rPr>
          <w:rFonts w:ascii="Times New Roman" w:hAnsi="Times New Roman" w:cs="Times New Roman"/>
          <w:shd w:val="clear" w:color="auto" w:fill="FAFAFA"/>
        </w:rPr>
        <w:t>Em caso de conflito de interpretação entre este Anexo e o contrato principal, prevalecerão as disposições do contrato principal, ressalvadas as disposições específicas deste anexo que o contrato principal expressamente delegue.</w:t>
      </w:r>
    </w:p>
    <w:p w14:paraId="515BE262" w14:textId="77777777" w:rsidR="003D30F0" w:rsidRPr="003D30F0" w:rsidRDefault="003D30F0" w:rsidP="00101698">
      <w:pPr>
        <w:rPr>
          <w:rFonts w:ascii="Times New Roman" w:eastAsia="Times New Roman" w:hAnsi="Times New Roman" w:cs="Times New Roman"/>
          <w:kern w:val="0"/>
          <w14:ligatures w14:val="none"/>
        </w:rPr>
      </w:pPr>
    </w:p>
    <w:p w14:paraId="6148B0C1" w14:textId="49F99316"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Local e data: {{cidade}}, {{dataAtualExtenso}}</w:t>
      </w:r>
    </w:p>
    <w:p w14:paraId="3CB1CDEE" w14:textId="77777777" w:rsidR="00101698" w:rsidRPr="005664B9" w:rsidRDefault="00101698" w:rsidP="00101698">
      <w:pPr>
        <w:rPr>
          <w:rFonts w:ascii="Times New Roman" w:eastAsia="Times New Roman" w:hAnsi="Times New Roman" w:cs="Times New Roman"/>
          <w:kern w:val="0"/>
          <w14:ligatures w14:val="none"/>
        </w:rPr>
      </w:pPr>
    </w:p>
    <w:p w14:paraId="0C35F9EF" w14:textId="5A14ACC3"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 xml:space="preserve">Assinatura do CONTRATANTE: ____________________________  </w:t>
      </w:r>
    </w:p>
    <w:p w14:paraId="0DC1EA78" w14:textId="7777777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{{nomeCompleto}}</w:t>
      </w:r>
    </w:p>
    <w:p w14:paraId="634CAA40" w14:textId="77777777" w:rsidR="00101698" w:rsidRPr="005664B9" w:rsidRDefault="00101698" w:rsidP="00101698">
      <w:pPr>
        <w:rPr>
          <w:rFonts w:ascii="Times New Roman" w:eastAsia="Times New Roman" w:hAnsi="Times New Roman" w:cs="Times New Roman"/>
          <w:kern w:val="0"/>
          <w14:ligatures w14:val="none"/>
        </w:rPr>
      </w:pPr>
    </w:p>
    <w:p w14:paraId="0F2C3CFC" w14:textId="0DD32707" w:rsidR="00101698" w:rsidRPr="005664B9" w:rsidRDefault="00101698" w:rsidP="00101698">
      <w:pPr>
        <w:rPr>
          <w:rFonts w:ascii="Times New Roman" w:eastAsia="Times New Roman" w:hAnsi="Times New Roman" w:cs="Times New Roman"/>
          <w:kern w:val="0"/>
          <w14:ligatures w14:val="none"/>
        </w:rPr>
      </w:pPr>
      <w:r w:rsidRPr="005664B9">
        <w:rPr>
          <w:rFonts w:ascii="Times New Roman" w:eastAsia="Times New Roman" w:hAnsi="Times New Roman" w:cs="Times New Roman"/>
          <w:kern w:val="0"/>
          <w14:ligatures w14:val="none"/>
        </w:rPr>
        <w:t xml:space="preserve">Assinatura da CONTRATADA: ____________________________  </w:t>
      </w:r>
    </w:p>
    <w:p w14:paraId="640FDA2D" w14:textId="77777777" w:rsidR="005A5DE8" w:rsidRPr="00020979" w:rsidRDefault="005A5DE8" w:rsidP="005A5DE8">
      <w:pPr>
        <w:pStyle w:val="p1"/>
        <w:spacing w:line="276" w:lineRule="auto"/>
        <w:rPr>
          <w:b/>
          <w:bCs/>
        </w:rPr>
      </w:pPr>
      <w:r w:rsidRPr="00020979">
        <w:rPr>
          <w:b/>
          <w:bCs/>
        </w:rPr>
        <w:t>LEANDRO LIMA RIBEIRO FRANCA</w:t>
      </w:r>
      <w:r>
        <w:rPr>
          <w:b/>
          <w:bCs/>
        </w:rPr>
        <w:t>/</w:t>
      </w:r>
      <w:r w:rsidRPr="00D8094E">
        <w:rPr>
          <w:b/>
          <w:bCs/>
          <w:color w:val="000000"/>
        </w:rPr>
        <w:t>60.434.015/0001-90</w:t>
      </w:r>
    </w:p>
    <w:p w14:paraId="0C44D77C" w14:textId="47A37016" w:rsidR="00A23755" w:rsidRPr="005664B9" w:rsidRDefault="00A23755" w:rsidP="005A5DE8">
      <w:pPr>
        <w:rPr>
          <w:rFonts w:ascii="Times New Roman" w:hAnsi="Times New Roman" w:cs="Times New Roman"/>
        </w:rPr>
      </w:pPr>
    </w:p>
    <w:sectPr w:rsidR="00A23755" w:rsidRPr="005664B9" w:rsidSect="001F3484">
      <w:headerReference w:type="even" r:id="rId7"/>
      <w:headerReference w:type="default" r:id="rId8"/>
      <w:footerReference w:type="default" r:id="rId9"/>
      <w:headerReference w:type="first" r:id="rId10"/>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83F09" w14:textId="77777777" w:rsidR="00827DB4" w:rsidRDefault="00827DB4" w:rsidP="003C7F3D">
      <w:pPr>
        <w:spacing w:after="0" w:line="240" w:lineRule="auto"/>
      </w:pPr>
      <w:r>
        <w:separator/>
      </w:r>
    </w:p>
  </w:endnote>
  <w:endnote w:type="continuationSeparator" w:id="0">
    <w:p w14:paraId="5D36E3BA" w14:textId="77777777" w:rsidR="00827DB4" w:rsidRDefault="00827DB4" w:rsidP="003C7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FDA07" w14:textId="77777777" w:rsidR="00892413" w:rsidRDefault="00892413" w:rsidP="00892413">
    <w:pPr>
      <w:pStyle w:val="Footer"/>
      <w:framePr w:wrap="none" w:vAnchor="text" w:hAnchor="page" w:x="10621" w:y="122"/>
      <w:rPr>
        <w:rStyle w:val="PageNumber"/>
      </w:rPr>
    </w:pPr>
  </w:p>
  <w:p w14:paraId="543A6BEE" w14:textId="77777777" w:rsidR="00B14FAB" w:rsidRPr="00B14FAB" w:rsidRDefault="00B14FAB" w:rsidP="00B14FAB">
    <w:pPr>
      <w:pStyle w:val="p1"/>
      <w:framePr w:w="11201" w:h="1101" w:hRule="exact" w:wrap="none" w:vAnchor="text" w:hAnchor="page" w:x="461" w:y="-85"/>
      <w:rPr>
        <w:i/>
        <w:iCs/>
        <w:sz w:val="20"/>
        <w:szCs w:val="20"/>
      </w:rPr>
    </w:pPr>
    <w:r w:rsidRPr="00B14FAB">
      <w:rPr>
        <w:i/>
        <w:iCs/>
        <w:sz w:val="20"/>
        <w:szCs w:val="20"/>
      </w:rPr>
      <w:t xml:space="preserve">Este documento é assinado eletronicamente, em conformidade com a Lei nº </w:t>
    </w:r>
    <w:r w:rsidRPr="00B14FAB">
      <w:rPr>
        <w:rStyle w:val="s1"/>
        <w:rFonts w:eastAsiaTheme="majorEastAsia"/>
        <w:i/>
        <w:iCs/>
        <w:sz w:val="20"/>
        <w:szCs w:val="20"/>
      </w:rPr>
      <w:t>14.063</w:t>
    </w:r>
    <w:r w:rsidRPr="00B14FAB">
      <w:rPr>
        <w:i/>
        <w:iCs/>
        <w:sz w:val="20"/>
        <w:szCs w:val="20"/>
      </w:rPr>
      <w:t>/</w:t>
    </w:r>
    <w:r w:rsidRPr="00B14FAB">
      <w:rPr>
        <w:rStyle w:val="s1"/>
        <w:rFonts w:eastAsiaTheme="majorEastAsia"/>
        <w:i/>
        <w:iCs/>
        <w:sz w:val="20"/>
        <w:szCs w:val="20"/>
      </w:rPr>
      <w:t>2020</w:t>
    </w:r>
    <w:r w:rsidRPr="00B14FAB">
      <w:rPr>
        <w:i/>
        <w:iCs/>
        <w:sz w:val="20"/>
        <w:szCs w:val="20"/>
      </w:rPr>
      <w:t xml:space="preserve"> e com a Medida Provisória nº </w:t>
    </w:r>
    <w:r w:rsidRPr="00B14FAB">
      <w:rPr>
        <w:rStyle w:val="s1"/>
        <w:rFonts w:eastAsiaTheme="majorEastAsia"/>
        <w:i/>
        <w:iCs/>
        <w:sz w:val="20"/>
        <w:szCs w:val="20"/>
      </w:rPr>
      <w:t>2.200</w:t>
    </w:r>
    <w:r w:rsidRPr="00B14FAB">
      <w:rPr>
        <w:i/>
        <w:iCs/>
        <w:sz w:val="20"/>
        <w:szCs w:val="20"/>
      </w:rPr>
      <w:t>-</w:t>
    </w:r>
    <w:r w:rsidRPr="00B14FAB">
      <w:rPr>
        <w:rStyle w:val="s1"/>
        <w:rFonts w:eastAsiaTheme="majorEastAsia"/>
        <w:i/>
        <w:iCs/>
        <w:sz w:val="20"/>
        <w:szCs w:val="20"/>
      </w:rPr>
      <w:t>2</w:t>
    </w:r>
    <w:r w:rsidRPr="00B14FAB">
      <w:rPr>
        <w:i/>
        <w:iCs/>
        <w:sz w:val="20"/>
        <w:szCs w:val="20"/>
      </w:rPr>
      <w:t>/</w:t>
    </w:r>
    <w:r w:rsidRPr="00B14FAB">
      <w:rPr>
        <w:rStyle w:val="s1"/>
        <w:rFonts w:eastAsiaTheme="majorEastAsia"/>
        <w:i/>
        <w:iCs/>
        <w:sz w:val="20"/>
        <w:szCs w:val="20"/>
      </w:rPr>
      <w:t>2001</w:t>
    </w:r>
    <w:r w:rsidRPr="00B14FAB">
      <w:rPr>
        <w:i/>
        <w:iCs/>
        <w:sz w:val="20"/>
        <w:szCs w:val="20"/>
      </w:rPr>
      <w:t>, que institui a Infraestrutura de Chaves Públicas Brasileira – ICP-Brasil. As assinaturas eletrônicas utilizadas possuem validade jurídica e dispensam reconhecimento de firma ou assinatura presencial.</w:t>
    </w:r>
  </w:p>
  <w:p w14:paraId="0FD2564D" w14:textId="77777777" w:rsidR="00892413" w:rsidRDefault="00892413" w:rsidP="00892413">
    <w:pPr>
      <w:pStyle w:val="Footer"/>
    </w:pPr>
  </w:p>
  <w:p w14:paraId="6E499981" w14:textId="77777777" w:rsidR="00B14FAB" w:rsidRPr="008D691D" w:rsidRDefault="00B14FAB" w:rsidP="00B14FAB">
    <w:pPr>
      <w:pStyle w:val="Footer"/>
      <w:framePr w:wrap="none" w:vAnchor="text" w:hAnchor="page" w:x="10641" w:y="442"/>
      <w:ind w:right="360"/>
      <w:jc w:val="right"/>
      <w:rPr>
        <w:rFonts w:ascii="Times New Roman" w:hAnsi="Times New Roman" w:cs="Times New Roman"/>
      </w:rPr>
    </w:pPr>
    <w:r w:rsidRPr="004E58E2">
      <w:rPr>
        <w:sz w:val="20"/>
        <w:szCs w:val="20"/>
      </w:rPr>
      <w:t xml:space="preserve">Página </w:t>
    </w:r>
    <w:r w:rsidRPr="004E58E2">
      <w:rPr>
        <w:sz w:val="20"/>
        <w:szCs w:val="20"/>
      </w:rPr>
      <w:fldChar w:fldCharType="begin"/>
    </w:r>
    <w:r w:rsidRPr="004E58E2">
      <w:rPr>
        <w:sz w:val="20"/>
        <w:szCs w:val="20"/>
      </w:rPr>
      <w:instrText>PAGE</w:instrText>
    </w:r>
    <w:r w:rsidRPr="004E58E2">
      <w:rPr>
        <w:sz w:val="20"/>
        <w:szCs w:val="20"/>
      </w:rPr>
      <w:fldChar w:fldCharType="separate"/>
    </w:r>
    <w:r>
      <w:rPr>
        <w:sz w:val="20"/>
        <w:szCs w:val="20"/>
      </w:rPr>
      <w:t>1</w:t>
    </w:r>
    <w:r w:rsidRPr="004E58E2">
      <w:rPr>
        <w:sz w:val="20"/>
        <w:szCs w:val="20"/>
      </w:rPr>
      <w:fldChar w:fldCharType="end"/>
    </w:r>
    <w:r w:rsidRPr="004E58E2">
      <w:rPr>
        <w:sz w:val="20"/>
        <w:szCs w:val="20"/>
      </w:rPr>
      <w:t xml:space="preserve"> de </w:t>
    </w:r>
    <w:r w:rsidRPr="004E58E2">
      <w:rPr>
        <w:sz w:val="20"/>
        <w:szCs w:val="20"/>
      </w:rPr>
      <w:fldChar w:fldCharType="begin"/>
    </w:r>
    <w:r w:rsidRPr="004E58E2">
      <w:rPr>
        <w:sz w:val="20"/>
        <w:szCs w:val="20"/>
      </w:rPr>
      <w:instrText>NUMPAGES</w:instrText>
    </w:r>
    <w:r w:rsidRPr="004E58E2">
      <w:rPr>
        <w:sz w:val="20"/>
        <w:szCs w:val="20"/>
      </w:rPr>
      <w:fldChar w:fldCharType="separate"/>
    </w:r>
    <w:r>
      <w:rPr>
        <w:sz w:val="20"/>
        <w:szCs w:val="20"/>
      </w:rPr>
      <w:t>3</w:t>
    </w:r>
    <w:r w:rsidRPr="004E58E2">
      <w:rPr>
        <w:sz w:val="20"/>
        <w:szCs w:val="20"/>
      </w:rPr>
      <w:fldChar w:fldCharType="end"/>
    </w:r>
  </w:p>
  <w:p w14:paraId="0D711A87" w14:textId="77777777" w:rsidR="00637063" w:rsidRPr="00892413" w:rsidRDefault="00637063" w:rsidP="00892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1FA1A" w14:textId="77777777" w:rsidR="00827DB4" w:rsidRDefault="00827DB4" w:rsidP="003C7F3D">
      <w:pPr>
        <w:spacing w:after="0" w:line="240" w:lineRule="auto"/>
      </w:pPr>
      <w:r>
        <w:separator/>
      </w:r>
    </w:p>
  </w:footnote>
  <w:footnote w:type="continuationSeparator" w:id="0">
    <w:p w14:paraId="599AE0F5" w14:textId="77777777" w:rsidR="00827DB4" w:rsidRDefault="00827DB4" w:rsidP="003C7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33A17" w14:textId="5C23D32D" w:rsidR="003C7F3D" w:rsidRDefault="00827DB4">
    <w:pPr>
      <w:pStyle w:val="Header"/>
    </w:pPr>
    <w:r>
      <w:rPr>
        <w:noProof/>
      </w:rPr>
      <w:pict w14:anchorId="4FB88C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250284" o:spid="_x0000_s1027" type="#_x0000_t75" alt="" style="position:absolute;margin-left:0;margin-top:0;width:467.85pt;height:148.35pt;z-index:-251660288;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2268"/>
      <w:gridCol w:w="6372"/>
    </w:tblGrid>
    <w:tr w:rsidR="00766EEA" w:rsidRPr="00F47200" w14:paraId="6BC75032" w14:textId="77777777" w:rsidTr="005664B9">
      <w:tc>
        <w:tcPr>
          <w:tcW w:w="2268" w:type="dxa"/>
        </w:tcPr>
        <w:p w14:paraId="4B118DB1" w14:textId="77777777" w:rsidR="00766EEA" w:rsidRDefault="00766EEA" w:rsidP="00766EEA">
          <w:r>
            <w:rPr>
              <w:noProof/>
            </w:rPr>
            <w:drawing>
              <wp:inline distT="0" distB="0" distL="0" distR="0" wp14:anchorId="585C86A6" wp14:editId="70A66B23">
                <wp:extent cx="1097280" cy="347977"/>
                <wp:effectExtent l="0" t="0" r="0" b="0"/>
                <wp:docPr id="914987074" name="Picture 914987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arInvest_Logo.png"/>
                        <pic:cNvPicPr/>
                      </pic:nvPicPr>
                      <pic:blipFill>
                        <a:blip r:embed="rId1"/>
                        <a:stretch>
                          <a:fillRect/>
                        </a:stretch>
                      </pic:blipFill>
                      <pic:spPr>
                        <a:xfrm>
                          <a:off x="0" y="0"/>
                          <a:ext cx="1097280" cy="347977"/>
                        </a:xfrm>
                        <a:prstGeom prst="rect">
                          <a:avLst/>
                        </a:prstGeom>
                      </pic:spPr>
                    </pic:pic>
                  </a:graphicData>
                </a:graphic>
              </wp:inline>
            </w:drawing>
          </w:r>
        </w:p>
      </w:tc>
      <w:tc>
        <w:tcPr>
          <w:tcW w:w="6372" w:type="dxa"/>
        </w:tcPr>
        <w:p w14:paraId="687857A5" w14:textId="16A94089" w:rsidR="00766EEA" w:rsidRPr="00F47200" w:rsidRDefault="00766EEA" w:rsidP="00F77186">
          <w:pPr>
            <w:jc w:val="right"/>
          </w:pPr>
          <w:r w:rsidRPr="00F47200">
            <w:rPr>
              <w:sz w:val="18"/>
            </w:rPr>
            <w:t xml:space="preserve">CNPJ: </w:t>
          </w:r>
          <w:r>
            <w:rPr>
              <w:sz w:val="18"/>
            </w:rPr>
            <w:t>60.434.015/0001-90</w:t>
          </w:r>
          <w:r w:rsidRPr="00F47200">
            <w:rPr>
              <w:sz w:val="18"/>
            </w:rPr>
            <w:br/>
          </w:r>
          <w:r>
            <w:rPr>
              <w:sz w:val="18"/>
            </w:rPr>
            <w:t>Rua Goianaz Qd. 15 Lt.5, Conj Mirrage</w:t>
          </w:r>
          <w:r w:rsidRPr="00F47200">
            <w:rPr>
              <w:sz w:val="18"/>
            </w:rPr>
            <w:t xml:space="preserve"> – Anápolis/GO</w:t>
          </w:r>
          <w:r w:rsidR="00F77186">
            <w:rPr>
              <w:sz w:val="18"/>
            </w:rPr>
            <w:br/>
          </w:r>
          <w:r w:rsidR="00F77186" w:rsidRPr="00F77186">
            <w:rPr>
              <w:rFonts w:ascii="Times New Roman" w:eastAsia="Times New Roman" w:hAnsi="Times New Roman" w:cs="Times New Roman"/>
              <w:b/>
              <w:bCs/>
              <w:kern w:val="0"/>
              <w:sz w:val="16"/>
              <w:szCs w:val="16"/>
              <w14:ligatures w14:val="none"/>
            </w:rPr>
            <w:t>ANEXO III – REGRAS DE CÁLCULO DA MENSALIDADE</w:t>
          </w:r>
        </w:p>
      </w:tc>
    </w:tr>
  </w:tbl>
  <w:p w14:paraId="3358BE42" w14:textId="6310C6C2" w:rsidR="003C7F3D" w:rsidRDefault="00827DB4">
    <w:pPr>
      <w:pStyle w:val="Header"/>
    </w:pPr>
    <w:r>
      <w:rPr>
        <w:noProof/>
      </w:rPr>
      <w:pict w14:anchorId="242106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250285" o:spid="_x0000_s1026" type="#_x0000_t75" alt="" style="position:absolute;margin-left:0;margin-top:0;width:467.85pt;height:148.35pt;z-index:-251659264;mso-wrap-edited:f;mso-width-percent:0;mso-height-percent:0;mso-position-horizontal:center;mso-position-horizontal-relative:margin;mso-position-vertical:center;mso-position-vertical-relative:margin;mso-width-percent:0;mso-height-percent:0" o:allowincell="f">
          <v:imagedata r:id="rId2" o:title="SolarInvest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71091" w14:textId="01A211B7" w:rsidR="003C7F3D" w:rsidRDefault="00827DB4">
    <w:pPr>
      <w:pStyle w:val="Header"/>
    </w:pPr>
    <w:r>
      <w:rPr>
        <w:noProof/>
      </w:rPr>
      <w:pict w14:anchorId="17FF0A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250283" o:spid="_x0000_s1025" type="#_x0000_t75" alt="" style="position:absolute;margin-left:0;margin-top:0;width:467.85pt;height:148.35pt;z-index:-251661312;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78E2D0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540F9D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7C37586"/>
    <w:multiLevelType w:val="multilevel"/>
    <w:tmpl w:val="DE8A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23B03"/>
    <w:multiLevelType w:val="multilevel"/>
    <w:tmpl w:val="39AAB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93B8F"/>
    <w:multiLevelType w:val="multilevel"/>
    <w:tmpl w:val="2EBE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B392F"/>
    <w:multiLevelType w:val="multilevel"/>
    <w:tmpl w:val="12C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281C93"/>
    <w:multiLevelType w:val="multilevel"/>
    <w:tmpl w:val="E5CE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6478A"/>
    <w:multiLevelType w:val="multilevel"/>
    <w:tmpl w:val="6C42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D3216"/>
    <w:multiLevelType w:val="multilevel"/>
    <w:tmpl w:val="5FE2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5F6574"/>
    <w:multiLevelType w:val="multilevel"/>
    <w:tmpl w:val="ABF2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859351">
    <w:abstractNumId w:val="3"/>
  </w:num>
  <w:num w:numId="2" w16cid:durableId="1170101304">
    <w:abstractNumId w:val="9"/>
  </w:num>
  <w:num w:numId="3" w16cid:durableId="2056074714">
    <w:abstractNumId w:val="4"/>
  </w:num>
  <w:num w:numId="4" w16cid:durableId="1757284230">
    <w:abstractNumId w:val="6"/>
  </w:num>
  <w:num w:numId="5" w16cid:durableId="608390501">
    <w:abstractNumId w:val="2"/>
  </w:num>
  <w:num w:numId="6" w16cid:durableId="25103612">
    <w:abstractNumId w:val="1"/>
  </w:num>
  <w:num w:numId="7" w16cid:durableId="764107781">
    <w:abstractNumId w:val="0"/>
  </w:num>
  <w:num w:numId="8" w16cid:durableId="497891729">
    <w:abstractNumId w:val="8"/>
  </w:num>
  <w:num w:numId="9" w16cid:durableId="1748846040">
    <w:abstractNumId w:val="5"/>
  </w:num>
  <w:num w:numId="10" w16cid:durableId="6598485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484"/>
    <w:rsid w:val="00006575"/>
    <w:rsid w:val="000259EB"/>
    <w:rsid w:val="00041733"/>
    <w:rsid w:val="0004777C"/>
    <w:rsid w:val="00056C48"/>
    <w:rsid w:val="0009205B"/>
    <w:rsid w:val="00097262"/>
    <w:rsid w:val="000A2E57"/>
    <w:rsid w:val="000B1F32"/>
    <w:rsid w:val="000E142B"/>
    <w:rsid w:val="00101698"/>
    <w:rsid w:val="0012505A"/>
    <w:rsid w:val="00153EEE"/>
    <w:rsid w:val="001C23C4"/>
    <w:rsid w:val="001F3484"/>
    <w:rsid w:val="002002CB"/>
    <w:rsid w:val="002005E5"/>
    <w:rsid w:val="0020738A"/>
    <w:rsid w:val="00272953"/>
    <w:rsid w:val="00275458"/>
    <w:rsid w:val="002853F7"/>
    <w:rsid w:val="00293354"/>
    <w:rsid w:val="002A347C"/>
    <w:rsid w:val="002E06ED"/>
    <w:rsid w:val="0037262B"/>
    <w:rsid w:val="003A5168"/>
    <w:rsid w:val="003C7F3D"/>
    <w:rsid w:val="003D30F0"/>
    <w:rsid w:val="0041162A"/>
    <w:rsid w:val="004232F7"/>
    <w:rsid w:val="00441FDE"/>
    <w:rsid w:val="00451A41"/>
    <w:rsid w:val="00482B50"/>
    <w:rsid w:val="00483805"/>
    <w:rsid w:val="004A6771"/>
    <w:rsid w:val="004B19F6"/>
    <w:rsid w:val="004D6816"/>
    <w:rsid w:val="005045A6"/>
    <w:rsid w:val="005220DB"/>
    <w:rsid w:val="005664B9"/>
    <w:rsid w:val="00571A5C"/>
    <w:rsid w:val="005A2A50"/>
    <w:rsid w:val="005A5DE8"/>
    <w:rsid w:val="005E3D14"/>
    <w:rsid w:val="005E678D"/>
    <w:rsid w:val="00637063"/>
    <w:rsid w:val="0068267E"/>
    <w:rsid w:val="006D6CBD"/>
    <w:rsid w:val="006D7EDE"/>
    <w:rsid w:val="006E23BA"/>
    <w:rsid w:val="006F2DF5"/>
    <w:rsid w:val="00734119"/>
    <w:rsid w:val="00751C28"/>
    <w:rsid w:val="00754839"/>
    <w:rsid w:val="00766E62"/>
    <w:rsid w:val="00766EEA"/>
    <w:rsid w:val="007A1F55"/>
    <w:rsid w:val="007C5F2A"/>
    <w:rsid w:val="007D0347"/>
    <w:rsid w:val="007D3B66"/>
    <w:rsid w:val="008076AB"/>
    <w:rsid w:val="00827DB4"/>
    <w:rsid w:val="00886639"/>
    <w:rsid w:val="00892413"/>
    <w:rsid w:val="008971D6"/>
    <w:rsid w:val="008B5E73"/>
    <w:rsid w:val="008B6BFC"/>
    <w:rsid w:val="009110CD"/>
    <w:rsid w:val="00945628"/>
    <w:rsid w:val="0098440B"/>
    <w:rsid w:val="009B6B6A"/>
    <w:rsid w:val="00A23755"/>
    <w:rsid w:val="00A31755"/>
    <w:rsid w:val="00A669F4"/>
    <w:rsid w:val="00AB3AF5"/>
    <w:rsid w:val="00AC07DB"/>
    <w:rsid w:val="00B14FAB"/>
    <w:rsid w:val="00BB0AD3"/>
    <w:rsid w:val="00BE7A19"/>
    <w:rsid w:val="00BF108A"/>
    <w:rsid w:val="00C64484"/>
    <w:rsid w:val="00C669C6"/>
    <w:rsid w:val="00C952EF"/>
    <w:rsid w:val="00C97462"/>
    <w:rsid w:val="00CA3E2A"/>
    <w:rsid w:val="00CA468F"/>
    <w:rsid w:val="00CC4F68"/>
    <w:rsid w:val="00D34E10"/>
    <w:rsid w:val="00DE2012"/>
    <w:rsid w:val="00DF5931"/>
    <w:rsid w:val="00E3795D"/>
    <w:rsid w:val="00E44DFA"/>
    <w:rsid w:val="00E74FE1"/>
    <w:rsid w:val="00E753A6"/>
    <w:rsid w:val="00E76C35"/>
    <w:rsid w:val="00EB0763"/>
    <w:rsid w:val="00EB7751"/>
    <w:rsid w:val="00EB7C7B"/>
    <w:rsid w:val="00ED1E67"/>
    <w:rsid w:val="00F16B8C"/>
    <w:rsid w:val="00F17DE2"/>
    <w:rsid w:val="00F32C50"/>
    <w:rsid w:val="00F5230C"/>
    <w:rsid w:val="00F77186"/>
    <w:rsid w:val="00F907F3"/>
    <w:rsid w:val="00FA12DB"/>
    <w:rsid w:val="00FA2FB1"/>
    <w:rsid w:val="00FB7BBF"/>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BED30"/>
  <w15:chartTrackingRefBased/>
  <w15:docId w15:val="{F10BEB1B-9137-D846-859D-A676A7670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44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4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4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4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4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44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4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4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484"/>
    <w:rPr>
      <w:rFonts w:eastAsiaTheme="majorEastAsia" w:cstheme="majorBidi"/>
      <w:color w:val="272727" w:themeColor="text1" w:themeTint="D8"/>
    </w:rPr>
  </w:style>
  <w:style w:type="paragraph" w:styleId="Title">
    <w:name w:val="Title"/>
    <w:basedOn w:val="Normal"/>
    <w:next w:val="Normal"/>
    <w:link w:val="TitleChar"/>
    <w:uiPriority w:val="10"/>
    <w:qFormat/>
    <w:rsid w:val="00C64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484"/>
    <w:pPr>
      <w:spacing w:before="160"/>
      <w:jc w:val="center"/>
    </w:pPr>
    <w:rPr>
      <w:i/>
      <w:iCs/>
      <w:color w:val="404040" w:themeColor="text1" w:themeTint="BF"/>
    </w:rPr>
  </w:style>
  <w:style w:type="character" w:customStyle="1" w:styleId="QuoteChar">
    <w:name w:val="Quote Char"/>
    <w:basedOn w:val="DefaultParagraphFont"/>
    <w:link w:val="Quote"/>
    <w:uiPriority w:val="29"/>
    <w:rsid w:val="00C64484"/>
    <w:rPr>
      <w:i/>
      <w:iCs/>
      <w:color w:val="404040" w:themeColor="text1" w:themeTint="BF"/>
    </w:rPr>
  </w:style>
  <w:style w:type="paragraph" w:styleId="ListParagraph">
    <w:name w:val="List Paragraph"/>
    <w:basedOn w:val="Normal"/>
    <w:uiPriority w:val="34"/>
    <w:qFormat/>
    <w:rsid w:val="00C64484"/>
    <w:pPr>
      <w:ind w:left="720"/>
      <w:contextualSpacing/>
    </w:pPr>
  </w:style>
  <w:style w:type="character" w:styleId="IntenseEmphasis">
    <w:name w:val="Intense Emphasis"/>
    <w:basedOn w:val="DefaultParagraphFont"/>
    <w:uiPriority w:val="21"/>
    <w:qFormat/>
    <w:rsid w:val="00C64484"/>
    <w:rPr>
      <w:i/>
      <w:iCs/>
      <w:color w:val="0F4761" w:themeColor="accent1" w:themeShade="BF"/>
    </w:rPr>
  </w:style>
  <w:style w:type="paragraph" w:styleId="IntenseQuote">
    <w:name w:val="Intense Quote"/>
    <w:basedOn w:val="Normal"/>
    <w:next w:val="Normal"/>
    <w:link w:val="IntenseQuoteChar"/>
    <w:uiPriority w:val="30"/>
    <w:qFormat/>
    <w:rsid w:val="00C64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484"/>
    <w:rPr>
      <w:i/>
      <w:iCs/>
      <w:color w:val="0F4761" w:themeColor="accent1" w:themeShade="BF"/>
    </w:rPr>
  </w:style>
  <w:style w:type="character" w:styleId="IntenseReference">
    <w:name w:val="Intense Reference"/>
    <w:basedOn w:val="DefaultParagraphFont"/>
    <w:uiPriority w:val="32"/>
    <w:qFormat/>
    <w:rsid w:val="00C64484"/>
    <w:rPr>
      <w:b/>
      <w:bCs/>
      <w:smallCaps/>
      <w:color w:val="0F4761" w:themeColor="accent1" w:themeShade="BF"/>
      <w:spacing w:val="5"/>
    </w:rPr>
  </w:style>
  <w:style w:type="paragraph" w:styleId="NormalWeb">
    <w:name w:val="Normal (Web)"/>
    <w:basedOn w:val="Normal"/>
    <w:uiPriority w:val="99"/>
    <w:unhideWhenUsed/>
    <w:rsid w:val="00C64484"/>
    <w:pPr>
      <w:spacing w:before="100" w:beforeAutospacing="1" w:after="100" w:afterAutospacing="1" w:line="240" w:lineRule="auto"/>
    </w:pPr>
    <w:rPr>
      <w:rFonts w:ascii="Times New Roman" w:eastAsia="Times New Roman" w:hAnsi="Times New Roman" w:cs="Times New Roman"/>
      <w:kern w:val="0"/>
      <w:lang w:val="pt-BR" w:eastAsia="pt-BR"/>
      <w14:ligatures w14:val="none"/>
    </w:rPr>
  </w:style>
  <w:style w:type="paragraph" w:customStyle="1" w:styleId="p1">
    <w:name w:val="p1"/>
    <w:basedOn w:val="Normal"/>
    <w:rsid w:val="00C6448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C64484"/>
  </w:style>
  <w:style w:type="paragraph" w:customStyle="1" w:styleId="p2">
    <w:name w:val="p2"/>
    <w:basedOn w:val="Normal"/>
    <w:rsid w:val="00C6448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C6448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C6448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C64484"/>
  </w:style>
  <w:style w:type="paragraph" w:styleId="Header">
    <w:name w:val="header"/>
    <w:basedOn w:val="Normal"/>
    <w:link w:val="HeaderChar"/>
    <w:uiPriority w:val="99"/>
    <w:unhideWhenUsed/>
    <w:rsid w:val="003C7F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7F3D"/>
  </w:style>
  <w:style w:type="paragraph" w:styleId="Footer">
    <w:name w:val="footer"/>
    <w:basedOn w:val="Normal"/>
    <w:link w:val="FooterChar"/>
    <w:uiPriority w:val="99"/>
    <w:unhideWhenUsed/>
    <w:rsid w:val="003C7F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7F3D"/>
  </w:style>
  <w:style w:type="character" w:styleId="PageNumber">
    <w:name w:val="page number"/>
    <w:basedOn w:val="DefaultParagraphFont"/>
    <w:uiPriority w:val="99"/>
    <w:semiHidden/>
    <w:unhideWhenUsed/>
    <w:rsid w:val="00892413"/>
  </w:style>
  <w:style w:type="paragraph" w:styleId="ListBullet">
    <w:name w:val="List Bullet"/>
    <w:basedOn w:val="Normal"/>
    <w:uiPriority w:val="99"/>
    <w:unhideWhenUsed/>
    <w:rsid w:val="0012505A"/>
    <w:pPr>
      <w:numPr>
        <w:numId w:val="6"/>
      </w:numPr>
      <w:tabs>
        <w:tab w:val="clear" w:pos="360"/>
      </w:tabs>
      <w:spacing w:after="200" w:line="276" w:lineRule="auto"/>
      <w:contextualSpacing/>
    </w:pPr>
    <w:rPr>
      <w:rFonts w:eastAsiaTheme="minorEastAsia"/>
      <w:kern w:val="0"/>
      <w:sz w:val="22"/>
      <w:szCs w:val="22"/>
      <w:lang w:val="en-US"/>
      <w14:ligatures w14:val="none"/>
    </w:rPr>
  </w:style>
  <w:style w:type="paragraph" w:styleId="ListNumber">
    <w:name w:val="List Number"/>
    <w:basedOn w:val="Normal"/>
    <w:uiPriority w:val="99"/>
    <w:unhideWhenUsed/>
    <w:rsid w:val="00A23755"/>
    <w:pPr>
      <w:numPr>
        <w:numId w:val="7"/>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5</Pages>
  <Words>1159</Words>
  <Characters>6607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franca</dc:creator>
  <cp:keywords/>
  <dc:description/>
  <cp:lastModifiedBy>Leandro Franca</cp:lastModifiedBy>
  <cp:revision>81</cp:revision>
  <dcterms:created xsi:type="dcterms:W3CDTF">2025-09-23T01:01:00Z</dcterms:created>
  <dcterms:modified xsi:type="dcterms:W3CDTF">2026-03-13T15:26:00Z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2025-09-23T01:13:47Z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e4f5f115-52e6-4028-b573-b32191bab747</vt:lpwstr>
  </property>
  <property fmtid="{D5CDD505-2E9C-101B-9397-08002B2CF9AE}" pid="7" name="MSIP_Label_defa4170-0d19-0005-0004-bc88714345d2_ActionId">
    <vt:lpwstr>79e94240-d908-4bc5-857a-4ff352999a10</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