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9A8F6" w14:textId="77777777" w:rsidR="00101698" w:rsidRPr="005664B9" w:rsidRDefault="00101698" w:rsidP="0010169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ANEXO III – REGRAS DE CÁLCULO DA MENSALIDADE</w:t>
      </w:r>
    </w:p>
    <w:p w14:paraId="3C2B70A5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(Parte integrante e indissociável do Contrato de Leasing de Sistema Fotovoltaico)</w:t>
      </w:r>
    </w:p>
    <w:p w14:paraId="698D3970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E1732C" w14:textId="77777777" w:rsidR="00101698" w:rsidRPr="005664B9" w:rsidRDefault="00101698" w:rsidP="0010169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OBJETIVO</w:t>
      </w:r>
    </w:p>
    <w:p w14:paraId="39989286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Este Anexo define a metodologia de cálculo da mensalidade devida pelo CONTRATANTE, com base na energia contratada (Kc), consumo real (Kr), tarifas públicas e encargos incidentes, conforme previsto no contrato principal.</w:t>
      </w:r>
    </w:p>
    <w:p w14:paraId="2D3A040F" w14:textId="77777777" w:rsidR="00101698" w:rsidRPr="005664B9" w:rsidRDefault="00101698" w:rsidP="0010169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5BA8413" w14:textId="77777777" w:rsidR="00101698" w:rsidRPr="005664B9" w:rsidRDefault="00101698" w:rsidP="0010169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FÓRMULA DA MENSALIDADE</w:t>
      </w:r>
    </w:p>
    <w:p w14:paraId="0FFE3D6D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A mensalidade mensal (M) será calculada conforme a seguinte fórmula:</w:t>
      </w:r>
    </w:p>
    <w:p w14:paraId="0B72F3BB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M = Kc × Tc + MAX(0; Kr − Kc − C) × T + E</w:t>
      </w:r>
    </w:p>
    <w:p w14:paraId="2A50A17A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Onde:</w:t>
      </w:r>
    </w:p>
    <w:p w14:paraId="724F84EF" w14:textId="354F061B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 Kc:</w:t>
      </w: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 Energia contratada (kWh/mês)</w:t>
      </w:r>
    </w:p>
    <w:p w14:paraId="6FABA6D4" w14:textId="5D7EF196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 Tc:</w:t>
      </w: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 Tarifa com desconto aplicada ao piso contratado (R$/kWh)</w:t>
      </w:r>
    </w:p>
    <w:p w14:paraId="272C0356" w14:textId="2F234900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 Kr:</w:t>
      </w: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 Consumo real da unidade no mês (kWh)</w:t>
      </w:r>
    </w:p>
    <w:p w14:paraId="5E88B882" w14:textId="7BB1A8E1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 C:</w:t>
      </w: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 Créditos de energia utilizados para compensação no mês (kWh)</w:t>
      </w:r>
    </w:p>
    <w:p w14:paraId="3E1B2AE5" w14:textId="365C7634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 T:</w:t>
      </w: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 Tarifa da distribuidora local vigente (R$/kWh)</w:t>
      </w:r>
    </w:p>
    <w:p w14:paraId="33495A99" w14:textId="0825E829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 E:</w:t>
      </w: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 Encargos adicionais não compensáveis, conforme item 3.2</w:t>
      </w:r>
    </w:p>
    <w:p w14:paraId="20257D65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484F0D" w14:textId="77777777" w:rsidR="00101698" w:rsidRPr="005664B9" w:rsidRDefault="00101698" w:rsidP="0010169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DEFINIÇÕES E REGRAS OPERACIONAIS</w:t>
      </w:r>
    </w:p>
    <w:p w14:paraId="10959576" w14:textId="15BA73E8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3.1. Créditos de Energia</w:t>
      </w:r>
    </w:p>
    <w:p w14:paraId="15CC8809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Os créditos de energia gerados pela usina são operados e gerenciados pela CONTRATADA.</w:t>
      </w:r>
    </w:p>
    <w:p w14:paraId="628B6BFA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Enquanto o CONTRATANTE estiver adimplente, os créditos serão utilizados exclusivamente em seu benefício, conforme as regras deste contrato.</w:t>
      </w:r>
    </w:p>
    <w:p w14:paraId="19BA4431" w14:textId="33013DAC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Em caso de inadimplência, nos termos das Cláusulas 8 e 10 do contrato, os créditos poderão ser retidos, realocados ou redistribuídos pela CONTRATADA, sem compensação retroativa, até a regularização dos débitos.</w:t>
      </w:r>
    </w:p>
    <w:p w14:paraId="61A8139B" w14:textId="25384FF0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3.2. Encargos (E)</w:t>
      </w:r>
    </w:p>
    <w:p w14:paraId="4448B9C6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São considerados encargos não compensáveis os valores cobrados pela distribuidora que não são compensados pelos créditos de energia, incluindo, mas não se limitando a:</w:t>
      </w:r>
    </w:p>
    <w:p w14:paraId="350BCCD4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Bandeiras tarifárias;</w:t>
      </w:r>
    </w:p>
    <w:p w14:paraId="20BDAA13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CIP (Contribuição de Iluminação Pública);</w:t>
      </w:r>
    </w:p>
    <w:p w14:paraId="27325234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TUSD/Fio B;</w:t>
      </w:r>
    </w:p>
    <w:p w14:paraId="50884A50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Taxas e encargos setoriais;</w:t>
      </w:r>
    </w:p>
    <w:p w14:paraId="1797CC76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Refaturamentos e tributos incidentes.</w:t>
      </w:r>
    </w:p>
    <w:p w14:paraId="358B85D6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9A3AB5" w14:textId="427DF096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3.3.</w:t>
      </w:r>
      <w:r w:rsidR="00E74FE1"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Ajuste Automático de Kc</w:t>
      </w:r>
    </w:p>
    <w:p w14:paraId="68F2C798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A CONTRATADA poderá revisar, de forma unilateral e motivada, o valor de Kc, mediante constatação técnica de:</w:t>
      </w:r>
    </w:p>
    <w:p w14:paraId="44DFFD71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Geração permanentemente inferior à estimativa inicial;</w:t>
      </w:r>
    </w:p>
    <w:p w14:paraId="600AAF1E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Limitações estruturais, sombreamento ou fatores externos permanentes;</w:t>
      </w:r>
    </w:p>
    <w:p w14:paraId="14ECEE4A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Alterações da concessionária ou mudanças regulatórias;</w:t>
      </w:r>
    </w:p>
    <w:p w14:paraId="607E3EEF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Solicitação do próprio CONTRATANTE.</w:t>
      </w:r>
    </w:p>
    <w:p w14:paraId="6FE3252F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O novo valor de Kc passará a ser considerado para cálculo das mensalidades seguintes, sem necessidade de aditivo contratual e sem gerar direito a rescisão, desconto ou compensação.</w:t>
      </w:r>
    </w:p>
    <w:p w14:paraId="7816698B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DBE1E0" w14:textId="77777777" w:rsidR="00101698" w:rsidRPr="005664B9" w:rsidRDefault="00101698" w:rsidP="0010169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REAJUSTES</w:t>
      </w:r>
    </w:p>
    <w:p w14:paraId="247502E7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FD180F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As tarifas públicas de referência (T e Tc) serão atualizadas automaticamente, sempre que houver:</w:t>
      </w:r>
    </w:p>
    <w:p w14:paraId="0390BD83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Publicação de novos valores homologados pela ANEEL ou distribuidora local;</w:t>
      </w:r>
    </w:p>
    <w:p w14:paraId="62C2F7B2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Alterações nos tributos ou encargos que componham a tarifa final.</w:t>
      </w:r>
    </w:p>
    <w:p w14:paraId="3625D8B3" w14:textId="0010815C" w:rsidR="00101698" w:rsidRPr="00A31755" w:rsidRDefault="00A31755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31755">
        <w:rPr>
          <w:rFonts w:ascii="Times New Roman" w:hAnsi="Times New Roman" w:cs="Times New Roman"/>
          <w:shd w:val="clear" w:color="auto" w:fill="FAFAFA"/>
        </w:rPr>
        <w:t>O reajuste será aplicado de forma imediata e proporcional, sem necessidade de notificação individual ou aditamento contratual, sendo considerado para cálculo das mensalidades seguintes, sem gerar direito a rescisão, desconto ou compensação.</w:t>
      </w:r>
    </w:p>
    <w:p w14:paraId="64F70F36" w14:textId="77777777" w:rsidR="00101698" w:rsidRPr="005664B9" w:rsidRDefault="00101698" w:rsidP="0010169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5. EXEMPLOS ILUSTRATIVOS</w:t>
      </w:r>
    </w:p>
    <w:p w14:paraId="6C3CDAC6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(Para fins ilustrativos. Os valores não representam garantias ou promessas contratuais.)</w:t>
      </w:r>
    </w:p>
    <w:p w14:paraId="75A1D955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1B9860" w14:textId="13A9B8BA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Parâmetros base:</w:t>
      </w:r>
    </w:p>
    <w:p w14:paraId="06B17684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Kc = 2000 kWh</w:t>
      </w:r>
    </w:p>
    <w:p w14:paraId="611C5F0C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Tc = R$ 0,88/kWh</w:t>
      </w:r>
    </w:p>
    <w:p w14:paraId="187738F0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T = R$ 1,10/kWh</w:t>
      </w:r>
    </w:p>
    <w:p w14:paraId="30D0000B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E = R$ 45,00</w:t>
      </w:r>
    </w:p>
    <w:p w14:paraId="369E69F5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53AC2D" w14:textId="109548FF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Exemplo 1 – Consumo abaixo do piso com sobra de crédito:</w:t>
      </w:r>
    </w:p>
    <w:p w14:paraId="030121D4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Kr = 1800 kWh, C = 400 kWh  </w:t>
      </w:r>
    </w:p>
    <w:p w14:paraId="5D7B6FA5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M = 2000 × 0,88 + 0 + 45 = R$ 1.805,00</w:t>
      </w:r>
    </w:p>
    <w:p w14:paraId="6376FE88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0FA655" w14:textId="7CD2496A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Exemplo 2 – Consumo acima do piso com crédito parcial:</w:t>
      </w:r>
    </w:p>
    <w:p w14:paraId="5E6CFF8A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Kr = 2300 kWh, C = 200 kWh  </w:t>
      </w:r>
    </w:p>
    <w:p w14:paraId="16944A38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Excedente = 100 kWh  </w:t>
      </w:r>
    </w:p>
    <w:p w14:paraId="51F00E33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M = 2000 × 0,88 + 100 × 1,10 + 45 = R$ 1.915,00</w:t>
      </w:r>
    </w:p>
    <w:p w14:paraId="015D9BCA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2E3F03" w14:textId="73EDDCFC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Exemplo 3 – Consumo nulo (zero):</w:t>
      </w:r>
    </w:p>
    <w:p w14:paraId="2C3463DB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Kr = 0 kWh, C = 0  </w:t>
      </w:r>
    </w:p>
    <w:p w14:paraId="70E7A10C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M = 2000 × 0,88 + 0 + 45 = R$ 1.805,00</w:t>
      </w:r>
    </w:p>
    <w:p w14:paraId="011A370F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BEEAED" w14:textId="77777777" w:rsidR="00101698" w:rsidRPr="005664B9" w:rsidRDefault="00101698" w:rsidP="0010169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DISPOSIÇÕES FINAIS</w:t>
      </w:r>
    </w:p>
    <w:p w14:paraId="47BDC90B" w14:textId="77777777" w:rsidR="008971D6" w:rsidRPr="008971D6" w:rsidRDefault="00101698" w:rsidP="00101698">
      <w:pPr>
        <w:rPr>
          <w:rFonts w:ascii="Times New Roman" w:hAnsi="Times New Roman" w:cs="Times New Roman"/>
          <w:shd w:val="clear" w:color="auto" w:fill="FAFAFA"/>
        </w:rPr>
      </w:pPr>
      <w:r w:rsidRPr="008971D6">
        <w:rPr>
          <w:rFonts w:ascii="Times New Roman" w:eastAsia="Times New Roman" w:hAnsi="Times New Roman" w:cs="Times New Roman"/>
          <w:kern w:val="0"/>
          <w14:ligatures w14:val="none"/>
        </w:rPr>
        <w:t xml:space="preserve">6.1. </w:t>
      </w:r>
      <w:r w:rsidR="008971D6" w:rsidRPr="008971D6">
        <w:rPr>
          <w:rFonts w:ascii="Times New Roman" w:hAnsi="Times New Roman" w:cs="Times New Roman"/>
          <w:shd w:val="clear" w:color="auto" w:fill="FAFAFA"/>
        </w:rPr>
        <w:t>A energia contratada é estimada com base em dados históricos e técnicos médios. A geração efetiva do sistema está sujeita a variações sazonais, climáticas, técnicas e estruturais, não configurando garantia de produção mínima.</w:t>
      </w:r>
    </w:p>
    <w:p w14:paraId="4E028AB2" w14:textId="1268562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6.2. O início da cobrança da mensalidade ocorrerá nos termos da Cláusula 5 do contrato principal, após a assinatura do Termo de Aceite Técnico (Anexo VII).</w:t>
      </w:r>
    </w:p>
    <w:p w14:paraId="6B957F7C" w14:textId="52BD3D2A" w:rsidR="00101698" w:rsidRDefault="00101698" w:rsidP="00101698">
      <w:pPr>
        <w:rPr>
          <w:rFonts w:ascii="Times New Roman" w:hAnsi="Times New Roman" w:cs="Times New Roman"/>
          <w:shd w:val="clear" w:color="auto" w:fill="FAFAFA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6.3. </w:t>
      </w:r>
      <w:r w:rsidR="003D30F0" w:rsidRPr="003D30F0">
        <w:rPr>
          <w:rFonts w:ascii="Times New Roman" w:hAnsi="Times New Roman" w:cs="Times New Roman"/>
          <w:shd w:val="clear" w:color="auto" w:fill="FAFAFA"/>
        </w:rPr>
        <w:t>Em caso de conflito de interpretação entre este Anexo e o contrato principal, prevalecerão as disposições do contrato principal, ressalvadas as disposições específicas deste anexo que o contrato principal expressamente delegue.</w:t>
      </w:r>
    </w:p>
    <w:p w14:paraId="515BE262" w14:textId="77777777" w:rsidR="003D30F0" w:rsidRPr="003D30F0" w:rsidRDefault="003D30F0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48B0C1" w14:textId="49F99316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Local e data: {{cidade}}, {{dataAtualExtenso}}</w:t>
      </w:r>
    </w:p>
    <w:p w14:paraId="3CB1CDEE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35F9EF" w14:textId="5A14ACC3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Assinatura do CONTRATANTE: ____________________________  </w:t>
      </w:r>
    </w:p>
    <w:p w14:paraId="0DC1EA78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{{nomeCompleto}}</w:t>
      </w:r>
    </w:p>
    <w:p w14:paraId="634CAA40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2C3CFC" w14:textId="0DD3270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Assinatura da CONTRATADA: ____________________________  </w:t>
      </w:r>
    </w:p>
    <w:p w14:paraId="640FDA2D" w14:textId="77777777" w:rsidR="005A5DE8" w:rsidRPr="00020979" w:rsidRDefault="005A5DE8" w:rsidP="005A5DE8">
      <w:pPr>
        <w:pStyle w:val="p1"/>
        <w:spacing w:line="276" w:lineRule="auto"/>
        <w:rPr>
          <w:b/>
          <w:bCs/>
        </w:rPr>
      </w:pPr>
      <w:r w:rsidRPr="00020979">
        <w:rPr>
          <w:b/>
          <w:bCs/>
        </w:rPr>
        <w:t>LEANDRO LIMA RIBEIRO FRANCA</w:t>
      </w:r>
      <w:r>
        <w:rPr>
          <w:b/>
          <w:bCs/>
        </w:rPr>
        <w:t>/</w:t>
      </w:r>
      <w:r w:rsidRPr="00D8094E">
        <w:rPr>
          <w:b/>
          <w:bCs/>
          <w:color w:val="000000"/>
        </w:rPr>
        <w:t>60.434.015/0001-90</w:t>
      </w:r>
    </w:p>
    <w:p w14:paraId="0C44D77C" w14:textId="47A37016" w:rsidR="00A23755" w:rsidRPr="005664B9" w:rsidRDefault="00A23755" w:rsidP="005A5DE8">
      <w:pPr>
        <w:rPr>
          <w:rFonts w:ascii="Times New Roman" w:hAnsi="Times New Roman" w:cs="Times New Roman"/>
        </w:rPr>
      </w:pPr>
    </w:p>
    <w:sectPr w:rsidR="00A23755" w:rsidRPr="005664B9" w:rsidSect="001F3484">
      <w:headerReference w:type="even" r:id="rId7"/>
      <w:headerReference w:type="default" r:id="rId8"/>
      <w:footerReference w:type="default" r:id="rId9"/>
      <w:headerReference w:type="first" r:id="rId10"/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79AB8" w14:textId="77777777" w:rsidR="004232F7" w:rsidRDefault="004232F7" w:rsidP="003C7F3D">
      <w:pPr>
        <w:spacing w:after="0" w:line="240" w:lineRule="auto"/>
      </w:pPr>
      <w:r>
        <w:separator/>
      </w:r>
    </w:p>
  </w:endnote>
  <w:endnote w:type="continuationSeparator" w:id="0">
    <w:p w14:paraId="416B21AC" w14:textId="77777777" w:rsidR="004232F7" w:rsidRDefault="004232F7" w:rsidP="003C7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FDA07" w14:textId="77777777" w:rsidR="00892413" w:rsidRDefault="00892413" w:rsidP="00892413">
    <w:pPr>
      <w:pStyle w:val="Footer"/>
      <w:framePr w:wrap="none" w:vAnchor="text" w:hAnchor="page" w:x="10621" w:y="122"/>
      <w:rPr>
        <w:rStyle w:val="PageNumber"/>
      </w:rPr>
    </w:pPr>
  </w:p>
  <w:p w14:paraId="543A6BEE" w14:textId="77777777" w:rsidR="00B14FAB" w:rsidRPr="00B14FAB" w:rsidRDefault="00B14FAB" w:rsidP="00B14FAB">
    <w:pPr>
      <w:pStyle w:val="p1"/>
      <w:framePr w:w="11201" w:h="1101" w:hRule="exact" w:wrap="none" w:vAnchor="text" w:hAnchor="page" w:x="461" w:y="-85"/>
      <w:rPr>
        <w:i/>
        <w:iCs/>
        <w:sz w:val="20"/>
        <w:szCs w:val="20"/>
      </w:rPr>
    </w:pPr>
    <w:r w:rsidRPr="00B14FAB">
      <w:rPr>
        <w:i/>
        <w:iCs/>
        <w:sz w:val="20"/>
        <w:szCs w:val="20"/>
      </w:rPr>
      <w:t xml:space="preserve">Este documento é assinado eletronicamente, em conformidade com a Lei nº </w:t>
    </w:r>
    <w:r w:rsidRPr="00B14FAB">
      <w:rPr>
        <w:rStyle w:val="s1"/>
        <w:rFonts w:eastAsiaTheme="majorEastAsia"/>
        <w:i/>
        <w:iCs/>
        <w:sz w:val="20"/>
        <w:szCs w:val="20"/>
      </w:rPr>
      <w:t>14.063</w:t>
    </w:r>
    <w:r w:rsidRPr="00B14FAB">
      <w:rPr>
        <w:i/>
        <w:iCs/>
        <w:sz w:val="20"/>
        <w:szCs w:val="20"/>
      </w:rPr>
      <w:t>/</w:t>
    </w:r>
    <w:r w:rsidRPr="00B14FAB">
      <w:rPr>
        <w:rStyle w:val="s1"/>
        <w:rFonts w:eastAsiaTheme="majorEastAsia"/>
        <w:i/>
        <w:iCs/>
        <w:sz w:val="20"/>
        <w:szCs w:val="20"/>
      </w:rPr>
      <w:t>2020</w:t>
    </w:r>
    <w:r w:rsidRPr="00B14FAB">
      <w:rPr>
        <w:i/>
        <w:iCs/>
        <w:sz w:val="20"/>
        <w:szCs w:val="20"/>
      </w:rPr>
      <w:t xml:space="preserve"> e com a Medida Provisória nº </w:t>
    </w:r>
    <w:r w:rsidRPr="00B14FAB">
      <w:rPr>
        <w:rStyle w:val="s1"/>
        <w:rFonts w:eastAsiaTheme="majorEastAsia"/>
        <w:i/>
        <w:iCs/>
        <w:sz w:val="20"/>
        <w:szCs w:val="20"/>
      </w:rPr>
      <w:t>2.200</w:t>
    </w:r>
    <w:r w:rsidRPr="00B14FAB">
      <w:rPr>
        <w:i/>
        <w:iCs/>
        <w:sz w:val="20"/>
        <w:szCs w:val="20"/>
      </w:rPr>
      <w:t>-</w:t>
    </w:r>
    <w:r w:rsidRPr="00B14FAB">
      <w:rPr>
        <w:rStyle w:val="s1"/>
        <w:rFonts w:eastAsiaTheme="majorEastAsia"/>
        <w:i/>
        <w:iCs/>
        <w:sz w:val="20"/>
        <w:szCs w:val="20"/>
      </w:rPr>
      <w:t>2</w:t>
    </w:r>
    <w:r w:rsidRPr="00B14FAB">
      <w:rPr>
        <w:i/>
        <w:iCs/>
        <w:sz w:val="20"/>
        <w:szCs w:val="20"/>
      </w:rPr>
      <w:t>/</w:t>
    </w:r>
    <w:r w:rsidRPr="00B14FAB">
      <w:rPr>
        <w:rStyle w:val="s1"/>
        <w:rFonts w:eastAsiaTheme="majorEastAsia"/>
        <w:i/>
        <w:iCs/>
        <w:sz w:val="20"/>
        <w:szCs w:val="20"/>
      </w:rPr>
      <w:t>2001</w:t>
    </w:r>
    <w:r w:rsidRPr="00B14FAB">
      <w:rPr>
        <w:i/>
        <w:iCs/>
        <w:sz w:val="20"/>
        <w:szCs w:val="20"/>
      </w:rPr>
      <w:t>, que institui a Infraestrutura de Chaves Públicas Brasileira – ICP-Brasil. As assinaturas eletrônicas utilizadas possuem validade jurídica e dispensam reconhecimento de firma ou assinatura presencial.</w:t>
    </w:r>
  </w:p>
  <w:p w14:paraId="0FD2564D" w14:textId="77777777" w:rsidR="00892413" w:rsidRDefault="00892413" w:rsidP="00892413">
    <w:pPr>
      <w:pStyle w:val="Footer"/>
    </w:pPr>
  </w:p>
  <w:p w14:paraId="6E499981" w14:textId="77777777" w:rsidR="00B14FAB" w:rsidRPr="008D691D" w:rsidRDefault="00B14FAB" w:rsidP="00B14FAB">
    <w:pPr>
      <w:pStyle w:val="Footer"/>
      <w:framePr w:wrap="none" w:vAnchor="text" w:hAnchor="page" w:x="10641" w:y="442"/>
      <w:ind w:right="360"/>
      <w:jc w:val="right"/>
      <w:rPr>
        <w:rFonts w:ascii="Times New Roman" w:hAnsi="Times New Roman" w:cs="Times New Roman"/>
      </w:rPr>
    </w:pPr>
    <w:r w:rsidRPr="004E58E2">
      <w:rPr>
        <w:sz w:val="20"/>
        <w:szCs w:val="20"/>
      </w:rPr>
      <w:t xml:space="preserve">Página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PAGE</w:instrText>
    </w:r>
    <w:r w:rsidRPr="004E58E2">
      <w:rPr>
        <w:sz w:val="20"/>
        <w:szCs w:val="20"/>
      </w:rPr>
      <w:fldChar w:fldCharType="separate"/>
    </w:r>
    <w:r>
      <w:rPr>
        <w:sz w:val="20"/>
        <w:szCs w:val="20"/>
      </w:rPr>
      <w:t>1</w:t>
    </w:r>
    <w:r w:rsidRPr="004E58E2">
      <w:rPr>
        <w:sz w:val="20"/>
        <w:szCs w:val="20"/>
      </w:rPr>
      <w:fldChar w:fldCharType="end"/>
    </w:r>
    <w:r w:rsidRPr="004E58E2">
      <w:rPr>
        <w:sz w:val="20"/>
        <w:szCs w:val="20"/>
      </w:rPr>
      <w:t xml:space="preserve"> de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NUMPAGES</w:instrText>
    </w:r>
    <w:r w:rsidRPr="004E58E2">
      <w:rPr>
        <w:sz w:val="20"/>
        <w:szCs w:val="20"/>
      </w:rPr>
      <w:fldChar w:fldCharType="separate"/>
    </w:r>
    <w:r>
      <w:rPr>
        <w:sz w:val="20"/>
        <w:szCs w:val="20"/>
      </w:rPr>
      <w:t>3</w:t>
    </w:r>
    <w:r w:rsidRPr="004E58E2">
      <w:rPr>
        <w:sz w:val="20"/>
        <w:szCs w:val="20"/>
      </w:rPr>
      <w:fldChar w:fldCharType="end"/>
    </w:r>
  </w:p>
  <w:p w14:paraId="0D711A87" w14:textId="77777777" w:rsidR="00637063" w:rsidRPr="00892413" w:rsidRDefault="00637063" w:rsidP="008924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8DA9B" w14:textId="77777777" w:rsidR="004232F7" w:rsidRDefault="004232F7" w:rsidP="003C7F3D">
      <w:pPr>
        <w:spacing w:after="0" w:line="240" w:lineRule="auto"/>
      </w:pPr>
      <w:r>
        <w:separator/>
      </w:r>
    </w:p>
  </w:footnote>
  <w:footnote w:type="continuationSeparator" w:id="0">
    <w:p w14:paraId="4E082406" w14:textId="77777777" w:rsidR="004232F7" w:rsidRDefault="004232F7" w:rsidP="003C7F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33A17" w14:textId="5C23D32D" w:rsidR="003C7F3D" w:rsidRDefault="005A5DE8">
    <w:pPr>
      <w:pStyle w:val="Header"/>
    </w:pPr>
    <w:r>
      <w:rPr>
        <w:noProof/>
      </w:rPr>
    </w:r>
    <w:r w:rsidR="005A5DE8">
      <w:rPr>
        <w:noProof/>
      </w:rPr>
      <w:pict w14:anchorId="4B12CE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4" o:spid="_x0000_s1027" type="#_x0000_t75" alt="" style="position:absolute;margin-left:0;margin-top:0;width:467.85pt;height:148.35pt;z-index:-25166028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2268"/>
      <w:gridCol w:w="6372"/>
    </w:tblGrid>
    <w:tr w:rsidR="00766EEA" w:rsidRPr="00F47200" w14:paraId="6BC75032" w14:textId="77777777" w:rsidTr="005664B9">
      <w:tc>
        <w:tcPr>
          <w:tcW w:w="2268" w:type="dxa"/>
        </w:tcPr>
        <w:p w14:paraId="4B118DB1" w14:textId="77777777" w:rsidR="00766EEA" w:rsidRDefault="00766EEA" w:rsidP="00766EEA">
          <w:r>
            <w:rPr>
              <w:noProof/>
            </w:rPr>
            <w:drawing>
              <wp:inline distT="0" distB="0" distL="0" distR="0" wp14:anchorId="585C86A6" wp14:editId="70A66B23">
                <wp:extent cx="1097280" cy="347977"/>
                <wp:effectExtent l="0" t="0" r="0" b="0"/>
                <wp:docPr id="914987074" name="Picture 9149870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larInves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347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2" w:type="dxa"/>
        </w:tcPr>
        <w:p w14:paraId="7B75923E" w14:textId="77777777" w:rsidR="00766EEA" w:rsidRDefault="00766EEA" w:rsidP="00766EEA">
          <w:pPr>
            <w:jc w:val="right"/>
            <w:rPr>
              <w:sz w:val="18"/>
            </w:rPr>
          </w:pPr>
          <w:r w:rsidRPr="00F47200">
            <w:rPr>
              <w:sz w:val="18"/>
            </w:rPr>
            <w:t xml:space="preserve">CNPJ: </w:t>
          </w:r>
          <w:r>
            <w:rPr>
              <w:sz w:val="18"/>
            </w:rPr>
            <w:t>60.434.015/0001-90</w:t>
          </w:r>
          <w:r w:rsidRPr="00F47200">
            <w:rPr>
              <w:sz w:val="18"/>
            </w:rPr>
            <w:br/>
          </w:r>
          <w:r>
            <w:rPr>
              <w:sz w:val="18"/>
            </w:rPr>
            <w:t>Rua Goianaz Qd. 15 Lt.5, Conj Mirrage</w:t>
          </w:r>
          <w:r w:rsidRPr="00F47200">
            <w:rPr>
              <w:sz w:val="18"/>
            </w:rPr>
            <w:t xml:space="preserve"> – Anápolis/GO</w:t>
          </w:r>
        </w:p>
        <w:p w14:paraId="687857A5" w14:textId="77777777" w:rsidR="00766EEA" w:rsidRPr="00F47200" w:rsidRDefault="00766EEA" w:rsidP="00766EEA">
          <w:pPr>
            <w:jc w:val="right"/>
          </w:pPr>
          <w:r w:rsidRPr="00F47200">
            <w:rPr>
              <w:b/>
            </w:rPr>
            <w:t>CONTRATO DE LEASING DE</w:t>
          </w:r>
          <w:r>
            <w:rPr>
              <w:b/>
            </w:rPr>
            <w:t xml:space="preserve"> </w:t>
          </w:r>
          <w:r w:rsidRPr="00F47200">
            <w:rPr>
              <w:b/>
            </w:rPr>
            <w:t>SISTEMA FOTOVOLTAICO</w:t>
          </w:r>
        </w:p>
      </w:tc>
    </w:tr>
  </w:tbl>
  <w:p w14:paraId="3358BE42" w14:textId="6310C6C2" w:rsidR="003C7F3D" w:rsidRDefault="005A5DE8">
    <w:pPr>
      <w:pStyle w:val="Header"/>
    </w:pPr>
    <w:r>
      <w:rPr>
        <w:noProof/>
      </w:rPr>
    </w:r>
    <w:r w:rsidR="005A5DE8">
      <w:rPr>
        <w:noProof/>
      </w:rPr>
      <w:pict w14:anchorId="7DF8F6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5" o:spid="_x0000_s1026" type="#_x0000_t75" alt="" style="position:absolute;margin-left:0;margin-top:0;width:467.85pt;height:148.35pt;z-index:-25165926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SolarInvest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71091" w14:textId="01A211B7" w:rsidR="003C7F3D" w:rsidRDefault="005A5DE8">
    <w:pPr>
      <w:pStyle w:val="Header"/>
    </w:pPr>
    <w:r>
      <w:rPr>
        <w:noProof/>
      </w:rPr>
    </w:r>
    <w:r w:rsidR="005A5DE8">
      <w:rPr>
        <w:noProof/>
      </w:rPr>
      <w:pict w14:anchorId="0ABA07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3" o:spid="_x0000_s1025" type="#_x0000_t75" alt="" style="position:absolute;margin-left:0;margin-top:0;width:467.85pt;height:148.35pt;z-index:-25166131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78E2D0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B540F9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C37586"/>
    <w:multiLevelType w:val="multilevel"/>
    <w:tmpl w:val="DE8A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23B03"/>
    <w:multiLevelType w:val="multilevel"/>
    <w:tmpl w:val="39AA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93B8F"/>
    <w:multiLevelType w:val="multilevel"/>
    <w:tmpl w:val="2EBE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B392F"/>
    <w:multiLevelType w:val="multilevel"/>
    <w:tmpl w:val="12C4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81C93"/>
    <w:multiLevelType w:val="multilevel"/>
    <w:tmpl w:val="E5CE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6478A"/>
    <w:multiLevelType w:val="multilevel"/>
    <w:tmpl w:val="6C42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D3216"/>
    <w:multiLevelType w:val="multilevel"/>
    <w:tmpl w:val="5FE2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5F6574"/>
    <w:multiLevelType w:val="multilevel"/>
    <w:tmpl w:val="ABF2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859351">
    <w:abstractNumId w:val="3"/>
  </w:num>
  <w:num w:numId="2" w16cid:durableId="1170101304">
    <w:abstractNumId w:val="9"/>
  </w:num>
  <w:num w:numId="3" w16cid:durableId="2056074714">
    <w:abstractNumId w:val="4"/>
  </w:num>
  <w:num w:numId="4" w16cid:durableId="1757284230">
    <w:abstractNumId w:val="6"/>
  </w:num>
  <w:num w:numId="5" w16cid:durableId="608390501">
    <w:abstractNumId w:val="2"/>
  </w:num>
  <w:num w:numId="6" w16cid:durableId="25103612">
    <w:abstractNumId w:val="1"/>
  </w:num>
  <w:num w:numId="7" w16cid:durableId="764107781">
    <w:abstractNumId w:val="0"/>
  </w:num>
  <w:num w:numId="8" w16cid:durableId="497891729">
    <w:abstractNumId w:val="8"/>
  </w:num>
  <w:num w:numId="9" w16cid:durableId="1748846040">
    <w:abstractNumId w:val="5"/>
  </w:num>
  <w:num w:numId="10" w16cid:durableId="6598485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484"/>
    <w:rsid w:val="000259EB"/>
    <w:rsid w:val="0004777C"/>
    <w:rsid w:val="00097262"/>
    <w:rsid w:val="000A2E57"/>
    <w:rsid w:val="000E142B"/>
    <w:rsid w:val="00101698"/>
    <w:rsid w:val="0012505A"/>
    <w:rsid w:val="001F3484"/>
    <w:rsid w:val="002002CB"/>
    <w:rsid w:val="002005E5"/>
    <w:rsid w:val="00272953"/>
    <w:rsid w:val="002853F7"/>
    <w:rsid w:val="00293354"/>
    <w:rsid w:val="002A347C"/>
    <w:rsid w:val="0037262B"/>
    <w:rsid w:val="003A5168"/>
    <w:rsid w:val="003C7F3D"/>
    <w:rsid w:val="003D30F0"/>
    <w:rsid w:val="0041162A"/>
    <w:rsid w:val="004232F7"/>
    <w:rsid w:val="00441FDE"/>
    <w:rsid w:val="00451A41"/>
    <w:rsid w:val="00482B50"/>
    <w:rsid w:val="00483805"/>
    <w:rsid w:val="004A6771"/>
    <w:rsid w:val="004B19F6"/>
    <w:rsid w:val="005220DB"/>
    <w:rsid w:val="005664B9"/>
    <w:rsid w:val="005A2A50"/>
    <w:rsid w:val="005A5DE8"/>
    <w:rsid w:val="005E3D14"/>
    <w:rsid w:val="005E678D"/>
    <w:rsid w:val="00637063"/>
    <w:rsid w:val="0068267E"/>
    <w:rsid w:val="006D7EDE"/>
    <w:rsid w:val="006E23BA"/>
    <w:rsid w:val="006F2DF5"/>
    <w:rsid w:val="00734119"/>
    <w:rsid w:val="00751C28"/>
    <w:rsid w:val="00754839"/>
    <w:rsid w:val="00766E62"/>
    <w:rsid w:val="00766EEA"/>
    <w:rsid w:val="007A1F55"/>
    <w:rsid w:val="007C5F2A"/>
    <w:rsid w:val="007D0347"/>
    <w:rsid w:val="007D3B66"/>
    <w:rsid w:val="008076AB"/>
    <w:rsid w:val="00886639"/>
    <w:rsid w:val="00892413"/>
    <w:rsid w:val="008971D6"/>
    <w:rsid w:val="008B6BFC"/>
    <w:rsid w:val="00945628"/>
    <w:rsid w:val="009B6B6A"/>
    <w:rsid w:val="00A23755"/>
    <w:rsid w:val="00A31755"/>
    <w:rsid w:val="00AB3AF5"/>
    <w:rsid w:val="00AC07DB"/>
    <w:rsid w:val="00B14FAB"/>
    <w:rsid w:val="00BE7A19"/>
    <w:rsid w:val="00BF108A"/>
    <w:rsid w:val="00C64484"/>
    <w:rsid w:val="00C669C6"/>
    <w:rsid w:val="00C952EF"/>
    <w:rsid w:val="00C97462"/>
    <w:rsid w:val="00CA3E2A"/>
    <w:rsid w:val="00CA468F"/>
    <w:rsid w:val="00CC4F68"/>
    <w:rsid w:val="00D34E10"/>
    <w:rsid w:val="00DE2012"/>
    <w:rsid w:val="00DF5931"/>
    <w:rsid w:val="00E3795D"/>
    <w:rsid w:val="00E44DFA"/>
    <w:rsid w:val="00E74FE1"/>
    <w:rsid w:val="00E753A6"/>
    <w:rsid w:val="00E76C35"/>
    <w:rsid w:val="00EB0763"/>
    <w:rsid w:val="00EB7751"/>
    <w:rsid w:val="00EB7C7B"/>
    <w:rsid w:val="00ED1E67"/>
    <w:rsid w:val="00F17DE2"/>
    <w:rsid w:val="00F5230C"/>
    <w:rsid w:val="00F907F3"/>
    <w:rsid w:val="00FA2FB1"/>
    <w:rsid w:val="00FB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B2BED30"/>
  <w15:chartTrackingRefBased/>
  <w15:docId w15:val="{F10BEB1B-9137-D846-859D-A676A7670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4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4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4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pt-BR" w:eastAsia="pt-BR"/>
      <w14:ligatures w14:val="none"/>
    </w:rPr>
  </w:style>
  <w:style w:type="paragraph" w:customStyle="1" w:styleId="p1">
    <w:name w:val="p1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64484"/>
  </w:style>
  <w:style w:type="paragraph" w:customStyle="1" w:styleId="p2">
    <w:name w:val="p2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64484"/>
  </w:style>
  <w:style w:type="paragraph" w:styleId="Header">
    <w:name w:val="header"/>
    <w:basedOn w:val="Normal"/>
    <w:link w:val="HeaderChar"/>
    <w:uiPriority w:val="99"/>
    <w:unhideWhenUsed/>
    <w:rsid w:val="003C7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F3D"/>
  </w:style>
  <w:style w:type="paragraph" w:styleId="Footer">
    <w:name w:val="footer"/>
    <w:basedOn w:val="Normal"/>
    <w:link w:val="FooterChar"/>
    <w:uiPriority w:val="99"/>
    <w:unhideWhenUsed/>
    <w:rsid w:val="003C7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F3D"/>
  </w:style>
  <w:style w:type="character" w:styleId="PageNumber">
    <w:name w:val="page number"/>
    <w:basedOn w:val="DefaultParagraphFont"/>
    <w:uiPriority w:val="99"/>
    <w:semiHidden/>
    <w:unhideWhenUsed/>
    <w:rsid w:val="00892413"/>
  </w:style>
  <w:style w:type="paragraph" w:styleId="ListBullet">
    <w:name w:val="List Bullet"/>
    <w:basedOn w:val="Normal"/>
    <w:uiPriority w:val="99"/>
    <w:unhideWhenUsed/>
    <w:rsid w:val="0012505A"/>
    <w:pPr>
      <w:numPr>
        <w:numId w:val="6"/>
      </w:numPr>
      <w:tabs>
        <w:tab w:val="clear" w:pos="360"/>
      </w:tabs>
      <w:spacing w:after="200" w:line="276" w:lineRule="auto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">
    <w:name w:val="List Number"/>
    <w:basedOn w:val="Normal"/>
    <w:uiPriority w:val="99"/>
    <w:unhideWhenUsed/>
    <w:rsid w:val="00A23755"/>
    <w:pPr>
      <w:numPr>
        <w:numId w:val="7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franca</dc:creator>
  <cp:keywords/>
  <dc:description/>
  <cp:lastModifiedBy>Leandro Franca</cp:lastModifiedBy>
  <cp:revision>61</cp:revision>
  <dcterms:created xsi:type="dcterms:W3CDTF">2025-09-23T01:01:00Z</dcterms:created>
  <dcterms:modified xsi:type="dcterms:W3CDTF">2026-01-07T13:59:00Z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2025-09-23T01:13:47Z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e4f5f115-52e6-4028-b573-b32191bab747</vt:lpwstr>
  </property>
  <property fmtid="{D5CDD505-2E9C-101B-9397-08002B2CF9AE}" pid="7" name="MSIP_Label_defa4170-0d19-0005-0004-bc88714345d2_ActionId">
    <vt:lpwstr>79e94240-d908-4bc5-857a-4ff352999a10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