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CF5D" w14:textId="77777777" w:rsidR="00C4252D" w:rsidRPr="003D06DB" w:rsidRDefault="00C4252D" w:rsidP="00C4252D">
      <w:pPr>
        <w:rPr>
          <w:rFonts w:ascii="Times New Roman" w:hAnsi="Times New Roman" w:cs="Times New Roman"/>
          <w:b/>
          <w:bCs/>
        </w:rPr>
      </w:pPr>
      <w:r w:rsidRPr="003D06DB">
        <w:rPr>
          <w:rFonts w:ascii="Times New Roman" w:hAnsi="Times New Roman" w:cs="Times New Roman"/>
          <w:b/>
          <w:bCs/>
        </w:rPr>
        <w:t>ANEXO II – OPÇÃO DE COMPRA ANTECIPADA DA USINA FOTOVOLTAICA</w:t>
      </w:r>
    </w:p>
    <w:p w14:paraId="0EDD05EB" w14:textId="77777777" w:rsidR="00C4252D" w:rsidRPr="003D06DB" w:rsidRDefault="00C4252D" w:rsidP="00C4252D">
      <w:pPr>
        <w:rPr>
          <w:rFonts w:ascii="Times New Roman" w:hAnsi="Times New Roman" w:cs="Times New Roman"/>
        </w:rPr>
      </w:pPr>
      <w:r w:rsidRPr="003D06DB">
        <w:rPr>
          <w:rFonts w:ascii="Times New Roman" w:hAnsi="Times New Roman" w:cs="Times New Roman"/>
        </w:rPr>
        <w:t>(Parte integrante e indissociável do Contrato de Leasing de Sistema Fotovoltaico)</w:t>
      </w:r>
    </w:p>
    <w:p w14:paraId="19538068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OBJETO</w:t>
      </w:r>
    </w:p>
    <w:p w14:paraId="3371D59F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Este Anexo estabelece as condições, critérios econômicos e procedimentos aplicáveis ao exercício da opção de compra antecipada da usina fotovoltaica, conforme previsto nas </w:t>
      </w: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CLÁUSULAS 2.3 e 12.5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do Contrato de Leasing Operacional de Sistema Fotovoltaico.</w:t>
      </w:r>
    </w:p>
    <w:p w14:paraId="311D0550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ELEGIBILIDADE PARA COMPRA ANTECIPADA</w:t>
      </w:r>
    </w:p>
    <w:p w14:paraId="41618BA7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2.1. O CONTRATANTE {{nomeCompleto}}, CPF/CNPJ nº {{cpfCnpj}}, titular da Unidade Consumidora nº {{unidadeConsumidora}}, poderá exercer a opção de compra da usina a partir do </w:t>
      </w: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6º (sexto) mês completo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de vigência contratual, desde que tenham sido integralmente quitadas todas as mensalidades vencidas e não haja qualquer pendência contratual, regulatória, técnica ou jurídica, incluindo, mas não se limitando a, licenças, autorizações e outras obrigações aplicáveis.</w:t>
      </w:r>
    </w:p>
    <w:p w14:paraId="56376B58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2.2. Antes do prazo de elegibilidade de 6 (seis) meses, a SOLARINVEST poderá, a seu exclusivo critério, autorizar a compra mediante pagamento equivalente ao investimento inicial integral, acrescido de:</w:t>
      </w:r>
    </w:p>
    <w:p w14:paraId="271DFB77" w14:textId="77777777" w:rsidR="003D06DB" w:rsidRPr="003D06DB" w:rsidRDefault="003D06DB" w:rsidP="003D0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atualização monetária pelo IPCA;</w:t>
      </w:r>
    </w:p>
    <w:p w14:paraId="4444DEAB" w14:textId="77777777" w:rsidR="003D06DB" w:rsidRPr="003D06DB" w:rsidRDefault="003D06DB" w:rsidP="003D0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encargos administrativos;</w:t>
      </w:r>
    </w:p>
    <w:p w14:paraId="211F292E" w14:textId="77777777" w:rsidR="003D06DB" w:rsidRPr="003D06DB" w:rsidRDefault="003D06DB" w:rsidP="003D0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custos regulatórios e operacionais aplicáveis.</w:t>
      </w:r>
    </w:p>
    <w:p w14:paraId="437B8222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2.3. A SOLARINVEST poderá recusar o exercício da opção de compra antecipada caso:</w:t>
      </w:r>
    </w:p>
    <w:p w14:paraId="743C2392" w14:textId="77777777" w:rsidR="003D06DB" w:rsidRPr="003D06DB" w:rsidRDefault="003D06DB" w:rsidP="003D0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existam débitos pendentes de qualquer natureza;</w:t>
      </w:r>
    </w:p>
    <w:p w14:paraId="422D9458" w14:textId="77777777" w:rsidR="003D06DB" w:rsidRPr="003D06DB" w:rsidRDefault="003D06DB" w:rsidP="003D0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haja obras, reformas ou riscos estruturais no imóvel que comprometam o sistema;</w:t>
      </w:r>
    </w:p>
    <w:p w14:paraId="69A0DAFE" w14:textId="77777777" w:rsidR="003D06DB" w:rsidRPr="003D06DB" w:rsidRDefault="003D06DB" w:rsidP="003D0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haja impedimento legal, técnico ou regulatório superveniente.</w:t>
      </w:r>
    </w:p>
    <w:p w14:paraId="5AFE391C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CÁLCULO DO VALOR DE EXERCÍCIO DE COMPRA (VEC)</w:t>
      </w:r>
    </w:p>
    <w:p w14:paraId="65E1C428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O Valor de Exercício de Compra (VEC) será calculado pela fórmula:</w:t>
      </w:r>
    </w:p>
    <w:p w14:paraId="212F1C55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VEC(m) = max[ 0 , (VM × F(m)) – A(m) ]</w:t>
      </w:r>
    </w:p>
    <w:p w14:paraId="275EAEA4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Onde:</w:t>
      </w:r>
    </w:p>
    <w:p w14:paraId="765E812C" w14:textId="77777777" w:rsidR="003D06DB" w:rsidRPr="003D06DB" w:rsidRDefault="003D06DB" w:rsidP="003D0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= Valor de Mercado da Usina (conforme Cláusula 4 deste Anexo);</w:t>
      </w:r>
    </w:p>
    <w:p w14:paraId="228E6CA6" w14:textId="77777777" w:rsidR="003D06DB" w:rsidRPr="003D06DB" w:rsidRDefault="003D06DB" w:rsidP="003D0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F(m)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= Fator de Depreciação Econômica no mês m;</w:t>
      </w:r>
    </w:p>
    <w:p w14:paraId="4CEAD2ED" w14:textId="77777777" w:rsidR="003D06DB" w:rsidRPr="003D06DB" w:rsidRDefault="003D06DB" w:rsidP="003D0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A(m)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= Parcela de amortização técnica acumulada até o mês m (calculada sobre o valor do ativo, independente da mensalidade de serviço);</w:t>
      </w:r>
    </w:p>
    <w:p w14:paraId="67AAB7E5" w14:textId="77777777" w:rsidR="003D06DB" w:rsidRPr="003D06DB" w:rsidRDefault="003D06DB" w:rsidP="003D0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= mês contratual vigente.</w:t>
      </w:r>
    </w:p>
    <w:p w14:paraId="1B5DB851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3.1. </w:t>
      </w: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Valor Residual Mínimo:</w:t>
      </w:r>
    </w:p>
    <w:p w14:paraId="7574B305" w14:textId="77777777" w:rsidR="003D06DB" w:rsidRPr="003D06DB" w:rsidRDefault="003D06DB" w:rsidP="003D0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Mês 6 a 24: valor residual mínimo de 40% do valor original;</w:t>
      </w:r>
    </w:p>
    <w:p w14:paraId="1904BE7B" w14:textId="77777777" w:rsidR="003D06DB" w:rsidRPr="003D06DB" w:rsidRDefault="003D06DB" w:rsidP="003D0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Mês 25 a 60: redução progressiva até o mínimo de 10%.</w:t>
      </w:r>
    </w:p>
    <w:p w14:paraId="660C2B4E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3.2. Ao término do prazo contratual, e estando o CONTRATANTE integralmente adimplente com todas as suas obrigações, a SOLARINVEST poderá efetuar a transferência da propriedade do sistema ao CONTRATANTE, como consequência do integral cumprimento contratual, nos termos da </w:t>
      </w: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Cláusula 2.3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do contrato principal.</w:t>
      </w:r>
    </w:p>
    <w:p w14:paraId="7BE63922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3.3. O valor final do VEC poderá refletir atualização tecnológica ou variações de mercado, com base em tecnologia equivalente ou superior disponível à época do exercício da opção.</w:t>
      </w:r>
    </w:p>
    <w:p w14:paraId="4A2AB979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DO VALOR DE MERCADO INICIAL DA USINA</w:t>
      </w:r>
    </w:p>
    <w:p w14:paraId="641A34FD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4.1. Para fins de transparência e referência econômica, as partes reconhecem que, na data da celebração do contrato, o Valor de Mercado da usina fotovoltaica é estimado em </w:t>
      </w: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R$ {{valordemercado_atual}}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({{valordemercado_atual_extenso}}), correspondente ao custo de reposição do sistema.</w:t>
      </w:r>
    </w:p>
    <w:p w14:paraId="5C6FCC8A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4.2. O valor acima indicado possui caráter </w:t>
      </w: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referencial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, sendo utilizado como base para a apuração do Valor de Exercício de Compra (VEC).</w:t>
      </w:r>
    </w:p>
    <w:p w14:paraId="4806A2EC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4.3. O CONTRATANTE declara estar ciente de que o valor de mercado poderá sofrer variações em razão de evolução tecnológica, variação cambial, condições de mercado e depreciação natural do ativo, não constituindo o valor inicial garantia de preço fixo para aquisição futura fora dos critérios do VEC.</w:t>
      </w:r>
    </w:p>
    <w:p w14:paraId="41A51AF1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PROCEDIMENTO PARA COMPRA</w:t>
      </w:r>
    </w:p>
    <w:p w14:paraId="760755E8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5.1. O CONTRATANTE deve manifestar interesse formal por escrito (e-mail ou plataforma autorizada) com antecedência mínima de 30 (trinta) dias.</w:t>
      </w:r>
    </w:p>
    <w:p w14:paraId="127794A1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5.2. A SOLARINVEST terá até 10 (dez) dias úteis para apresentar a memória de cálculo e a proposta definitiva de compra com base no VEC.</w:t>
      </w:r>
    </w:p>
    <w:p w14:paraId="108D94D2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5.3. A proposta terá validade de 15 (quinze) dias corridos e deverá ser quitada integralmente em parcela única, salvo acordo diverso entre as partes.</w:t>
      </w:r>
    </w:p>
    <w:p w14:paraId="2292F5D6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5.4. A transferência será formalizada mediante </w:t>
      </w: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Termo de Quitação e Transferência de Propriedade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, com a entrega dos manuais e termos de garantia dos fabricantes.</w:t>
      </w:r>
    </w:p>
    <w:p w14:paraId="7AEDD965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EFEITOS DA COMPRA</w:t>
      </w:r>
    </w:p>
    <w:p w14:paraId="11BA02E9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6.1. O pagamento integral do VEC extingue de forma imediata o contrato de leasing e as obrigações de pagamento de mensalidades futuras.</w:t>
      </w:r>
    </w:p>
    <w:p w14:paraId="280E6ADB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6.2. A partir da data da transferência de propriedade, cessam todas as obrigações da SOLARINVEST relativas a manutenção, seguro, monitoramento, operação e atendimento técnico, conforme </w:t>
      </w: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Cláusula 7-A.3</w:t>
      </w:r>
      <w:r w:rsidRPr="003D06DB">
        <w:rPr>
          <w:rFonts w:ascii="Times New Roman" w:eastAsia="Times New Roman" w:hAnsi="Times New Roman" w:cs="Times New Roman"/>
          <w:kern w:val="0"/>
          <w14:ligatures w14:val="none"/>
        </w:rPr>
        <w:t xml:space="preserve"> do contrato principal.</w:t>
      </w:r>
    </w:p>
    <w:p w14:paraId="4C260E9A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6.3. Permanecem vigentes as garantias de fábrica dos equipamentos, sendo responsabilidade do CONTRATANTE o acionamento direto junto aos fabricantes ou assistências autorizadas.</w:t>
      </w:r>
    </w:p>
    <w:p w14:paraId="6B0B08E1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DISPOSIÇÕES FINAIS</w:t>
      </w:r>
    </w:p>
    <w:p w14:paraId="21607EE6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7.1. O exercício da opção de compra não gera direito à devolução ou compensação de mensalidades de serviço já pagas.</w:t>
      </w:r>
    </w:p>
    <w:p w14:paraId="0DF10B42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7.2. A opção de compra não poderá ser exercida enquanto houver litígios judiciais ou pendências administrativas entre as partes.</w:t>
      </w:r>
    </w:p>
    <w:p w14:paraId="7349A450" w14:textId="77777777" w:rsidR="003D06DB" w:rsidRPr="003D06DB" w:rsidRDefault="003D06DB" w:rsidP="003D0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6DB">
        <w:rPr>
          <w:rFonts w:ascii="Times New Roman" w:eastAsia="Times New Roman" w:hAnsi="Times New Roman" w:cs="Times New Roman"/>
          <w:kern w:val="0"/>
          <w14:ligatures w14:val="none"/>
        </w:rPr>
        <w:t>7.3. Em caso de conflito de interpretação entre este Anexo e o Contrato Principal, prevalecerão as disposições do Contrato Principal, salvo no que tange especificamente à fórmula de cálculo do VEC aqui estabelecida.</w:t>
      </w:r>
    </w:p>
    <w:p w14:paraId="55F4CC9F" w14:textId="77777777" w:rsidR="00C4252D" w:rsidRPr="003D06DB" w:rsidRDefault="00C4252D" w:rsidP="00C4252D">
      <w:pPr>
        <w:rPr>
          <w:rFonts w:ascii="Times New Roman" w:hAnsi="Times New Roman" w:cs="Times New Roman"/>
        </w:rPr>
      </w:pPr>
    </w:p>
    <w:p w14:paraId="2B5AC196" w14:textId="77777777" w:rsidR="00C4252D" w:rsidRPr="003D06DB" w:rsidRDefault="00C4252D" w:rsidP="00C4252D">
      <w:pPr>
        <w:rPr>
          <w:rFonts w:ascii="Times New Roman" w:hAnsi="Times New Roman" w:cs="Times New Roman"/>
        </w:rPr>
      </w:pPr>
      <w:r w:rsidRPr="003D06DB">
        <w:rPr>
          <w:rFonts w:ascii="Times New Roman" w:hAnsi="Times New Roman" w:cs="Times New Roman"/>
        </w:rPr>
        <w:t>Local e data: {{cidade}}, {{dataAtualExtenso}}</w:t>
      </w:r>
    </w:p>
    <w:p w14:paraId="53C15874" w14:textId="77777777" w:rsidR="009D288B" w:rsidRPr="003D06DB" w:rsidRDefault="009D288B" w:rsidP="00C4252D">
      <w:pPr>
        <w:rPr>
          <w:rFonts w:ascii="Times New Roman" w:hAnsi="Times New Roman" w:cs="Times New Roman"/>
        </w:rPr>
      </w:pPr>
    </w:p>
    <w:p w14:paraId="3B6B467D" w14:textId="77777777" w:rsidR="009D288B" w:rsidRPr="003D06DB" w:rsidRDefault="009D288B" w:rsidP="00C4252D">
      <w:pPr>
        <w:rPr>
          <w:rFonts w:ascii="Times New Roman" w:hAnsi="Times New Roman" w:cs="Times New Roman"/>
        </w:rPr>
      </w:pPr>
    </w:p>
    <w:p w14:paraId="1D7BF5EA" w14:textId="77777777" w:rsidR="00C4252D" w:rsidRPr="003D06DB" w:rsidRDefault="00C4252D" w:rsidP="00C4252D">
      <w:pPr>
        <w:rPr>
          <w:rFonts w:ascii="Times New Roman" w:hAnsi="Times New Roman" w:cs="Times New Roman"/>
        </w:rPr>
      </w:pPr>
      <w:r w:rsidRPr="003D06DB">
        <w:rPr>
          <w:rFonts w:ascii="Times New Roman" w:hAnsi="Times New Roman" w:cs="Times New Roman"/>
        </w:rPr>
        <w:t xml:space="preserve">Assinatura do CONTRATANTE: ____________________________  </w:t>
      </w:r>
    </w:p>
    <w:p w14:paraId="3795D6F1" w14:textId="77777777" w:rsidR="00C4252D" w:rsidRPr="003D06DB" w:rsidRDefault="00C4252D" w:rsidP="00C4252D">
      <w:pPr>
        <w:rPr>
          <w:rFonts w:ascii="Times New Roman" w:hAnsi="Times New Roman" w:cs="Times New Roman"/>
        </w:rPr>
      </w:pPr>
      <w:r w:rsidRPr="003D06DB">
        <w:rPr>
          <w:rFonts w:ascii="Times New Roman" w:hAnsi="Times New Roman" w:cs="Times New Roman"/>
        </w:rPr>
        <w:t>{{nomeCompleto}}</w:t>
      </w:r>
    </w:p>
    <w:p w14:paraId="0A63B997" w14:textId="77777777" w:rsidR="009D288B" w:rsidRPr="003D06DB" w:rsidRDefault="009D288B" w:rsidP="00C4252D">
      <w:pPr>
        <w:rPr>
          <w:rFonts w:ascii="Times New Roman" w:hAnsi="Times New Roman" w:cs="Times New Roman"/>
        </w:rPr>
      </w:pPr>
    </w:p>
    <w:p w14:paraId="2ED387C2" w14:textId="77777777" w:rsidR="009D288B" w:rsidRPr="003D06DB" w:rsidRDefault="009D288B" w:rsidP="00C4252D">
      <w:pPr>
        <w:rPr>
          <w:rFonts w:ascii="Times New Roman" w:hAnsi="Times New Roman" w:cs="Times New Roman"/>
        </w:rPr>
      </w:pPr>
    </w:p>
    <w:p w14:paraId="040BF645" w14:textId="77777777" w:rsidR="00C4252D" w:rsidRPr="003D06DB" w:rsidRDefault="00C4252D" w:rsidP="00C4252D">
      <w:pPr>
        <w:rPr>
          <w:rFonts w:ascii="Times New Roman" w:hAnsi="Times New Roman" w:cs="Times New Roman"/>
        </w:rPr>
      </w:pPr>
      <w:r w:rsidRPr="003D06DB">
        <w:rPr>
          <w:rFonts w:ascii="Times New Roman" w:hAnsi="Times New Roman" w:cs="Times New Roman"/>
        </w:rPr>
        <w:t xml:space="preserve">Assinatura da </w:t>
      </w:r>
      <w:r w:rsidR="00320C94" w:rsidRPr="003D06DB">
        <w:rPr>
          <w:rFonts w:ascii="Times New Roman" w:hAnsi="Times New Roman" w:cs="Times New Roman"/>
        </w:rPr>
        <w:t>SOLARINVEST</w:t>
      </w:r>
      <w:r w:rsidRPr="003D06DB">
        <w:rPr>
          <w:rFonts w:ascii="Times New Roman" w:hAnsi="Times New Roman" w:cs="Times New Roman"/>
        </w:rPr>
        <w:t xml:space="preserve">: ____________________________  </w:t>
      </w:r>
    </w:p>
    <w:p w14:paraId="59F371E8" w14:textId="2D403D59" w:rsidR="004F76B6" w:rsidRPr="003D06DB" w:rsidRDefault="00E53125" w:rsidP="009D288B">
      <w:pPr>
        <w:pStyle w:val="p1"/>
        <w:spacing w:line="276" w:lineRule="auto"/>
      </w:pPr>
      <w:r w:rsidRPr="003D06DB">
        <w:t>LEANDRO LIMA RIBEIRO FRANCA 60434015</w:t>
      </w:r>
      <w:r w:rsidR="00D6221C" w:rsidRPr="003D06DB">
        <w:t>/</w:t>
      </w:r>
      <w:r w:rsidR="00D6221C" w:rsidRPr="003D06DB">
        <w:rPr>
          <w:color w:val="000000"/>
        </w:rPr>
        <w:t>60.434.015/0001-90</w:t>
      </w:r>
    </w:p>
    <w:sectPr w:rsidR="004F76B6" w:rsidRPr="003D06DB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FE3E7" w14:textId="77777777" w:rsidR="003F1F64" w:rsidRDefault="003F1F64" w:rsidP="009E34C6">
      <w:pPr>
        <w:spacing w:after="0" w:line="240" w:lineRule="auto"/>
      </w:pPr>
      <w:r>
        <w:separator/>
      </w:r>
    </w:p>
  </w:endnote>
  <w:endnote w:type="continuationSeparator" w:id="0">
    <w:p w14:paraId="1DF6793F" w14:textId="77777777" w:rsidR="003F1F64" w:rsidRDefault="003F1F64" w:rsidP="009E3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9B42" w14:textId="77777777" w:rsidR="00E41EB6" w:rsidRDefault="00E41EB6" w:rsidP="00E41EB6">
    <w:pPr>
      <w:pStyle w:val="Footer"/>
      <w:ind w:right="360"/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</w:t>
    </w:r>
  </w:p>
  <w:p w14:paraId="38E70F97" w14:textId="77777777" w:rsidR="00012525" w:rsidRDefault="00012525" w:rsidP="00012525">
    <w:pPr>
      <w:pStyle w:val="Footer"/>
      <w:ind w:right="360"/>
      <w:jc w:val="right"/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  <w:p w14:paraId="134DDAD1" w14:textId="77777777" w:rsidR="00E41EB6" w:rsidRDefault="00E41EB6" w:rsidP="00E41EB6">
    <w:pPr>
      <w:pStyle w:val="Footer"/>
      <w:framePr w:wrap="none" w:vAnchor="text" w:hAnchor="page" w:x="10621" w:y="122"/>
      <w:rPr>
        <w:rStyle w:val="PageNumber"/>
      </w:rPr>
    </w:pPr>
  </w:p>
  <w:p w14:paraId="2CD037ED" w14:textId="77777777" w:rsidR="00F740A1" w:rsidRPr="00E41EB6" w:rsidRDefault="00F740A1" w:rsidP="00012525">
    <w:pPr>
      <w:pStyle w:val="Footer"/>
      <w:framePr w:wrap="none" w:vAnchor="text" w:hAnchor="page" w:x="10641" w:y="40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90A6E" w14:textId="77777777" w:rsidR="003F1F64" w:rsidRDefault="003F1F64" w:rsidP="009E34C6">
      <w:pPr>
        <w:spacing w:after="0" w:line="240" w:lineRule="auto"/>
      </w:pPr>
      <w:r>
        <w:separator/>
      </w:r>
    </w:p>
  </w:footnote>
  <w:footnote w:type="continuationSeparator" w:id="0">
    <w:p w14:paraId="17BC1B22" w14:textId="77777777" w:rsidR="003F1F64" w:rsidRDefault="003F1F64" w:rsidP="009E3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F92B0" w14:textId="77777777" w:rsidR="009E34C6" w:rsidRDefault="003F1F64">
    <w:pPr>
      <w:pStyle w:val="Header"/>
    </w:pPr>
    <w:r>
      <w:rPr>
        <w:noProof/>
      </w:rPr>
      <w:pict w14:anchorId="13B473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6" o:spid="_x0000_s1026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6C4D84" w:rsidRPr="00F47200" w14:paraId="64292083" w14:textId="77777777" w:rsidTr="00355E21">
      <w:tc>
        <w:tcPr>
          <w:tcW w:w="2268" w:type="dxa"/>
        </w:tcPr>
        <w:p w14:paraId="6420418B" w14:textId="77777777" w:rsidR="006C4D84" w:rsidRDefault="006C4D84" w:rsidP="006C4D84">
          <w:r>
            <w:rPr>
              <w:noProof/>
            </w:rPr>
            <w:drawing>
              <wp:inline distT="0" distB="0" distL="0" distR="0" wp14:anchorId="77D5AC1E" wp14:editId="5B38EA77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447F5693" w14:textId="77777777" w:rsidR="006C4D84" w:rsidRPr="009D288B" w:rsidRDefault="006C4D84" w:rsidP="009D288B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9D288B">
            <w:rPr>
              <w:sz w:val="18"/>
            </w:rPr>
            <w:br/>
          </w:r>
          <w:r w:rsidR="00E00B83" w:rsidRPr="009D288B">
            <w:rPr>
              <w:b/>
              <w:sz w:val="16"/>
              <w:szCs w:val="16"/>
            </w:rPr>
            <w:t xml:space="preserve">Anexo II – Opção de Compra </w:t>
          </w:r>
          <w:r w:rsidR="00C4252D" w:rsidRPr="009D288B">
            <w:rPr>
              <w:b/>
              <w:sz w:val="16"/>
              <w:szCs w:val="16"/>
            </w:rPr>
            <w:t xml:space="preserve">Antecipada </w:t>
          </w:r>
          <w:r w:rsidR="00E00B83" w:rsidRPr="009D288B">
            <w:rPr>
              <w:b/>
              <w:sz w:val="16"/>
              <w:szCs w:val="16"/>
            </w:rPr>
            <w:t>da Usina</w:t>
          </w:r>
        </w:p>
      </w:tc>
    </w:tr>
  </w:tbl>
  <w:p w14:paraId="18D13D00" w14:textId="77777777" w:rsidR="009E34C6" w:rsidRPr="006C4D84" w:rsidRDefault="009E34C6" w:rsidP="006C4D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FCFB" w14:textId="77777777" w:rsidR="009E34C6" w:rsidRDefault="003F1F64">
    <w:pPr>
      <w:pStyle w:val="Header"/>
    </w:pPr>
    <w:r>
      <w:rPr>
        <w:noProof/>
      </w:rPr>
      <w:pict w14:anchorId="74BCD0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5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29B9"/>
    <w:multiLevelType w:val="multilevel"/>
    <w:tmpl w:val="993A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216F"/>
    <w:multiLevelType w:val="multilevel"/>
    <w:tmpl w:val="CAC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3603"/>
    <w:multiLevelType w:val="multilevel"/>
    <w:tmpl w:val="82C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29C7"/>
    <w:multiLevelType w:val="multilevel"/>
    <w:tmpl w:val="08A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42F69"/>
    <w:multiLevelType w:val="multilevel"/>
    <w:tmpl w:val="380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46105"/>
    <w:multiLevelType w:val="multilevel"/>
    <w:tmpl w:val="8B5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239D8"/>
    <w:multiLevelType w:val="multilevel"/>
    <w:tmpl w:val="ADF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D557A"/>
    <w:multiLevelType w:val="multilevel"/>
    <w:tmpl w:val="CEC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650E8"/>
    <w:multiLevelType w:val="multilevel"/>
    <w:tmpl w:val="573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6464C"/>
    <w:multiLevelType w:val="multilevel"/>
    <w:tmpl w:val="47B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537B2"/>
    <w:multiLevelType w:val="multilevel"/>
    <w:tmpl w:val="F2E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445A4"/>
    <w:multiLevelType w:val="multilevel"/>
    <w:tmpl w:val="D0A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B5AD3"/>
    <w:multiLevelType w:val="multilevel"/>
    <w:tmpl w:val="251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63481">
    <w:abstractNumId w:val="1"/>
  </w:num>
  <w:num w:numId="2" w16cid:durableId="1546522890">
    <w:abstractNumId w:val="4"/>
  </w:num>
  <w:num w:numId="3" w16cid:durableId="1272206301">
    <w:abstractNumId w:val="8"/>
  </w:num>
  <w:num w:numId="4" w16cid:durableId="733968772">
    <w:abstractNumId w:val="2"/>
  </w:num>
  <w:num w:numId="5" w16cid:durableId="1199901832">
    <w:abstractNumId w:val="7"/>
  </w:num>
  <w:num w:numId="6" w16cid:durableId="827482731">
    <w:abstractNumId w:val="12"/>
  </w:num>
  <w:num w:numId="7" w16cid:durableId="816075027">
    <w:abstractNumId w:val="10"/>
  </w:num>
  <w:num w:numId="8" w16cid:durableId="166407836">
    <w:abstractNumId w:val="3"/>
  </w:num>
  <w:num w:numId="9" w16cid:durableId="1971282717">
    <w:abstractNumId w:val="6"/>
  </w:num>
  <w:num w:numId="10" w16cid:durableId="1469322948">
    <w:abstractNumId w:val="9"/>
  </w:num>
  <w:num w:numId="11" w16cid:durableId="1156533465">
    <w:abstractNumId w:val="0"/>
  </w:num>
  <w:num w:numId="12" w16cid:durableId="535041886">
    <w:abstractNumId w:val="11"/>
  </w:num>
  <w:num w:numId="13" w16cid:durableId="331876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25"/>
    <w:rsid w:val="00012525"/>
    <w:rsid w:val="00056C48"/>
    <w:rsid w:val="000F5B38"/>
    <w:rsid w:val="001447A0"/>
    <w:rsid w:val="00153AC7"/>
    <w:rsid w:val="001A241F"/>
    <w:rsid w:val="001A2561"/>
    <w:rsid w:val="001C7FD6"/>
    <w:rsid w:val="002A347C"/>
    <w:rsid w:val="002E73A7"/>
    <w:rsid w:val="00320C94"/>
    <w:rsid w:val="00355E21"/>
    <w:rsid w:val="00374CCB"/>
    <w:rsid w:val="003A43B7"/>
    <w:rsid w:val="003A71FD"/>
    <w:rsid w:val="003B4F07"/>
    <w:rsid w:val="003D06DB"/>
    <w:rsid w:val="003F1F64"/>
    <w:rsid w:val="00441FDE"/>
    <w:rsid w:val="00450BE0"/>
    <w:rsid w:val="004A6771"/>
    <w:rsid w:val="004F76B6"/>
    <w:rsid w:val="005C603B"/>
    <w:rsid w:val="005F27EC"/>
    <w:rsid w:val="00642528"/>
    <w:rsid w:val="00667176"/>
    <w:rsid w:val="00675A0D"/>
    <w:rsid w:val="006C4D84"/>
    <w:rsid w:val="006C4F52"/>
    <w:rsid w:val="006E23BA"/>
    <w:rsid w:val="007075A1"/>
    <w:rsid w:val="00725C32"/>
    <w:rsid w:val="00751C28"/>
    <w:rsid w:val="00766E62"/>
    <w:rsid w:val="007D0347"/>
    <w:rsid w:val="007F55ED"/>
    <w:rsid w:val="0084214F"/>
    <w:rsid w:val="00883D5F"/>
    <w:rsid w:val="0089128D"/>
    <w:rsid w:val="008D6DE4"/>
    <w:rsid w:val="008F5375"/>
    <w:rsid w:val="00964744"/>
    <w:rsid w:val="009B6B6A"/>
    <w:rsid w:val="009D288B"/>
    <w:rsid w:val="009D7E9C"/>
    <w:rsid w:val="009E34C6"/>
    <w:rsid w:val="00A621F4"/>
    <w:rsid w:val="00AF64D7"/>
    <w:rsid w:val="00B06A9F"/>
    <w:rsid w:val="00BA44E3"/>
    <w:rsid w:val="00BF33F4"/>
    <w:rsid w:val="00C27373"/>
    <w:rsid w:val="00C334F8"/>
    <w:rsid w:val="00C4252D"/>
    <w:rsid w:val="00C44504"/>
    <w:rsid w:val="00C669C6"/>
    <w:rsid w:val="00C952EF"/>
    <w:rsid w:val="00D07865"/>
    <w:rsid w:val="00D453C5"/>
    <w:rsid w:val="00D6221C"/>
    <w:rsid w:val="00D83AEE"/>
    <w:rsid w:val="00D93C0F"/>
    <w:rsid w:val="00E00B83"/>
    <w:rsid w:val="00E01EBD"/>
    <w:rsid w:val="00E41DCC"/>
    <w:rsid w:val="00E41EB6"/>
    <w:rsid w:val="00E53125"/>
    <w:rsid w:val="00E76C35"/>
    <w:rsid w:val="00E80A91"/>
    <w:rsid w:val="00EF5A75"/>
    <w:rsid w:val="00F25A38"/>
    <w:rsid w:val="00F740A1"/>
    <w:rsid w:val="00FB7BBF"/>
    <w:rsid w:val="00FE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5C36AE"/>
  <w15:chartTrackingRefBased/>
  <w15:docId w15:val="{8C32F4F1-9874-1D4C-BDE7-3C8CA21F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453C5"/>
  </w:style>
  <w:style w:type="paragraph" w:customStyle="1" w:styleId="p2">
    <w:name w:val="p2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453C5"/>
  </w:style>
  <w:style w:type="paragraph" w:styleId="Header">
    <w:name w:val="header"/>
    <w:basedOn w:val="Normal"/>
    <w:link w:val="Head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4C6"/>
  </w:style>
  <w:style w:type="paragraph" w:styleId="Footer">
    <w:name w:val="footer"/>
    <w:basedOn w:val="Normal"/>
    <w:link w:val="Foot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4C6"/>
  </w:style>
  <w:style w:type="character" w:styleId="PageNumber">
    <w:name w:val="page number"/>
    <w:basedOn w:val="DefaultParagraphFont"/>
    <w:uiPriority w:val="99"/>
    <w:semiHidden/>
    <w:unhideWhenUsed/>
    <w:rsid w:val="00E41EB6"/>
  </w:style>
  <w:style w:type="character" w:customStyle="1" w:styleId="s3">
    <w:name w:val="s3"/>
    <w:basedOn w:val="DefaultParagraphFont"/>
    <w:rsid w:val="008F5375"/>
  </w:style>
  <w:style w:type="character" w:customStyle="1" w:styleId="apple-converted-space">
    <w:name w:val="apple-converted-space"/>
    <w:basedOn w:val="DefaultParagraphFont"/>
    <w:rsid w:val="00BF33F4"/>
  </w:style>
  <w:style w:type="paragraph" w:styleId="NormalWeb">
    <w:name w:val="Normal (Web)"/>
    <w:basedOn w:val="Normal"/>
    <w:uiPriority w:val="99"/>
    <w:semiHidden/>
    <w:unhideWhenUsed/>
    <w:rsid w:val="003D0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06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androfranca/Library/CloudStorage/OneDrive-Personal/Solarinvest/Documentos%20empresariais/Contratos/Leasing/Anexos/Anexo%20II%20&#8211;%20Opc&#807;a&#771;o%20de%20Compra%20da%20Usina%20(todos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Anexo II – Opção de Compra da Usina (todos).dotx</Template>
  <TotalTime>14</TotalTime>
  <Pages>3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4</cp:revision>
  <dcterms:created xsi:type="dcterms:W3CDTF">2026-04-06T18:53:00Z</dcterms:created>
  <dcterms:modified xsi:type="dcterms:W3CDTF">2026-04-19T18:47:00Z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2025-09-17T13:02:49Z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7cf54be0-0829-44d9-8d25-babfc69da37f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