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 de Conciliación Financiera — TechRetail</w:t>
      </w:r>
    </w:p>
    <w:p>
      <w:r>
        <w:t>Describe cómo el Motor de Conciliación Automatizado cruza los cobros de las pasarelas contra las órdenes de venta.</w:t>
      </w:r>
    </w:p>
    <w:p>
      <w:pPr>
        <w:pStyle w:val="Heading2"/>
      </w:pPr>
      <w:r>
        <w:t>Pasos</w:t>
      </w:r>
    </w:p>
    <w:p>
      <w:r>
        <w:t>1. La pasarela envía un webhook por cada cobro acreditado.</w:t>
      </w:r>
    </w:p>
    <w:p>
      <w:r>
        <w:t>2. El motor cruza el monto neto depositado contra la orden, aplicando la matriz de comisiones configurada por pasarela y medio de pago.</w:t>
      </w:r>
    </w:p>
    <w:p>
      <w:r>
        <w:t>3. Toda orden con una diferencia superior al 0,1% se aísla en el panel de discrepancias para su resolución inmediata.</w:t>
      </w:r>
    </w:p>
    <w:p>
      <w:r>
        <w:t>El objetivo es eliminar la discrepancia estructural del 2% que existía con la conciliación manual quincenal en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