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conciliación de cobros - TechRetail</w:t>
      </w:r>
    </w:p>
    <w:p>
      <w:r>
        <w:t>Uso interno. Describe cómo se controla todos los días que lo que liquidan Mercado Pago y Mercado Libre coincida con las ventas registradas.</w:t>
      </w:r>
    </w:p>
    <w:p>
      <w:pPr>
        <w:pStyle w:val="Heading2"/>
      </w:pPr>
      <w:r>
        <w:t>Pasos</w:t>
      </w:r>
    </w:p>
    <w:p>
      <w:r>
        <w:t>1. Cada mañana, Administración descarga las liquidaciones del día anterior de Mercado Pago y de Mercado Libre.</w:t>
      </w:r>
    </w:p>
    <w:p>
      <w:r>
        <w:t>2. Se cruzan contra las ventas del sistema de gestión, descontando las comisiones de la tabla de comisiones vigente.</w:t>
      </w:r>
    </w:p>
    <w:p>
      <w:r>
        <w:t>3. Toda venta con una diferencia mayor al 0,5 % entre lo esperado y lo liquidado se marca como discrepancia y se revisa en el día.</w:t>
      </w:r>
    </w:p>
    <w:p>
      <w:r>
        <w:t>4. Las devoluciones y los contracargos se registran aparte y se informan al encargado de postventa.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