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Lista de Aulas em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060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6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 com as interfaces alterar e inserir aulas em grupo.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Nome-Busca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aula em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caracteres 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Nome-Resultado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aula em grupo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será exibido atendendo ao critério do campo Nome-Busca. Não editável.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Chama a interface Inserir aula em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Chama a interface Alterar aula em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aula em grupo selecionada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