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EXECUTIVO MASTER - DOCAGENT PIPELINE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Documento consolidado de alta complexidade para homologação de arquitetura de IA generativa, processamento de contratos e métricas de infraestrutura cloud.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Escopo do Projeto e Partes Envolvidas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valida a integração síncrona e assíncrona entre o backend em FastAPI, banco de dados relacional PostgreSQL via SQLAlchemy, microsserviço de inteligência artificial Google Gemini 1.5 Flash e frontend reativo em Streamlit.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Alocações Orçamentárias e Valores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 de infraestrutura cloud inicial (AWS / Docker): R$ 12.450,00 mensais.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Investimento em consultoria de engenharia de dados: R$ 35.000,00.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Aporte total aprovado pelo comitê executivo: R$ 47.450,00.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Cronograma e Vigência de Marcos Técnicos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Início do pipeline de implantação: 15 de agosto de 2026.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Homologação técnica e testes de estresse: 10 de setembro de 2026.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Virada de chave para ambiente de produção (Go-Live): 01 de outubro de 2026.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Métricas de Performance e Indicadores Técnicos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 sistema processou com sucesso mais de 1.500 requisições simultâneas em ambiente isolado Docker Compose, apresentando latência média inferior a 120 milissegundos por documento analisado pela LLM.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Tabela Consolidada de Módulos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 do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FastAPI / Python 3.10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Homologado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Persistência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/ SQLAlchemy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Gemini 1.5 Flash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Streamlit Reativo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Operacional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