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Informe Final</w:t>
      </w:r>
    </w:p>
    <w:p>
      <w:pPr>
        <w:jc w:val="center"/>
      </w:pPr>
      <w:r>
        <w:rPr>
          <w:sz w:val="26"/>
        </w:rPr>
        <w:t>Estadística Aplicada II</w:t>
      </w:r>
    </w:p>
    <w:p>
      <w:pPr>
        <w:jc w:val="center"/>
      </w:pPr>
      <w:r>
        <w:rPr>
          <w:sz w:val="26"/>
        </w:rPr>
        <w:t>Factor localía en la Liga Profesional Argentina 2023</w:t>
      </w:r>
    </w:p>
    <w:p/>
    <w:p>
      <w:pPr>
        <w:jc w:val="center"/>
      </w:pPr>
      <w:r>
        <w:rPr>
          <w:sz w:val="26"/>
        </w:rPr>
        <w:t>Análisis descriptivo, inferencial y económico</w:t>
      </w:r>
    </w:p>
    <w:p/>
    <w:p>
      <w:pPr>
        <w:jc w:val="center"/>
      </w:pPr>
      <w:r>
        <w:rPr>
          <w:sz w:val="26"/>
        </w:rPr>
        <w:t>Autor: Leandro Santos</w:t>
      </w:r>
    </w:p>
    <w:p>
      <w:pPr>
        <w:jc w:val="center"/>
      </w:pPr>
      <w:r>
        <w:rPr>
          <w:sz w:val="26"/>
        </w:rPr>
        <w:t>Año: 2026</w:t>
      </w:r>
    </w:p>
    <w:p>
      <w:r>
        <w:br w:type="page"/>
      </w:r>
    </w:p>
    <w:p>
      <w:pPr>
        <w:pStyle w:val="Heading1"/>
      </w:pPr>
      <w:r>
        <w:t>Índice</w:t>
      </w:r>
    </w:p>
    <w:p>
      <w:r>
        <w:t>1. Introducción</w:t>
      </w:r>
    </w:p>
    <w:p>
      <w:r>
        <w:t>2. Objetivos</w:t>
      </w:r>
    </w:p>
    <w:p>
      <w:r>
        <w:t>3. Fuente de datos y metodología</w:t>
      </w:r>
    </w:p>
    <w:p>
      <w:r>
        <w:t>4. Variables, fórmulas y glosario</w:t>
      </w:r>
    </w:p>
    <w:p>
      <w:r>
        <w:t>5. Análisis descriptivo</w:t>
      </w:r>
    </w:p>
    <w:p>
      <w:r>
        <w:t>6. Percentiles, z-score y Chebyshev</w:t>
      </w:r>
    </w:p>
    <w:p>
      <w:r>
        <w:t>7. Inferencia estadística</w:t>
      </w:r>
    </w:p>
    <w:p>
      <w:r>
        <w:t>8. Empates, proporciones y tablas r x c</w:t>
      </w:r>
    </w:p>
    <w:p>
      <w:r>
        <w:t>9. Pruebas no paramétricas</w:t>
      </w:r>
    </w:p>
    <w:p>
      <w:r>
        <w:t>10. Análisis económico: valor de plantilla</w:t>
      </w:r>
    </w:p>
    <w:p>
      <w:r>
        <w:t>11. Regresión simple y ajuste de curvas</w:t>
      </w:r>
    </w:p>
    <w:p>
      <w:r>
        <w:t>12. ANOVA por grupos económicos</w:t>
      </w:r>
    </w:p>
    <w:p>
      <w:r>
        <w:t>13. Relación con los capítulos de la materia</w:t>
      </w:r>
    </w:p>
    <w:p>
      <w:r>
        <w:t>14. Conclusiones</w:t>
      </w:r>
    </w:p>
    <w:p>
      <w:r>
        <w:t>15. Limitaciones y futuras líneas de análisis</w:t>
      </w:r>
    </w:p>
    <w:p>
      <w:r>
        <w:t>16. Anexos gráficos</w:t>
      </w:r>
    </w:p>
    <w:p>
      <w:r>
        <w:br w:type="page"/>
      </w:r>
    </w:p>
    <w:p>
      <w:pPr>
        <w:pStyle w:val="Heading1"/>
      </w:pPr>
      <w:r>
        <w:t>1. Introducción</w:t>
      </w:r>
    </w:p>
    <w:p>
      <w:pPr>
        <w:spacing w:after="140" w:line="259" w:lineRule="auto"/>
        <w:jc w:val="both"/>
      </w:pPr>
      <w:r>
        <w:t>El presente trabajo analiza el efecto de la localía en la Liga Profesional Argentina 2023. El objetivo principal es estudiar si los equipos obtienen mejores resultados cuando juegan como locales en comparación con su rendimiento como visitantes. Además, se incorpora una dimensión económica mediante el valor de mercado de las plantillas, con el fin de evaluar si los equipos con mayor poder económico aprovechan más la condición de local.</w:t>
      </w:r>
    </w:p>
    <w:p>
      <w:pPr>
        <w:spacing w:after="140" w:line="259" w:lineRule="auto"/>
        <w:jc w:val="both"/>
      </w:pPr>
      <w:r>
        <w:t>El tema resulta relevante porque en el fútbol la localía suele asociarse con ventajas deportivas como el apoyo del público, el conocimiento del estadio, la reducción de viajes y factores psicológicos. Sin embargo, desde una perspectiva estadística, estas ideas deben contrastarse con datos reales, indicadores cuantitativos y pruebas formales.</w:t>
      </w:r>
    </w:p>
    <w:p>
      <w:pPr>
        <w:pStyle w:val="Heading1"/>
      </w:pPr>
      <w:r>
        <w:t>2. Objetivos</w:t>
      </w:r>
    </w:p>
    <w:p>
      <w:pPr>
        <w:spacing w:after="140" w:line="259" w:lineRule="auto"/>
        <w:jc w:val="both"/>
      </w:pPr>
      <w:r>
        <w:t>El objetivo general es determinar si existe evidencia estadística de una ventaja de localía en la Liga Profesional Argentina 2023.</w:t>
      </w:r>
    </w:p>
    <w:p>
      <w:pPr>
        <w:pStyle w:val="ListBullet"/>
        <w:jc w:val="both"/>
      </w:pPr>
      <w:r>
        <w:t>Comparar puntos por partido, goles por partido y proporciones de resultados entre local y visitante.</w:t>
      </w:r>
    </w:p>
    <w:p>
      <w:pPr>
        <w:pStyle w:val="ListBullet"/>
        <w:jc w:val="both"/>
      </w:pPr>
      <w:r>
        <w:t>Construir e interpretar la variable Delta Pts/PJ como medida de ventaja de localía.</w:t>
      </w:r>
    </w:p>
    <w:p>
      <w:pPr>
        <w:pStyle w:val="ListBullet"/>
        <w:jc w:val="both"/>
      </w:pPr>
      <w:r>
        <w:t>Aplicar intervalos de confianza, pruebas de hipótesis, pruebas no paramétricas y análisis de proporciones.</w:t>
      </w:r>
    </w:p>
    <w:p>
      <w:pPr>
        <w:pStyle w:val="ListBullet"/>
        <w:jc w:val="both"/>
      </w:pPr>
      <w:r>
        <w:t>Incorporar el valor de plantilla para estudiar si el poder económico se relaciona con el rendimiento local.</w:t>
      </w:r>
    </w:p>
    <w:p>
      <w:pPr>
        <w:pStyle w:val="ListBullet"/>
        <w:jc w:val="both"/>
      </w:pPr>
      <w:r>
        <w:t>Vincular el análisis aplicado con los principales capítulos de Estadística Aplicada II.</w:t>
      </w:r>
    </w:p>
    <w:p>
      <w:pPr>
        <w:pStyle w:val="Heading1"/>
      </w:pPr>
      <w:r>
        <w:t>3. Fuente de datos y metodología</w:t>
      </w:r>
    </w:p>
    <w:p>
      <w:pPr>
        <w:spacing w:after="140" w:line="259" w:lineRule="auto"/>
        <w:jc w:val="both"/>
      </w:pPr>
      <w:r>
        <w:t>La base deportiva se construyó a partir de datos de FBref correspondientes a la Liga Profesional Argentina 2023. Se utilizó la tabla Home/Away, que separa el rendimiento de cada equipo como local y como visitante. Para el análisis económico se incorporó información de Transfermarkt, utilizando el valor total de mercado de cada plantilla en millones de euros.</w:t>
      </w:r>
    </w:p>
    <w:p>
      <w:pPr>
        <w:spacing w:after="140" w:line="259" w:lineRule="auto"/>
        <w:jc w:val="both"/>
      </w:pPr>
      <w:r>
        <w:t>La unidad de análisis principal es cada equipo de la temporada. Para cada club se calcularon indicadores de rendimiento local y visitante. Luego se aplicaron técnicas descriptivas, inferenciales, no paramétricas, de regresión y de análisis de varianza.</w:t>
      </w:r>
    </w:p>
    <w:p>
      <w:pPr>
        <w:spacing w:after="140" w:line="259" w:lineRule="auto"/>
        <w:jc w:val="both"/>
      </w:pPr>
      <w:r>
        <w:t>El procesamiento fue realizado con Python. Se utilizaron pandas para carga y limpieza de datos, scipy para pruebas estadísticas y regresiones, matplotlib para gráficos y python-docx para la generación automática del informe final.</w:t>
      </w:r>
    </w:p>
    <w:p>
      <w:pPr>
        <w:pStyle w:val="Heading1"/>
      </w:pPr>
      <w:r>
        <w:t>4. Variables, fórmulas y glosario</w:t>
      </w:r>
    </w:p>
    <w:p>
      <w:pPr>
        <w:spacing w:after="140" w:line="259" w:lineRule="auto"/>
        <w:jc w:val="both"/>
      </w:pPr>
      <w:r>
        <w:t>La variable central del trabajo es Delta Pts/PJ. Esta variable mide la diferencia entre el promedio de puntos por partido como local y el promedio de puntos por partido como visitante.</w:t>
      </w:r>
    </w:p>
    <w:p>
      <w:pPr>
        <w:spacing w:after="160"/>
        <w:jc w:val="center"/>
      </w:pPr>
      <w:r>
        <w:rPr>
          <w:b/>
          <w:sz w:val="22"/>
        </w:rPr>
        <w:t>Delta Pts/PJ = Pts/PJ Local - Pts/PJ Visitante</w:t>
      </w:r>
    </w:p>
    <w:p>
      <w:pPr>
        <w:spacing w:after="140" w:line="259" w:lineRule="auto"/>
        <w:jc w:val="both"/>
      </w:pPr>
      <w:r>
        <w:t>Si Delta Pts/PJ es positivo, el equipo rindió mejor como local. Si es cercano a cero, el rendimiento fue similar en ambas condiciones. Si es negativo, el equipo rindió mejor como visitante.</w:t>
      </w:r>
    </w:p>
    <w:p>
      <w:pPr>
        <w:pStyle w:val="Heading3"/>
      </w:pPr>
      <w:r>
        <w:t>Tabla de fórmulas principales utilizadas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b/>
                <w:sz w:val="14"/>
              </w:rPr>
              <w:t>Indicador</w:t>
            </w:r>
          </w:p>
        </w:tc>
        <w:tc>
          <w:tcPr>
            <w:tcW w:type="dxa" w:w="3408"/>
            <w:vAlign w:val="center"/>
          </w:tcPr>
          <w:p>
            <w:pPr>
              <w:jc w:val="center"/>
            </w:pPr>
            <w:r>
              <w:rPr>
                <w:b/>
                <w:sz w:val="14"/>
              </w:rPr>
              <w:t>Formula</w:t>
            </w:r>
          </w:p>
        </w:tc>
        <w:tc>
          <w:tcPr>
            <w:tcW w:type="dxa" w:w="3408"/>
            <w:vAlign w:val="center"/>
          </w:tcPr>
          <w:p>
            <w:pPr>
              <w:jc w:val="center"/>
            </w:pPr>
            <w:r>
              <w:rPr>
                <w:b/>
                <w:sz w:val="14"/>
              </w:rPr>
              <w:t>Interpretacion</w:t>
            </w:r>
          </w:p>
        </w:tc>
      </w:tr>
      <w:tr>
        <w:tc>
          <w:tcPr>
            <w:tcW w:type="dxa" w:w="3408"/>
            <w:vAlign w:val="center"/>
          </w:tcPr>
          <w:p>
            <w:pPr>
              <w:jc w:val="center"/>
            </w:pPr>
            <w:r>
              <w:rPr>
                <w:sz w:val="14"/>
              </w:rPr>
              <w:t>Puntos por partido local</w:t>
            </w:r>
          </w:p>
        </w:tc>
        <w:tc>
          <w:tcPr>
            <w:tcW w:type="dxa" w:w="3408"/>
            <w:vAlign w:val="center"/>
          </w:tcPr>
          <w:p>
            <w:pPr>
              <w:jc w:val="center"/>
            </w:pPr>
            <w:r>
              <w:rPr>
                <w:sz w:val="14"/>
              </w:rPr>
              <w:t>Pts_PJ_Local = Puntos_Local / Partidos_Local</w:t>
            </w:r>
          </w:p>
        </w:tc>
        <w:tc>
          <w:tcPr>
            <w:tcW w:type="dxa" w:w="3408"/>
            <w:vAlign w:val="center"/>
          </w:tcPr>
          <w:p>
            <w:pPr>
              <w:jc w:val="center"/>
            </w:pPr>
            <w:r>
              <w:rPr>
                <w:sz w:val="14"/>
              </w:rPr>
              <w:t>Mide cuántos puntos obtiene un equipo por partido jugando como local.</w:t>
            </w:r>
          </w:p>
        </w:tc>
      </w:tr>
      <w:tr>
        <w:tc>
          <w:tcPr>
            <w:tcW w:type="dxa" w:w="3408"/>
            <w:vAlign w:val="center"/>
          </w:tcPr>
          <w:p>
            <w:pPr>
              <w:jc w:val="center"/>
            </w:pPr>
            <w:r>
              <w:rPr>
                <w:sz w:val="14"/>
              </w:rPr>
              <w:t>Puntos por partido visitante</w:t>
            </w:r>
          </w:p>
        </w:tc>
        <w:tc>
          <w:tcPr>
            <w:tcW w:type="dxa" w:w="3408"/>
            <w:vAlign w:val="center"/>
          </w:tcPr>
          <w:p>
            <w:pPr>
              <w:jc w:val="center"/>
            </w:pPr>
            <w:r>
              <w:rPr>
                <w:sz w:val="14"/>
              </w:rPr>
              <w:t>Pts_PJ_Visitante = Puntos_Visitante / Partidos_Visitante</w:t>
            </w:r>
          </w:p>
        </w:tc>
        <w:tc>
          <w:tcPr>
            <w:tcW w:type="dxa" w:w="3408"/>
            <w:vAlign w:val="center"/>
          </w:tcPr>
          <w:p>
            <w:pPr>
              <w:jc w:val="center"/>
            </w:pPr>
            <w:r>
              <w:rPr>
                <w:sz w:val="14"/>
              </w:rPr>
              <w:t>Mide cuántos puntos obtiene un equipo por partido jugando como visitante.</w:t>
            </w:r>
          </w:p>
        </w:tc>
      </w:tr>
      <w:tr>
        <w:tc>
          <w:tcPr>
            <w:tcW w:type="dxa" w:w="3408"/>
            <w:vAlign w:val="center"/>
          </w:tcPr>
          <w:p>
            <w:pPr>
              <w:jc w:val="center"/>
            </w:pPr>
            <w:r>
              <w:rPr>
                <w:sz w:val="14"/>
              </w:rPr>
              <w:t>Ventaja de localía</w:t>
            </w:r>
          </w:p>
        </w:tc>
        <w:tc>
          <w:tcPr>
            <w:tcW w:type="dxa" w:w="3408"/>
            <w:vAlign w:val="center"/>
          </w:tcPr>
          <w:p>
            <w:pPr>
              <w:jc w:val="center"/>
            </w:pPr>
            <w:r>
              <w:rPr>
                <w:sz w:val="14"/>
              </w:rPr>
              <w:t>Delta_Pts_PJ = Pts_PJ_Local - Pts_PJ_Visitante</w:t>
            </w:r>
          </w:p>
        </w:tc>
        <w:tc>
          <w:tcPr>
            <w:tcW w:type="dxa" w:w="3408"/>
            <w:vAlign w:val="center"/>
          </w:tcPr>
          <w:p>
            <w:pPr>
              <w:jc w:val="center"/>
            </w:pPr>
            <w:r>
              <w:rPr>
                <w:sz w:val="14"/>
              </w:rPr>
              <w:t>Mide cuánto mejora o empeora el rendimiento al jugar como local.</w:t>
            </w:r>
          </w:p>
        </w:tc>
      </w:tr>
      <w:tr>
        <w:tc>
          <w:tcPr>
            <w:tcW w:type="dxa" w:w="3408"/>
            <w:vAlign w:val="center"/>
          </w:tcPr>
          <w:p>
            <w:pPr>
              <w:jc w:val="center"/>
            </w:pPr>
            <w:r>
              <w:rPr>
                <w:sz w:val="14"/>
              </w:rPr>
              <w:t>Goles por partido local</w:t>
            </w:r>
          </w:p>
        </w:tc>
        <w:tc>
          <w:tcPr>
            <w:tcW w:type="dxa" w:w="3408"/>
            <w:vAlign w:val="center"/>
          </w:tcPr>
          <w:p>
            <w:pPr>
              <w:jc w:val="center"/>
            </w:pPr>
            <w:r>
              <w:rPr>
                <w:sz w:val="14"/>
              </w:rPr>
              <w:t>GF_PJ_Local = Goles_Local / Partidos_Local</w:t>
            </w:r>
          </w:p>
        </w:tc>
        <w:tc>
          <w:tcPr>
            <w:tcW w:type="dxa" w:w="3408"/>
            <w:vAlign w:val="center"/>
          </w:tcPr>
          <w:p>
            <w:pPr>
              <w:jc w:val="center"/>
            </w:pPr>
            <w:r>
              <w:rPr>
                <w:sz w:val="14"/>
              </w:rPr>
              <w:t>Mide la producción ofensiva como local.</w:t>
            </w:r>
          </w:p>
        </w:tc>
      </w:tr>
      <w:tr>
        <w:tc>
          <w:tcPr>
            <w:tcW w:type="dxa" w:w="3408"/>
            <w:vAlign w:val="center"/>
          </w:tcPr>
          <w:p>
            <w:pPr>
              <w:jc w:val="center"/>
            </w:pPr>
            <w:r>
              <w:rPr>
                <w:sz w:val="14"/>
              </w:rPr>
              <w:t>Goles por partido visitante</w:t>
            </w:r>
          </w:p>
        </w:tc>
        <w:tc>
          <w:tcPr>
            <w:tcW w:type="dxa" w:w="3408"/>
            <w:vAlign w:val="center"/>
          </w:tcPr>
          <w:p>
            <w:pPr>
              <w:jc w:val="center"/>
            </w:pPr>
            <w:r>
              <w:rPr>
                <w:sz w:val="14"/>
              </w:rPr>
              <w:t>GF_PJ_Visitante = Goles_Visitante / Partidos_Visitante</w:t>
            </w:r>
          </w:p>
        </w:tc>
        <w:tc>
          <w:tcPr>
            <w:tcW w:type="dxa" w:w="3408"/>
            <w:vAlign w:val="center"/>
          </w:tcPr>
          <w:p>
            <w:pPr>
              <w:jc w:val="center"/>
            </w:pPr>
            <w:r>
              <w:rPr>
                <w:sz w:val="14"/>
              </w:rPr>
              <w:t>Mide la producción ofensiva como visitante.</w:t>
            </w:r>
          </w:p>
        </w:tc>
      </w:tr>
      <w:tr>
        <w:tc>
          <w:tcPr>
            <w:tcW w:type="dxa" w:w="3408"/>
            <w:vAlign w:val="center"/>
          </w:tcPr>
          <w:p>
            <w:pPr>
              <w:jc w:val="center"/>
            </w:pPr>
            <w:r>
              <w:rPr>
                <w:sz w:val="14"/>
              </w:rPr>
              <w:t>Diferencia de goles por partido</w:t>
            </w:r>
          </w:p>
        </w:tc>
        <w:tc>
          <w:tcPr>
            <w:tcW w:type="dxa" w:w="3408"/>
            <w:vAlign w:val="center"/>
          </w:tcPr>
          <w:p>
            <w:pPr>
              <w:jc w:val="center"/>
            </w:pPr>
            <w:r>
              <w:rPr>
                <w:sz w:val="14"/>
              </w:rPr>
              <w:t>Delta_GF_PJ = GF_PJ_Local - GF_PJ_Visitante</w:t>
            </w:r>
          </w:p>
        </w:tc>
        <w:tc>
          <w:tcPr>
            <w:tcW w:type="dxa" w:w="3408"/>
            <w:vAlign w:val="center"/>
          </w:tcPr>
          <w:p>
            <w:pPr>
              <w:jc w:val="center"/>
            </w:pPr>
            <w:r>
              <w:rPr>
                <w:sz w:val="14"/>
              </w:rPr>
              <w:t>Mide la diferencia ofensiva entre jugar de local y visitante.</w:t>
            </w:r>
          </w:p>
        </w:tc>
      </w:tr>
      <w:tr>
        <w:tc>
          <w:tcPr>
            <w:tcW w:type="dxa" w:w="3408"/>
            <w:vAlign w:val="center"/>
          </w:tcPr>
          <w:p>
            <w:pPr>
              <w:jc w:val="center"/>
            </w:pPr>
            <w:r>
              <w:rPr>
                <w:sz w:val="14"/>
              </w:rPr>
              <w:t>Eficacia local</w:t>
            </w:r>
          </w:p>
        </w:tc>
        <w:tc>
          <w:tcPr>
            <w:tcW w:type="dxa" w:w="3408"/>
            <w:vAlign w:val="center"/>
          </w:tcPr>
          <w:p>
            <w:pPr>
              <w:jc w:val="center"/>
            </w:pPr>
            <w:r>
              <w:rPr>
                <w:sz w:val="14"/>
              </w:rPr>
              <w:t>Eficacia_Local_% = Puntos_Local / (3 * Partidos_Local) * 100</w:t>
            </w:r>
          </w:p>
        </w:tc>
        <w:tc>
          <w:tcPr>
            <w:tcW w:type="dxa" w:w="3408"/>
            <w:vAlign w:val="center"/>
          </w:tcPr>
          <w:p>
            <w:pPr>
              <w:jc w:val="center"/>
            </w:pPr>
            <w:r>
              <w:rPr>
                <w:sz w:val="14"/>
              </w:rPr>
              <w:t>Porcentaje de puntos obtenidos sobre el máximo posible como local.</w:t>
            </w:r>
          </w:p>
        </w:tc>
      </w:tr>
      <w:tr>
        <w:tc>
          <w:tcPr>
            <w:tcW w:type="dxa" w:w="3408"/>
            <w:vAlign w:val="center"/>
          </w:tcPr>
          <w:p>
            <w:pPr>
              <w:jc w:val="center"/>
            </w:pPr>
            <w:r>
              <w:rPr>
                <w:sz w:val="14"/>
              </w:rPr>
              <w:t>Porcentaje de victorias</w:t>
            </w:r>
          </w:p>
        </w:tc>
        <w:tc>
          <w:tcPr>
            <w:tcW w:type="dxa" w:w="3408"/>
            <w:vAlign w:val="center"/>
          </w:tcPr>
          <w:p>
            <w:pPr>
              <w:jc w:val="center"/>
            </w:pPr>
            <w:r>
              <w:rPr>
                <w:sz w:val="14"/>
              </w:rPr>
              <w:t>Pct_Victorias = Victorias / Partidos * 100</w:t>
            </w:r>
          </w:p>
        </w:tc>
        <w:tc>
          <w:tcPr>
            <w:tcW w:type="dxa" w:w="3408"/>
            <w:vAlign w:val="center"/>
          </w:tcPr>
          <w:p>
            <w:pPr>
              <w:jc w:val="center"/>
            </w:pPr>
            <w:r>
              <w:rPr>
                <w:sz w:val="14"/>
              </w:rPr>
              <w:t>Proporción de partidos ganados en una condición determinada.</w:t>
            </w:r>
          </w:p>
        </w:tc>
      </w:tr>
    </w:tbl>
    <w:p/>
    <w:p>
      <w:pPr>
        <w:pStyle w:val="Heading3"/>
      </w:pPr>
      <w:r>
        <w:t>Glosario estadístico</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jc w:val="center"/>
            </w:pPr>
            <w:r>
              <w:rPr>
                <w:b/>
                <w:sz w:val="16"/>
              </w:rPr>
              <w:t>Concepto</w:t>
            </w:r>
          </w:p>
        </w:tc>
        <w:tc>
          <w:tcPr>
            <w:tcW w:type="dxa" w:w="5112"/>
            <w:vAlign w:val="center"/>
          </w:tcPr>
          <w:p>
            <w:pPr>
              <w:jc w:val="center"/>
            </w:pPr>
            <w:r>
              <w:rPr>
                <w:b/>
                <w:sz w:val="16"/>
              </w:rPr>
              <w:t>Definicion</w:t>
            </w:r>
          </w:p>
        </w:tc>
      </w:tr>
      <w:tr>
        <w:tc>
          <w:tcPr>
            <w:tcW w:type="dxa" w:w="5112"/>
            <w:vAlign w:val="center"/>
          </w:tcPr>
          <w:p>
            <w:pPr>
              <w:jc w:val="center"/>
            </w:pPr>
            <w:r>
              <w:rPr>
                <w:sz w:val="16"/>
              </w:rPr>
              <w:t>Media</w:t>
            </w:r>
          </w:p>
        </w:tc>
        <w:tc>
          <w:tcPr>
            <w:tcW w:type="dxa" w:w="5112"/>
            <w:vAlign w:val="center"/>
          </w:tcPr>
          <w:p>
            <w:pPr>
              <w:jc w:val="center"/>
            </w:pPr>
            <w:r>
              <w:rPr>
                <w:sz w:val="16"/>
              </w:rPr>
              <w:t>Promedio aritmético de un conjunto de datos.</w:t>
            </w:r>
          </w:p>
        </w:tc>
      </w:tr>
      <w:tr>
        <w:tc>
          <w:tcPr>
            <w:tcW w:type="dxa" w:w="5112"/>
            <w:vAlign w:val="center"/>
          </w:tcPr>
          <w:p>
            <w:pPr>
              <w:jc w:val="center"/>
            </w:pPr>
            <w:r>
              <w:rPr>
                <w:sz w:val="16"/>
              </w:rPr>
              <w:t>Mediana</w:t>
            </w:r>
          </w:p>
        </w:tc>
        <w:tc>
          <w:tcPr>
            <w:tcW w:type="dxa" w:w="5112"/>
            <w:vAlign w:val="center"/>
          </w:tcPr>
          <w:p>
            <w:pPr>
              <w:jc w:val="center"/>
            </w:pPr>
            <w:r>
              <w:rPr>
                <w:sz w:val="16"/>
              </w:rPr>
              <w:t>Valor central de los datos ordenados.</w:t>
            </w:r>
          </w:p>
        </w:tc>
      </w:tr>
      <w:tr>
        <w:tc>
          <w:tcPr>
            <w:tcW w:type="dxa" w:w="5112"/>
            <w:vAlign w:val="center"/>
          </w:tcPr>
          <w:p>
            <w:pPr>
              <w:jc w:val="center"/>
            </w:pPr>
            <w:r>
              <w:rPr>
                <w:sz w:val="16"/>
              </w:rPr>
              <w:t>Varianza</w:t>
            </w:r>
          </w:p>
        </w:tc>
        <w:tc>
          <w:tcPr>
            <w:tcW w:type="dxa" w:w="5112"/>
            <w:vAlign w:val="center"/>
          </w:tcPr>
          <w:p>
            <w:pPr>
              <w:jc w:val="center"/>
            </w:pPr>
            <w:r>
              <w:rPr>
                <w:sz w:val="16"/>
              </w:rPr>
              <w:t>Medida de dispersión que indica cuánto se alejan los datos de la media.</w:t>
            </w:r>
          </w:p>
        </w:tc>
      </w:tr>
      <w:tr>
        <w:tc>
          <w:tcPr>
            <w:tcW w:type="dxa" w:w="5112"/>
            <w:vAlign w:val="center"/>
          </w:tcPr>
          <w:p>
            <w:pPr>
              <w:jc w:val="center"/>
            </w:pPr>
            <w:r>
              <w:rPr>
                <w:sz w:val="16"/>
              </w:rPr>
              <w:t>Desvío estándar</w:t>
            </w:r>
          </w:p>
        </w:tc>
        <w:tc>
          <w:tcPr>
            <w:tcW w:type="dxa" w:w="5112"/>
            <w:vAlign w:val="center"/>
          </w:tcPr>
          <w:p>
            <w:pPr>
              <w:jc w:val="center"/>
            </w:pPr>
            <w:r>
              <w:rPr>
                <w:sz w:val="16"/>
              </w:rPr>
              <w:t>Raíz cuadrada de la varianza. Mide dispersión en las mismas unidades que la variable.</w:t>
            </w:r>
          </w:p>
        </w:tc>
      </w:tr>
      <w:tr>
        <w:tc>
          <w:tcPr>
            <w:tcW w:type="dxa" w:w="5112"/>
            <w:vAlign w:val="center"/>
          </w:tcPr>
          <w:p>
            <w:pPr>
              <w:jc w:val="center"/>
            </w:pPr>
            <w:r>
              <w:rPr>
                <w:sz w:val="16"/>
              </w:rPr>
              <w:t>Percentil</w:t>
            </w:r>
          </w:p>
        </w:tc>
        <w:tc>
          <w:tcPr>
            <w:tcW w:type="dxa" w:w="5112"/>
            <w:vAlign w:val="center"/>
          </w:tcPr>
          <w:p>
            <w:pPr>
              <w:jc w:val="center"/>
            </w:pPr>
            <w:r>
              <w:rPr>
                <w:sz w:val="16"/>
              </w:rPr>
              <w:t>Valor por debajo del cual se encuentra un determinado porcentaje de observaciones.</w:t>
            </w:r>
          </w:p>
        </w:tc>
      </w:tr>
      <w:tr>
        <w:tc>
          <w:tcPr>
            <w:tcW w:type="dxa" w:w="5112"/>
            <w:vAlign w:val="center"/>
          </w:tcPr>
          <w:p>
            <w:pPr>
              <w:jc w:val="center"/>
            </w:pPr>
            <w:r>
              <w:rPr>
                <w:sz w:val="16"/>
              </w:rPr>
              <w:t>Cuartil</w:t>
            </w:r>
          </w:p>
        </w:tc>
        <w:tc>
          <w:tcPr>
            <w:tcW w:type="dxa" w:w="5112"/>
            <w:vAlign w:val="center"/>
          </w:tcPr>
          <w:p>
            <w:pPr>
              <w:jc w:val="center"/>
            </w:pPr>
            <w:r>
              <w:rPr>
                <w:sz w:val="16"/>
              </w:rPr>
              <w:t>Percentiles 25, 50 y 75. Dividen los datos en cuatro partes.</w:t>
            </w:r>
          </w:p>
        </w:tc>
      </w:tr>
      <w:tr>
        <w:tc>
          <w:tcPr>
            <w:tcW w:type="dxa" w:w="5112"/>
            <w:vAlign w:val="center"/>
          </w:tcPr>
          <w:p>
            <w:pPr>
              <w:jc w:val="center"/>
            </w:pPr>
            <w:r>
              <w:rPr>
                <w:sz w:val="16"/>
              </w:rPr>
              <w:t>Rango intercuartílico</w:t>
            </w:r>
          </w:p>
        </w:tc>
        <w:tc>
          <w:tcPr>
            <w:tcW w:type="dxa" w:w="5112"/>
            <w:vAlign w:val="center"/>
          </w:tcPr>
          <w:p>
            <w:pPr>
              <w:jc w:val="center"/>
            </w:pPr>
            <w:r>
              <w:rPr>
                <w:sz w:val="16"/>
              </w:rPr>
              <w:t>Diferencia entre el tercer y el primer cuartil. Mide la dispersión central.</w:t>
            </w:r>
          </w:p>
        </w:tc>
      </w:tr>
      <w:tr>
        <w:tc>
          <w:tcPr>
            <w:tcW w:type="dxa" w:w="5112"/>
            <w:vAlign w:val="center"/>
          </w:tcPr>
          <w:p>
            <w:pPr>
              <w:jc w:val="center"/>
            </w:pPr>
            <w:r>
              <w:rPr>
                <w:sz w:val="16"/>
              </w:rPr>
              <w:t>Z-score</w:t>
            </w:r>
          </w:p>
        </w:tc>
        <w:tc>
          <w:tcPr>
            <w:tcW w:type="dxa" w:w="5112"/>
            <w:vAlign w:val="center"/>
          </w:tcPr>
          <w:p>
            <w:pPr>
              <w:jc w:val="center"/>
            </w:pPr>
            <w:r>
              <w:rPr>
                <w:sz w:val="16"/>
              </w:rPr>
              <w:t>Indica cuántos desvíos estándar se encuentra un valor por encima o por debajo de la media.</w:t>
            </w:r>
          </w:p>
        </w:tc>
      </w:tr>
      <w:tr>
        <w:tc>
          <w:tcPr>
            <w:tcW w:type="dxa" w:w="5112"/>
            <w:vAlign w:val="center"/>
          </w:tcPr>
          <w:p>
            <w:pPr>
              <w:jc w:val="center"/>
            </w:pPr>
            <w:r>
              <w:rPr>
                <w:sz w:val="16"/>
              </w:rPr>
              <w:t>p-valor</w:t>
            </w:r>
          </w:p>
        </w:tc>
        <w:tc>
          <w:tcPr>
            <w:tcW w:type="dxa" w:w="5112"/>
            <w:vAlign w:val="center"/>
          </w:tcPr>
          <w:p>
            <w:pPr>
              <w:jc w:val="center"/>
            </w:pPr>
            <w:r>
              <w:rPr>
                <w:sz w:val="16"/>
              </w:rPr>
              <w:t>Probabilidad de obtener un resultado tan extremo como el observado si la hipótesis nula fuera verdadera.</w:t>
            </w:r>
          </w:p>
        </w:tc>
      </w:tr>
      <w:tr>
        <w:tc>
          <w:tcPr>
            <w:tcW w:type="dxa" w:w="5112"/>
            <w:vAlign w:val="center"/>
          </w:tcPr>
          <w:p>
            <w:pPr>
              <w:jc w:val="center"/>
            </w:pPr>
            <w:r>
              <w:rPr>
                <w:sz w:val="16"/>
              </w:rPr>
              <w:t>Hipótesis nula</w:t>
            </w:r>
          </w:p>
        </w:tc>
        <w:tc>
          <w:tcPr>
            <w:tcW w:type="dxa" w:w="5112"/>
            <w:vAlign w:val="center"/>
          </w:tcPr>
          <w:p>
            <w:pPr>
              <w:jc w:val="center"/>
            </w:pPr>
            <w:r>
              <w:rPr>
                <w:sz w:val="16"/>
              </w:rPr>
              <w:t>Supuesto inicial que se pone a prueba estadísticamente.</w:t>
            </w:r>
          </w:p>
        </w:tc>
      </w:tr>
      <w:tr>
        <w:tc>
          <w:tcPr>
            <w:tcW w:type="dxa" w:w="5112"/>
            <w:vAlign w:val="center"/>
          </w:tcPr>
          <w:p>
            <w:pPr>
              <w:jc w:val="center"/>
            </w:pPr>
            <w:r>
              <w:rPr>
                <w:sz w:val="16"/>
              </w:rPr>
              <w:t>Intervalo de confianza</w:t>
            </w:r>
          </w:p>
        </w:tc>
        <w:tc>
          <w:tcPr>
            <w:tcW w:type="dxa" w:w="5112"/>
            <w:vAlign w:val="center"/>
          </w:tcPr>
          <w:p>
            <w:pPr>
              <w:jc w:val="center"/>
            </w:pPr>
            <w:r>
              <w:rPr>
                <w:sz w:val="16"/>
              </w:rPr>
              <w:t>Rango de valores plausibles para un parámetro poblacional.</w:t>
            </w:r>
          </w:p>
        </w:tc>
      </w:tr>
      <w:tr>
        <w:tc>
          <w:tcPr>
            <w:tcW w:type="dxa" w:w="5112"/>
            <w:vAlign w:val="center"/>
          </w:tcPr>
          <w:p>
            <w:pPr>
              <w:jc w:val="center"/>
            </w:pPr>
            <w:r>
              <w:rPr>
                <w:sz w:val="16"/>
              </w:rPr>
              <w:t>Correlación</w:t>
            </w:r>
          </w:p>
        </w:tc>
        <w:tc>
          <w:tcPr>
            <w:tcW w:type="dxa" w:w="5112"/>
            <w:vAlign w:val="center"/>
          </w:tcPr>
          <w:p>
            <w:pPr>
              <w:jc w:val="center"/>
            </w:pPr>
            <w:r>
              <w:rPr>
                <w:sz w:val="16"/>
              </w:rPr>
              <w:t>Medida de asociación entre dos variables.</w:t>
            </w:r>
          </w:p>
        </w:tc>
      </w:tr>
      <w:tr>
        <w:tc>
          <w:tcPr>
            <w:tcW w:type="dxa" w:w="5112"/>
            <w:vAlign w:val="center"/>
          </w:tcPr>
          <w:p>
            <w:pPr>
              <w:jc w:val="center"/>
            </w:pPr>
            <w:r>
              <w:rPr>
                <w:sz w:val="16"/>
              </w:rPr>
              <w:t>Regresión</w:t>
            </w:r>
          </w:p>
        </w:tc>
        <w:tc>
          <w:tcPr>
            <w:tcW w:type="dxa" w:w="5112"/>
            <w:vAlign w:val="center"/>
          </w:tcPr>
          <w:p>
            <w:pPr>
              <w:jc w:val="center"/>
            </w:pPr>
            <w:r>
              <w:rPr>
                <w:sz w:val="16"/>
              </w:rPr>
              <w:t>Modelo que permite estudiar cómo una variable explica o predice a otra.</w:t>
            </w:r>
          </w:p>
        </w:tc>
      </w:tr>
      <w:tr>
        <w:tc>
          <w:tcPr>
            <w:tcW w:type="dxa" w:w="5112"/>
            <w:vAlign w:val="center"/>
          </w:tcPr>
          <w:p>
            <w:pPr>
              <w:jc w:val="center"/>
            </w:pPr>
            <w:r>
              <w:rPr>
                <w:sz w:val="16"/>
              </w:rPr>
              <w:t>ANOVA</w:t>
            </w:r>
          </w:p>
        </w:tc>
        <w:tc>
          <w:tcPr>
            <w:tcW w:type="dxa" w:w="5112"/>
            <w:vAlign w:val="center"/>
          </w:tcPr>
          <w:p>
            <w:pPr>
              <w:jc w:val="center"/>
            </w:pPr>
            <w:r>
              <w:rPr>
                <w:sz w:val="16"/>
              </w:rPr>
              <w:t>Prueba que compara medias entre tres o más grupos.</w:t>
            </w:r>
          </w:p>
        </w:tc>
      </w:tr>
    </w:tbl>
    <w:p/>
    <w:p>
      <w:pPr>
        <w:pStyle w:val="Heading1"/>
      </w:pPr>
      <w:r>
        <w:t>5. Análisis descriptivo</w:t>
      </w:r>
    </w:p>
    <w:p>
      <w:pPr>
        <w:spacing w:after="140" w:line="259" w:lineRule="auto"/>
        <w:jc w:val="both"/>
      </w:pPr>
      <w:r>
        <w:t>El análisis descriptivo muestra una diferencia clara entre el rendimiento local y visitante. Los equipos locales obtuvieron más puntos por partido, más goles por partido y una mayor proporción de victorias que los visitantes.</w:t>
      </w:r>
    </w:p>
    <w:p>
      <w:pPr>
        <w:pStyle w:val="Heading3"/>
      </w:pPr>
      <w:r>
        <w:t>Resumen global: local vs visitante</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vAlign w:val="center"/>
          </w:tcPr>
          <w:p>
            <w:pPr>
              <w:jc w:val="center"/>
            </w:pPr>
            <w:r>
              <w:rPr>
                <w:b/>
                <w:sz w:val="14"/>
              </w:rPr>
              <w:t>Condicion</w:t>
            </w:r>
          </w:p>
        </w:tc>
        <w:tc>
          <w:tcPr>
            <w:tcW w:type="dxa" w:w="786"/>
            <w:vAlign w:val="center"/>
          </w:tcPr>
          <w:p>
            <w:pPr>
              <w:jc w:val="center"/>
            </w:pPr>
            <w:r>
              <w:rPr>
                <w:b/>
                <w:sz w:val="14"/>
              </w:rPr>
              <w:t>Partidos</w:t>
            </w:r>
          </w:p>
        </w:tc>
        <w:tc>
          <w:tcPr>
            <w:tcW w:type="dxa" w:w="786"/>
            <w:vAlign w:val="center"/>
          </w:tcPr>
          <w:p>
            <w:pPr>
              <w:jc w:val="center"/>
            </w:pPr>
            <w:r>
              <w:rPr>
                <w:b/>
                <w:sz w:val="14"/>
              </w:rPr>
              <w:t>Victorias</w:t>
            </w:r>
          </w:p>
        </w:tc>
        <w:tc>
          <w:tcPr>
            <w:tcW w:type="dxa" w:w="786"/>
            <w:vAlign w:val="center"/>
          </w:tcPr>
          <w:p>
            <w:pPr>
              <w:jc w:val="center"/>
            </w:pPr>
            <w:r>
              <w:rPr>
                <w:b/>
                <w:sz w:val="14"/>
              </w:rPr>
              <w:t>Empates</w:t>
            </w:r>
          </w:p>
        </w:tc>
        <w:tc>
          <w:tcPr>
            <w:tcW w:type="dxa" w:w="786"/>
            <w:vAlign w:val="center"/>
          </w:tcPr>
          <w:p>
            <w:pPr>
              <w:jc w:val="center"/>
            </w:pPr>
            <w:r>
              <w:rPr>
                <w:b/>
                <w:sz w:val="14"/>
              </w:rPr>
              <w:t>Derrotas</w:t>
            </w:r>
          </w:p>
        </w:tc>
        <w:tc>
          <w:tcPr>
            <w:tcW w:type="dxa" w:w="786"/>
            <w:vAlign w:val="center"/>
          </w:tcPr>
          <w:p>
            <w:pPr>
              <w:jc w:val="center"/>
            </w:pPr>
            <w:r>
              <w:rPr>
                <w:b/>
                <w:sz w:val="14"/>
              </w:rPr>
              <w:t>Goles_Favor</w:t>
            </w:r>
          </w:p>
        </w:tc>
        <w:tc>
          <w:tcPr>
            <w:tcW w:type="dxa" w:w="786"/>
            <w:vAlign w:val="center"/>
          </w:tcPr>
          <w:p>
            <w:pPr>
              <w:jc w:val="center"/>
            </w:pPr>
            <w:r>
              <w:rPr>
                <w:b/>
                <w:sz w:val="14"/>
              </w:rPr>
              <w:t>Goles_Contra</w:t>
            </w:r>
          </w:p>
        </w:tc>
        <w:tc>
          <w:tcPr>
            <w:tcW w:type="dxa" w:w="786"/>
            <w:vAlign w:val="center"/>
          </w:tcPr>
          <w:p>
            <w:pPr>
              <w:jc w:val="center"/>
            </w:pPr>
            <w:r>
              <w:rPr>
                <w:b/>
                <w:sz w:val="14"/>
              </w:rPr>
              <w:t>Puntos</w:t>
            </w:r>
          </w:p>
        </w:tc>
        <w:tc>
          <w:tcPr>
            <w:tcW w:type="dxa" w:w="786"/>
            <w:vAlign w:val="center"/>
          </w:tcPr>
          <w:p>
            <w:pPr>
              <w:jc w:val="center"/>
            </w:pPr>
            <w:r>
              <w:rPr>
                <w:b/>
                <w:sz w:val="14"/>
              </w:rPr>
              <w:t>Pts_PJ</w:t>
            </w:r>
          </w:p>
        </w:tc>
        <w:tc>
          <w:tcPr>
            <w:tcW w:type="dxa" w:w="786"/>
            <w:vAlign w:val="center"/>
          </w:tcPr>
          <w:p>
            <w:pPr>
              <w:jc w:val="center"/>
            </w:pPr>
            <w:r>
              <w:rPr>
                <w:b/>
                <w:sz w:val="14"/>
              </w:rPr>
              <w:t>GF_PJ</w:t>
            </w:r>
          </w:p>
        </w:tc>
        <w:tc>
          <w:tcPr>
            <w:tcW w:type="dxa" w:w="786"/>
            <w:vAlign w:val="center"/>
          </w:tcPr>
          <w:p>
            <w:pPr>
              <w:jc w:val="center"/>
            </w:pPr>
            <w:r>
              <w:rPr>
                <w:b/>
                <w:sz w:val="14"/>
              </w:rPr>
              <w:t>Pct_Victorias</w:t>
            </w:r>
          </w:p>
        </w:tc>
        <w:tc>
          <w:tcPr>
            <w:tcW w:type="dxa" w:w="786"/>
            <w:vAlign w:val="center"/>
          </w:tcPr>
          <w:p>
            <w:pPr>
              <w:jc w:val="center"/>
            </w:pPr>
            <w:r>
              <w:rPr>
                <w:b/>
                <w:sz w:val="14"/>
              </w:rPr>
              <w:t>Pct_Empates</w:t>
            </w:r>
          </w:p>
        </w:tc>
        <w:tc>
          <w:tcPr>
            <w:tcW w:type="dxa" w:w="786"/>
            <w:vAlign w:val="center"/>
          </w:tcPr>
          <w:p>
            <w:pPr>
              <w:jc w:val="center"/>
            </w:pPr>
            <w:r>
              <w:rPr>
                <w:b/>
                <w:sz w:val="14"/>
              </w:rPr>
              <w:t>Pct_Derrotas</w:t>
            </w:r>
          </w:p>
        </w:tc>
      </w:tr>
      <w:tr>
        <w:tc>
          <w:tcPr>
            <w:tcW w:type="dxa" w:w="786"/>
            <w:vAlign w:val="center"/>
          </w:tcPr>
          <w:p>
            <w:pPr>
              <w:jc w:val="center"/>
            </w:pPr>
            <w:r>
              <w:rPr>
                <w:sz w:val="14"/>
              </w:rPr>
              <w:t>Local</w:t>
            </w:r>
          </w:p>
        </w:tc>
        <w:tc>
          <w:tcPr>
            <w:tcW w:type="dxa" w:w="786"/>
            <w:vAlign w:val="center"/>
          </w:tcPr>
          <w:p>
            <w:pPr>
              <w:jc w:val="center"/>
            </w:pPr>
            <w:r>
              <w:rPr>
                <w:sz w:val="14"/>
              </w:rPr>
              <w:t>378.0000</w:t>
            </w:r>
          </w:p>
        </w:tc>
        <w:tc>
          <w:tcPr>
            <w:tcW w:type="dxa" w:w="786"/>
            <w:vAlign w:val="center"/>
          </w:tcPr>
          <w:p>
            <w:pPr>
              <w:jc w:val="center"/>
            </w:pPr>
            <w:r>
              <w:rPr>
                <w:sz w:val="14"/>
              </w:rPr>
              <w:t>169.0000</w:t>
            </w:r>
          </w:p>
        </w:tc>
        <w:tc>
          <w:tcPr>
            <w:tcW w:type="dxa" w:w="786"/>
            <w:vAlign w:val="center"/>
          </w:tcPr>
          <w:p>
            <w:pPr>
              <w:jc w:val="center"/>
            </w:pPr>
            <w:r>
              <w:rPr>
                <w:sz w:val="14"/>
              </w:rPr>
              <w:t>121.0000</w:t>
            </w:r>
          </w:p>
        </w:tc>
        <w:tc>
          <w:tcPr>
            <w:tcW w:type="dxa" w:w="786"/>
            <w:vAlign w:val="center"/>
          </w:tcPr>
          <w:p>
            <w:pPr>
              <w:jc w:val="center"/>
            </w:pPr>
            <w:r>
              <w:rPr>
                <w:sz w:val="14"/>
              </w:rPr>
              <w:t>88.0000</w:t>
            </w:r>
          </w:p>
        </w:tc>
        <w:tc>
          <w:tcPr>
            <w:tcW w:type="dxa" w:w="786"/>
            <w:vAlign w:val="center"/>
          </w:tcPr>
          <w:p>
            <w:pPr>
              <w:jc w:val="center"/>
            </w:pPr>
            <w:r>
              <w:rPr>
                <w:sz w:val="14"/>
              </w:rPr>
              <w:t>455.0000</w:t>
            </w:r>
          </w:p>
        </w:tc>
        <w:tc>
          <w:tcPr>
            <w:tcW w:type="dxa" w:w="786"/>
            <w:vAlign w:val="center"/>
          </w:tcPr>
          <w:p>
            <w:pPr>
              <w:jc w:val="center"/>
            </w:pPr>
            <w:r>
              <w:rPr>
                <w:sz w:val="14"/>
              </w:rPr>
              <w:t>323.0000</w:t>
            </w:r>
          </w:p>
        </w:tc>
        <w:tc>
          <w:tcPr>
            <w:tcW w:type="dxa" w:w="786"/>
            <w:vAlign w:val="center"/>
          </w:tcPr>
          <w:p>
            <w:pPr>
              <w:jc w:val="center"/>
            </w:pPr>
            <w:r>
              <w:rPr>
                <w:sz w:val="14"/>
              </w:rPr>
              <w:t>628.0000</w:t>
            </w:r>
          </w:p>
        </w:tc>
        <w:tc>
          <w:tcPr>
            <w:tcW w:type="dxa" w:w="786"/>
            <w:vAlign w:val="center"/>
          </w:tcPr>
          <w:p>
            <w:pPr>
              <w:jc w:val="center"/>
            </w:pPr>
            <w:r>
              <w:rPr>
                <w:sz w:val="14"/>
              </w:rPr>
              <w:t>1.6614</w:t>
            </w:r>
          </w:p>
        </w:tc>
        <w:tc>
          <w:tcPr>
            <w:tcW w:type="dxa" w:w="786"/>
            <w:vAlign w:val="center"/>
          </w:tcPr>
          <w:p>
            <w:pPr>
              <w:jc w:val="center"/>
            </w:pPr>
            <w:r>
              <w:rPr>
                <w:sz w:val="14"/>
              </w:rPr>
              <w:t>1.2037</w:t>
            </w:r>
          </w:p>
        </w:tc>
        <w:tc>
          <w:tcPr>
            <w:tcW w:type="dxa" w:w="786"/>
            <w:vAlign w:val="center"/>
          </w:tcPr>
          <w:p>
            <w:pPr>
              <w:jc w:val="center"/>
            </w:pPr>
            <w:r>
              <w:rPr>
                <w:sz w:val="14"/>
              </w:rPr>
              <w:t>44.7090</w:t>
            </w:r>
          </w:p>
        </w:tc>
        <w:tc>
          <w:tcPr>
            <w:tcW w:type="dxa" w:w="786"/>
            <w:vAlign w:val="center"/>
          </w:tcPr>
          <w:p>
            <w:pPr>
              <w:jc w:val="center"/>
            </w:pPr>
            <w:r>
              <w:rPr>
                <w:sz w:val="14"/>
              </w:rPr>
              <w:t>32.0106</w:t>
            </w:r>
          </w:p>
        </w:tc>
        <w:tc>
          <w:tcPr>
            <w:tcW w:type="dxa" w:w="786"/>
            <w:vAlign w:val="center"/>
          </w:tcPr>
          <w:p>
            <w:pPr>
              <w:jc w:val="center"/>
            </w:pPr>
            <w:r>
              <w:rPr>
                <w:sz w:val="14"/>
              </w:rPr>
              <w:t>23.2804</w:t>
            </w:r>
          </w:p>
        </w:tc>
      </w:tr>
      <w:tr>
        <w:tc>
          <w:tcPr>
            <w:tcW w:type="dxa" w:w="786"/>
            <w:vAlign w:val="center"/>
          </w:tcPr>
          <w:p>
            <w:pPr>
              <w:jc w:val="center"/>
            </w:pPr>
            <w:r>
              <w:rPr>
                <w:sz w:val="14"/>
              </w:rPr>
              <w:t>Visitante</w:t>
            </w:r>
          </w:p>
        </w:tc>
        <w:tc>
          <w:tcPr>
            <w:tcW w:type="dxa" w:w="786"/>
            <w:vAlign w:val="center"/>
          </w:tcPr>
          <w:p>
            <w:pPr>
              <w:jc w:val="center"/>
            </w:pPr>
            <w:r>
              <w:rPr>
                <w:sz w:val="14"/>
              </w:rPr>
              <w:t>378.0000</w:t>
            </w:r>
          </w:p>
        </w:tc>
        <w:tc>
          <w:tcPr>
            <w:tcW w:type="dxa" w:w="786"/>
            <w:vAlign w:val="center"/>
          </w:tcPr>
          <w:p>
            <w:pPr>
              <w:jc w:val="center"/>
            </w:pPr>
            <w:r>
              <w:rPr>
                <w:sz w:val="14"/>
              </w:rPr>
              <w:t>88.0000</w:t>
            </w:r>
          </w:p>
        </w:tc>
        <w:tc>
          <w:tcPr>
            <w:tcW w:type="dxa" w:w="786"/>
            <w:vAlign w:val="center"/>
          </w:tcPr>
          <w:p>
            <w:pPr>
              <w:jc w:val="center"/>
            </w:pPr>
            <w:r>
              <w:rPr>
                <w:sz w:val="14"/>
              </w:rPr>
              <w:t>121.0000</w:t>
            </w:r>
          </w:p>
        </w:tc>
        <w:tc>
          <w:tcPr>
            <w:tcW w:type="dxa" w:w="786"/>
            <w:vAlign w:val="center"/>
          </w:tcPr>
          <w:p>
            <w:pPr>
              <w:jc w:val="center"/>
            </w:pPr>
            <w:r>
              <w:rPr>
                <w:sz w:val="14"/>
              </w:rPr>
              <w:t>169.0000</w:t>
            </w:r>
          </w:p>
        </w:tc>
        <w:tc>
          <w:tcPr>
            <w:tcW w:type="dxa" w:w="786"/>
            <w:vAlign w:val="center"/>
          </w:tcPr>
          <w:p>
            <w:pPr>
              <w:jc w:val="center"/>
            </w:pPr>
            <w:r>
              <w:rPr>
                <w:sz w:val="14"/>
              </w:rPr>
              <w:t>323.0000</w:t>
            </w:r>
          </w:p>
        </w:tc>
        <w:tc>
          <w:tcPr>
            <w:tcW w:type="dxa" w:w="786"/>
            <w:vAlign w:val="center"/>
          </w:tcPr>
          <w:p>
            <w:pPr>
              <w:jc w:val="center"/>
            </w:pPr>
            <w:r>
              <w:rPr>
                <w:sz w:val="14"/>
              </w:rPr>
              <w:t>455.0000</w:t>
            </w:r>
          </w:p>
        </w:tc>
        <w:tc>
          <w:tcPr>
            <w:tcW w:type="dxa" w:w="786"/>
            <w:vAlign w:val="center"/>
          </w:tcPr>
          <w:p>
            <w:pPr>
              <w:jc w:val="center"/>
            </w:pPr>
            <w:r>
              <w:rPr>
                <w:sz w:val="14"/>
              </w:rPr>
              <w:t>385.0000</w:t>
            </w:r>
          </w:p>
        </w:tc>
        <w:tc>
          <w:tcPr>
            <w:tcW w:type="dxa" w:w="786"/>
            <w:vAlign w:val="center"/>
          </w:tcPr>
          <w:p>
            <w:pPr>
              <w:jc w:val="center"/>
            </w:pPr>
            <w:r>
              <w:rPr>
                <w:sz w:val="14"/>
              </w:rPr>
              <w:t>1.0185</w:t>
            </w:r>
          </w:p>
        </w:tc>
        <w:tc>
          <w:tcPr>
            <w:tcW w:type="dxa" w:w="786"/>
            <w:vAlign w:val="center"/>
          </w:tcPr>
          <w:p>
            <w:pPr>
              <w:jc w:val="center"/>
            </w:pPr>
            <w:r>
              <w:rPr>
                <w:sz w:val="14"/>
              </w:rPr>
              <w:t>0.8545</w:t>
            </w:r>
          </w:p>
        </w:tc>
        <w:tc>
          <w:tcPr>
            <w:tcW w:type="dxa" w:w="786"/>
            <w:vAlign w:val="center"/>
          </w:tcPr>
          <w:p>
            <w:pPr>
              <w:jc w:val="center"/>
            </w:pPr>
            <w:r>
              <w:rPr>
                <w:sz w:val="14"/>
              </w:rPr>
              <w:t>23.2804</w:t>
            </w:r>
          </w:p>
        </w:tc>
        <w:tc>
          <w:tcPr>
            <w:tcW w:type="dxa" w:w="786"/>
            <w:vAlign w:val="center"/>
          </w:tcPr>
          <w:p>
            <w:pPr>
              <w:jc w:val="center"/>
            </w:pPr>
            <w:r>
              <w:rPr>
                <w:sz w:val="14"/>
              </w:rPr>
              <w:t>32.0106</w:t>
            </w:r>
          </w:p>
        </w:tc>
        <w:tc>
          <w:tcPr>
            <w:tcW w:type="dxa" w:w="786"/>
            <w:vAlign w:val="center"/>
          </w:tcPr>
          <w:p>
            <w:pPr>
              <w:jc w:val="center"/>
            </w:pPr>
            <w:r>
              <w:rPr>
                <w:sz w:val="14"/>
              </w:rPr>
              <w:t>44.7090</w:t>
            </w:r>
          </w:p>
        </w:tc>
      </w:tr>
    </w:tbl>
    <w:p/>
    <w:p>
      <w:pPr>
        <w:pStyle w:val="Heading3"/>
      </w:pPr>
      <w:r>
        <w:t>Figura 1. Resumen global local vs visitante</w:t>
      </w:r>
    </w:p>
    <w:p>
      <w:pPr>
        <w:jc w:val="center"/>
      </w:pPr>
      <w:r>
        <w:drawing>
          <wp:inline xmlns:a="http://schemas.openxmlformats.org/drawingml/2006/main" xmlns:pic="http://schemas.openxmlformats.org/drawingml/2006/picture">
            <wp:extent cx="5760720" cy="1913796"/>
            <wp:docPr id="1" name="Picture 1"/>
            <wp:cNvGraphicFramePr>
              <a:graphicFrameLocks noChangeAspect="1"/>
            </wp:cNvGraphicFramePr>
            <a:graphic>
              <a:graphicData uri="http://schemas.openxmlformats.org/drawingml/2006/picture">
                <pic:pic>
                  <pic:nvPicPr>
                    <pic:cNvPr id="0" name="01_resumen_local_visitante.png"/>
                    <pic:cNvPicPr/>
                  </pic:nvPicPr>
                  <pic:blipFill>
                    <a:blip r:embed="rId9"/>
                    <a:stretch>
                      <a:fillRect/>
                    </a:stretch>
                  </pic:blipFill>
                  <pic:spPr>
                    <a:xfrm>
                      <a:off x="0" y="0"/>
                      <a:ext cx="5760720" cy="1913796"/>
                    </a:xfrm>
                    <a:prstGeom prst="rect"/>
                  </pic:spPr>
                </pic:pic>
              </a:graphicData>
            </a:graphic>
          </wp:inline>
        </w:drawing>
      </w:r>
    </w:p>
    <w:p>
      <w:pPr>
        <w:spacing w:after="160"/>
        <w:jc w:val="center"/>
      </w:pPr>
      <w:r>
        <w:rPr>
          <w:b/>
          <w:sz w:val="22"/>
        </w:rPr>
        <w:t>Pts/PJ = Puntos totales / Partidos jugados</w:t>
      </w:r>
    </w:p>
    <w:p>
      <w:pPr>
        <w:spacing w:after="140" w:line="259" w:lineRule="auto"/>
        <w:jc w:val="both"/>
      </w:pPr>
      <w:r>
        <w:t>Este gráfico compara el rendimiento global de los equipos jugando como locales y visitantes. Permite observar que los locales obtuvieron más puntos por partido, más goles por partido y mayor porcentaje de victorias. Es una primera evidencia descriptiva de la ventaja de localía.</w:t>
      </w:r>
    </w:p>
    <w:p>
      <w:pPr>
        <w:pStyle w:val="Heading3"/>
      </w:pPr>
      <w:r>
        <w:t>Top 10 de equipos con mayor ventaja de localía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Pr>
                <w:b/>
                <w:sz w:val="14"/>
              </w:rPr>
              <w:t>Equipo</w:t>
            </w:r>
          </w:p>
        </w:tc>
        <w:tc>
          <w:tcPr>
            <w:tcW w:type="dxa" w:w="1704"/>
            <w:vAlign w:val="center"/>
          </w:tcPr>
          <w:p>
            <w:pPr>
              <w:jc w:val="center"/>
            </w:pPr>
            <w:r>
              <w:rPr>
                <w:b/>
                <w:sz w:val="14"/>
              </w:rPr>
              <w:t>Pts_PJ_Local</w:t>
            </w:r>
          </w:p>
        </w:tc>
        <w:tc>
          <w:tcPr>
            <w:tcW w:type="dxa" w:w="1704"/>
            <w:vAlign w:val="center"/>
          </w:tcPr>
          <w:p>
            <w:pPr>
              <w:jc w:val="center"/>
            </w:pPr>
            <w:r>
              <w:rPr>
                <w:b/>
                <w:sz w:val="14"/>
              </w:rPr>
              <w:t>Pts_PJ_Visitante</w:t>
            </w:r>
          </w:p>
        </w:tc>
        <w:tc>
          <w:tcPr>
            <w:tcW w:type="dxa" w:w="1704"/>
            <w:vAlign w:val="center"/>
          </w:tcPr>
          <w:p>
            <w:pPr>
              <w:jc w:val="center"/>
            </w:pPr>
            <w:r>
              <w:rPr>
                <w:b/>
                <w:sz w:val="14"/>
              </w:rPr>
              <w:t>Delta_Pts_PJ</w:t>
            </w:r>
          </w:p>
        </w:tc>
        <w:tc>
          <w:tcPr>
            <w:tcW w:type="dxa" w:w="1704"/>
            <w:vAlign w:val="center"/>
          </w:tcPr>
          <w:p>
            <w:pPr>
              <w:jc w:val="center"/>
            </w:pPr>
            <w:r>
              <w:rPr>
                <w:b/>
                <w:sz w:val="14"/>
              </w:rPr>
              <w:t>Percentil_Localia</w:t>
            </w:r>
          </w:p>
        </w:tc>
        <w:tc>
          <w:tcPr>
            <w:tcW w:type="dxa" w:w="1704"/>
            <w:vAlign w:val="center"/>
          </w:tcPr>
          <w:p>
            <w:pPr>
              <w:jc w:val="center"/>
            </w:pPr>
            <w:r>
              <w:rPr>
                <w:b/>
                <w:sz w:val="14"/>
              </w:rPr>
              <w:t>Clasificacion_Localia</w:t>
            </w:r>
          </w:p>
        </w:tc>
      </w:tr>
      <w:tr>
        <w:tc>
          <w:tcPr>
            <w:tcW w:type="dxa" w:w="1704"/>
            <w:vAlign w:val="center"/>
          </w:tcPr>
          <w:p>
            <w:pPr>
              <w:jc w:val="center"/>
            </w:pPr>
            <w:r>
              <w:rPr>
                <w:sz w:val="14"/>
              </w:rPr>
              <w:t>Rosario Central</w:t>
            </w:r>
          </w:p>
        </w:tc>
        <w:tc>
          <w:tcPr>
            <w:tcW w:type="dxa" w:w="1704"/>
            <w:vAlign w:val="center"/>
          </w:tcPr>
          <w:p>
            <w:pPr>
              <w:jc w:val="center"/>
            </w:pPr>
            <w:r>
              <w:rPr>
                <w:sz w:val="14"/>
              </w:rPr>
              <w:t>2.2857</w:t>
            </w:r>
          </w:p>
        </w:tc>
        <w:tc>
          <w:tcPr>
            <w:tcW w:type="dxa" w:w="1704"/>
            <w:vAlign w:val="center"/>
          </w:tcPr>
          <w:p>
            <w:pPr>
              <w:jc w:val="center"/>
            </w:pPr>
            <w:r>
              <w:rPr>
                <w:sz w:val="14"/>
              </w:rPr>
              <w:t>0.7692</w:t>
            </w:r>
          </w:p>
        </w:tc>
        <w:tc>
          <w:tcPr>
            <w:tcW w:type="dxa" w:w="1704"/>
            <w:vAlign w:val="center"/>
          </w:tcPr>
          <w:p>
            <w:pPr>
              <w:jc w:val="center"/>
            </w:pPr>
            <w:r>
              <w:rPr>
                <w:sz w:val="14"/>
              </w:rPr>
              <w:t>1.5165</w:t>
            </w:r>
          </w:p>
        </w:tc>
        <w:tc>
          <w:tcPr>
            <w:tcW w:type="dxa" w:w="1704"/>
            <w:vAlign w:val="center"/>
          </w:tcPr>
          <w:p>
            <w:pPr>
              <w:jc w:val="center"/>
            </w:pPr>
            <w:r>
              <w:rPr>
                <w:sz w:val="14"/>
              </w:rPr>
              <w:t>100.0000</w:t>
            </w:r>
          </w:p>
        </w:tc>
        <w:tc>
          <w:tcPr>
            <w:tcW w:type="dxa" w:w="1704"/>
            <w:vAlign w:val="center"/>
          </w:tcPr>
          <w:p>
            <w:pPr>
              <w:jc w:val="center"/>
            </w:pPr>
            <w:r>
              <w:rPr>
                <w:sz w:val="14"/>
              </w:rPr>
              <w:t>Ventaja local muy alta</w:t>
            </w:r>
          </w:p>
        </w:tc>
      </w:tr>
      <w:tr>
        <w:tc>
          <w:tcPr>
            <w:tcW w:type="dxa" w:w="1704"/>
            <w:vAlign w:val="center"/>
          </w:tcPr>
          <w:p>
            <w:pPr>
              <w:jc w:val="center"/>
            </w:pPr>
            <w:r>
              <w:rPr>
                <w:sz w:val="14"/>
              </w:rPr>
              <w:t>Godoy Cruz</w:t>
            </w:r>
          </w:p>
        </w:tc>
        <w:tc>
          <w:tcPr>
            <w:tcW w:type="dxa" w:w="1704"/>
            <w:vAlign w:val="center"/>
          </w:tcPr>
          <w:p>
            <w:pPr>
              <w:jc w:val="center"/>
            </w:pPr>
            <w:r>
              <w:rPr>
                <w:sz w:val="14"/>
              </w:rPr>
              <w:t>2.1538</w:t>
            </w:r>
          </w:p>
        </w:tc>
        <w:tc>
          <w:tcPr>
            <w:tcW w:type="dxa" w:w="1704"/>
            <w:vAlign w:val="center"/>
          </w:tcPr>
          <w:p>
            <w:pPr>
              <w:jc w:val="center"/>
            </w:pPr>
            <w:r>
              <w:rPr>
                <w:sz w:val="14"/>
              </w:rPr>
              <w:t>0.9286</w:t>
            </w:r>
          </w:p>
        </w:tc>
        <w:tc>
          <w:tcPr>
            <w:tcW w:type="dxa" w:w="1704"/>
            <w:vAlign w:val="center"/>
          </w:tcPr>
          <w:p>
            <w:pPr>
              <w:jc w:val="center"/>
            </w:pPr>
            <w:r>
              <w:rPr>
                <w:sz w:val="14"/>
              </w:rPr>
              <w:t>1.2253</w:t>
            </w:r>
          </w:p>
        </w:tc>
        <w:tc>
          <w:tcPr>
            <w:tcW w:type="dxa" w:w="1704"/>
            <w:vAlign w:val="center"/>
          </w:tcPr>
          <w:p>
            <w:pPr>
              <w:jc w:val="center"/>
            </w:pPr>
            <w:r>
              <w:rPr>
                <w:sz w:val="14"/>
              </w:rPr>
              <w:t>96.4286</w:t>
            </w:r>
          </w:p>
        </w:tc>
        <w:tc>
          <w:tcPr>
            <w:tcW w:type="dxa" w:w="1704"/>
            <w:vAlign w:val="center"/>
          </w:tcPr>
          <w:p>
            <w:pPr>
              <w:jc w:val="center"/>
            </w:pPr>
            <w:r>
              <w:rPr>
                <w:sz w:val="14"/>
              </w:rPr>
              <w:t>Ventaja local muy alta</w:t>
            </w:r>
          </w:p>
        </w:tc>
      </w:tr>
      <w:tr>
        <w:tc>
          <w:tcPr>
            <w:tcW w:type="dxa" w:w="1704"/>
            <w:vAlign w:val="center"/>
          </w:tcPr>
          <w:p>
            <w:pPr>
              <w:jc w:val="center"/>
            </w:pPr>
            <w:r>
              <w:rPr>
                <w:sz w:val="14"/>
              </w:rPr>
              <w:t>Lanús</w:t>
            </w:r>
          </w:p>
        </w:tc>
        <w:tc>
          <w:tcPr>
            <w:tcW w:type="dxa" w:w="1704"/>
            <w:vAlign w:val="center"/>
          </w:tcPr>
          <w:p>
            <w:pPr>
              <w:jc w:val="center"/>
            </w:pPr>
            <w:r>
              <w:rPr>
                <w:sz w:val="14"/>
              </w:rPr>
              <w:t>2.2308</w:t>
            </w:r>
          </w:p>
        </w:tc>
        <w:tc>
          <w:tcPr>
            <w:tcW w:type="dxa" w:w="1704"/>
            <w:vAlign w:val="center"/>
          </w:tcPr>
          <w:p>
            <w:pPr>
              <w:jc w:val="center"/>
            </w:pPr>
            <w:r>
              <w:rPr>
                <w:sz w:val="14"/>
              </w:rPr>
              <w:t>1.1429</w:t>
            </w:r>
          </w:p>
        </w:tc>
        <w:tc>
          <w:tcPr>
            <w:tcW w:type="dxa" w:w="1704"/>
            <w:vAlign w:val="center"/>
          </w:tcPr>
          <w:p>
            <w:pPr>
              <w:jc w:val="center"/>
            </w:pPr>
            <w:r>
              <w:rPr>
                <w:sz w:val="14"/>
              </w:rPr>
              <w:t>1.0879</w:t>
            </w:r>
          </w:p>
        </w:tc>
        <w:tc>
          <w:tcPr>
            <w:tcW w:type="dxa" w:w="1704"/>
            <w:vAlign w:val="center"/>
          </w:tcPr>
          <w:p>
            <w:pPr>
              <w:jc w:val="center"/>
            </w:pPr>
            <w:r>
              <w:rPr>
                <w:sz w:val="14"/>
              </w:rPr>
              <w:t>92.8571</w:t>
            </w:r>
          </w:p>
        </w:tc>
        <w:tc>
          <w:tcPr>
            <w:tcW w:type="dxa" w:w="1704"/>
            <w:vAlign w:val="center"/>
          </w:tcPr>
          <w:p>
            <w:pPr>
              <w:jc w:val="center"/>
            </w:pPr>
            <w:r>
              <w:rPr>
                <w:sz w:val="14"/>
              </w:rPr>
              <w:t>Ventaja local muy alta</w:t>
            </w:r>
          </w:p>
        </w:tc>
      </w:tr>
      <w:tr>
        <w:tc>
          <w:tcPr>
            <w:tcW w:type="dxa" w:w="1704"/>
            <w:vAlign w:val="center"/>
          </w:tcPr>
          <w:p>
            <w:pPr>
              <w:jc w:val="center"/>
            </w:pPr>
            <w:r>
              <w:rPr>
                <w:sz w:val="14"/>
              </w:rPr>
              <w:t>Newell's Old Boys</w:t>
            </w:r>
          </w:p>
        </w:tc>
        <w:tc>
          <w:tcPr>
            <w:tcW w:type="dxa" w:w="1704"/>
            <w:vAlign w:val="center"/>
          </w:tcPr>
          <w:p>
            <w:pPr>
              <w:jc w:val="center"/>
            </w:pPr>
            <w:r>
              <w:rPr>
                <w:sz w:val="14"/>
              </w:rPr>
              <w:t>1.8462</w:t>
            </w:r>
          </w:p>
        </w:tc>
        <w:tc>
          <w:tcPr>
            <w:tcW w:type="dxa" w:w="1704"/>
            <w:vAlign w:val="center"/>
          </w:tcPr>
          <w:p>
            <w:pPr>
              <w:jc w:val="center"/>
            </w:pPr>
            <w:r>
              <w:rPr>
                <w:sz w:val="14"/>
              </w:rPr>
              <w:t>0.7857</w:t>
            </w:r>
          </w:p>
        </w:tc>
        <w:tc>
          <w:tcPr>
            <w:tcW w:type="dxa" w:w="1704"/>
            <w:vAlign w:val="center"/>
          </w:tcPr>
          <w:p>
            <w:pPr>
              <w:jc w:val="center"/>
            </w:pPr>
            <w:r>
              <w:rPr>
                <w:sz w:val="14"/>
              </w:rPr>
              <w:t>1.0604</w:t>
            </w:r>
          </w:p>
        </w:tc>
        <w:tc>
          <w:tcPr>
            <w:tcW w:type="dxa" w:w="1704"/>
            <w:vAlign w:val="center"/>
          </w:tcPr>
          <w:p>
            <w:pPr>
              <w:jc w:val="center"/>
            </w:pPr>
            <w:r>
              <w:rPr>
                <w:sz w:val="14"/>
              </w:rPr>
              <w:t>89.2857</w:t>
            </w:r>
          </w:p>
        </w:tc>
        <w:tc>
          <w:tcPr>
            <w:tcW w:type="dxa" w:w="1704"/>
            <w:vAlign w:val="center"/>
          </w:tcPr>
          <w:p>
            <w:pPr>
              <w:jc w:val="center"/>
            </w:pPr>
            <w:r>
              <w:rPr>
                <w:sz w:val="14"/>
              </w:rPr>
              <w:t>Ventaja local muy alta</w:t>
            </w:r>
          </w:p>
        </w:tc>
      </w:tr>
      <w:tr>
        <w:tc>
          <w:tcPr>
            <w:tcW w:type="dxa" w:w="1704"/>
            <w:vAlign w:val="center"/>
          </w:tcPr>
          <w:p>
            <w:pPr>
              <w:jc w:val="center"/>
            </w:pPr>
            <w:r>
              <w:rPr>
                <w:sz w:val="14"/>
              </w:rPr>
              <w:t>River Plate</w:t>
            </w:r>
          </w:p>
        </w:tc>
        <w:tc>
          <w:tcPr>
            <w:tcW w:type="dxa" w:w="1704"/>
            <w:vAlign w:val="center"/>
          </w:tcPr>
          <w:p>
            <w:pPr>
              <w:jc w:val="center"/>
            </w:pPr>
            <w:r>
              <w:rPr>
                <w:sz w:val="14"/>
              </w:rPr>
              <w:t>2.7692</w:t>
            </w:r>
          </w:p>
        </w:tc>
        <w:tc>
          <w:tcPr>
            <w:tcW w:type="dxa" w:w="1704"/>
            <w:vAlign w:val="center"/>
          </w:tcPr>
          <w:p>
            <w:pPr>
              <w:jc w:val="center"/>
            </w:pPr>
            <w:r>
              <w:rPr>
                <w:sz w:val="14"/>
              </w:rPr>
              <w:t>1.7857</w:t>
            </w:r>
          </w:p>
        </w:tc>
        <w:tc>
          <w:tcPr>
            <w:tcW w:type="dxa" w:w="1704"/>
            <w:vAlign w:val="center"/>
          </w:tcPr>
          <w:p>
            <w:pPr>
              <w:jc w:val="center"/>
            </w:pPr>
            <w:r>
              <w:rPr>
                <w:sz w:val="14"/>
              </w:rPr>
              <w:t>0.9835</w:t>
            </w:r>
          </w:p>
        </w:tc>
        <w:tc>
          <w:tcPr>
            <w:tcW w:type="dxa" w:w="1704"/>
            <w:vAlign w:val="center"/>
          </w:tcPr>
          <w:p>
            <w:pPr>
              <w:jc w:val="center"/>
            </w:pPr>
            <w:r>
              <w:rPr>
                <w:sz w:val="14"/>
              </w:rPr>
              <w:t>85.7143</w:t>
            </w:r>
          </w:p>
        </w:tc>
        <w:tc>
          <w:tcPr>
            <w:tcW w:type="dxa" w:w="1704"/>
            <w:vAlign w:val="center"/>
          </w:tcPr>
          <w:p>
            <w:pPr>
              <w:jc w:val="center"/>
            </w:pPr>
            <w:r>
              <w:rPr>
                <w:sz w:val="14"/>
              </w:rPr>
              <w:t>Ventaja local alta</w:t>
            </w:r>
          </w:p>
        </w:tc>
      </w:tr>
      <w:tr>
        <w:tc>
          <w:tcPr>
            <w:tcW w:type="dxa" w:w="1704"/>
            <w:vAlign w:val="center"/>
          </w:tcPr>
          <w:p>
            <w:pPr>
              <w:jc w:val="center"/>
            </w:pPr>
            <w:r>
              <w:rPr>
                <w:sz w:val="14"/>
              </w:rPr>
              <w:t>Gimnasia–LP</w:t>
            </w:r>
          </w:p>
        </w:tc>
        <w:tc>
          <w:tcPr>
            <w:tcW w:type="dxa" w:w="1704"/>
            <w:vAlign w:val="center"/>
          </w:tcPr>
          <w:p>
            <w:pPr>
              <w:jc w:val="center"/>
            </w:pPr>
            <w:r>
              <w:rPr>
                <w:sz w:val="14"/>
              </w:rPr>
              <w:t>1.5385</w:t>
            </w:r>
          </w:p>
        </w:tc>
        <w:tc>
          <w:tcPr>
            <w:tcW w:type="dxa" w:w="1704"/>
            <w:vAlign w:val="center"/>
          </w:tcPr>
          <w:p>
            <w:pPr>
              <w:jc w:val="center"/>
            </w:pPr>
            <w:r>
              <w:rPr>
                <w:sz w:val="14"/>
              </w:rPr>
              <w:t>0.7143</w:t>
            </w:r>
          </w:p>
        </w:tc>
        <w:tc>
          <w:tcPr>
            <w:tcW w:type="dxa" w:w="1704"/>
            <w:vAlign w:val="center"/>
          </w:tcPr>
          <w:p>
            <w:pPr>
              <w:jc w:val="center"/>
            </w:pPr>
            <w:r>
              <w:rPr>
                <w:sz w:val="14"/>
              </w:rPr>
              <w:t>0.8242</w:t>
            </w:r>
          </w:p>
        </w:tc>
        <w:tc>
          <w:tcPr>
            <w:tcW w:type="dxa" w:w="1704"/>
            <w:vAlign w:val="center"/>
          </w:tcPr>
          <w:p>
            <w:pPr>
              <w:jc w:val="center"/>
            </w:pPr>
            <w:r>
              <w:rPr>
                <w:sz w:val="14"/>
              </w:rPr>
              <w:t>82.1429</w:t>
            </w:r>
          </w:p>
        </w:tc>
        <w:tc>
          <w:tcPr>
            <w:tcW w:type="dxa" w:w="1704"/>
            <w:vAlign w:val="center"/>
          </w:tcPr>
          <w:p>
            <w:pPr>
              <w:jc w:val="center"/>
            </w:pPr>
            <w:r>
              <w:rPr>
                <w:sz w:val="14"/>
              </w:rPr>
              <w:t>Ventaja local alta</w:t>
            </w:r>
          </w:p>
        </w:tc>
      </w:tr>
      <w:tr>
        <w:tc>
          <w:tcPr>
            <w:tcW w:type="dxa" w:w="1704"/>
            <w:vAlign w:val="center"/>
          </w:tcPr>
          <w:p>
            <w:pPr>
              <w:jc w:val="center"/>
            </w:pPr>
            <w:r>
              <w:rPr>
                <w:sz w:val="14"/>
              </w:rPr>
              <w:t>Arsenal</w:t>
            </w:r>
          </w:p>
        </w:tc>
        <w:tc>
          <w:tcPr>
            <w:tcW w:type="dxa" w:w="1704"/>
            <w:vAlign w:val="center"/>
          </w:tcPr>
          <w:p>
            <w:pPr>
              <w:jc w:val="center"/>
            </w:pPr>
            <w:r>
              <w:rPr>
                <w:sz w:val="14"/>
              </w:rPr>
              <w:t>1.2308</w:t>
            </w:r>
          </w:p>
        </w:tc>
        <w:tc>
          <w:tcPr>
            <w:tcW w:type="dxa" w:w="1704"/>
            <w:vAlign w:val="center"/>
          </w:tcPr>
          <w:p>
            <w:pPr>
              <w:jc w:val="center"/>
            </w:pPr>
            <w:r>
              <w:rPr>
                <w:sz w:val="14"/>
              </w:rPr>
              <w:t>0.4286</w:t>
            </w:r>
          </w:p>
        </w:tc>
        <w:tc>
          <w:tcPr>
            <w:tcW w:type="dxa" w:w="1704"/>
            <w:vAlign w:val="center"/>
          </w:tcPr>
          <w:p>
            <w:pPr>
              <w:jc w:val="center"/>
            </w:pPr>
            <w:r>
              <w:rPr>
                <w:sz w:val="14"/>
              </w:rPr>
              <w:t>0.8022</w:t>
            </w:r>
          </w:p>
        </w:tc>
        <w:tc>
          <w:tcPr>
            <w:tcW w:type="dxa" w:w="1704"/>
            <w:vAlign w:val="center"/>
          </w:tcPr>
          <w:p>
            <w:pPr>
              <w:jc w:val="center"/>
            </w:pPr>
            <w:r>
              <w:rPr>
                <w:sz w:val="14"/>
              </w:rPr>
              <w:t>78.5714</w:t>
            </w:r>
          </w:p>
        </w:tc>
        <w:tc>
          <w:tcPr>
            <w:tcW w:type="dxa" w:w="1704"/>
            <w:vAlign w:val="center"/>
          </w:tcPr>
          <w:p>
            <w:pPr>
              <w:jc w:val="center"/>
            </w:pPr>
            <w:r>
              <w:rPr>
                <w:sz w:val="14"/>
              </w:rPr>
              <w:t>Ventaja local alta</w:t>
            </w:r>
          </w:p>
        </w:tc>
      </w:tr>
      <w:tr>
        <w:tc>
          <w:tcPr>
            <w:tcW w:type="dxa" w:w="1704"/>
            <w:vAlign w:val="center"/>
          </w:tcPr>
          <w:p>
            <w:pPr>
              <w:jc w:val="center"/>
            </w:pPr>
            <w:r>
              <w:rPr>
                <w:sz w:val="14"/>
              </w:rPr>
              <w:t>San Lorenzo</w:t>
            </w:r>
          </w:p>
        </w:tc>
        <w:tc>
          <w:tcPr>
            <w:tcW w:type="dxa" w:w="1704"/>
            <w:vAlign w:val="center"/>
          </w:tcPr>
          <w:p>
            <w:pPr>
              <w:jc w:val="center"/>
            </w:pPr>
            <w:r>
              <w:rPr>
                <w:sz w:val="14"/>
              </w:rPr>
              <w:t>2.0714</w:t>
            </w:r>
          </w:p>
        </w:tc>
        <w:tc>
          <w:tcPr>
            <w:tcW w:type="dxa" w:w="1704"/>
            <w:vAlign w:val="center"/>
          </w:tcPr>
          <w:p>
            <w:pPr>
              <w:jc w:val="center"/>
            </w:pPr>
            <w:r>
              <w:rPr>
                <w:sz w:val="14"/>
              </w:rPr>
              <w:t>1.3077</w:t>
            </w:r>
          </w:p>
        </w:tc>
        <w:tc>
          <w:tcPr>
            <w:tcW w:type="dxa" w:w="1704"/>
            <w:vAlign w:val="center"/>
          </w:tcPr>
          <w:p>
            <w:pPr>
              <w:jc w:val="center"/>
            </w:pPr>
            <w:r>
              <w:rPr>
                <w:sz w:val="14"/>
              </w:rPr>
              <w:t>0.7637</w:t>
            </w:r>
          </w:p>
        </w:tc>
        <w:tc>
          <w:tcPr>
            <w:tcW w:type="dxa" w:w="1704"/>
            <w:vAlign w:val="center"/>
          </w:tcPr>
          <w:p>
            <w:pPr>
              <w:jc w:val="center"/>
            </w:pPr>
            <w:r>
              <w:rPr>
                <w:sz w:val="14"/>
              </w:rPr>
              <w:t>75.0000</w:t>
            </w:r>
          </w:p>
        </w:tc>
        <w:tc>
          <w:tcPr>
            <w:tcW w:type="dxa" w:w="1704"/>
            <w:vAlign w:val="center"/>
          </w:tcPr>
          <w:p>
            <w:pPr>
              <w:jc w:val="center"/>
            </w:pPr>
            <w:r>
              <w:rPr>
                <w:sz w:val="14"/>
              </w:rPr>
              <w:t>Ventaja local alta</w:t>
            </w:r>
          </w:p>
        </w:tc>
      </w:tr>
      <w:tr>
        <w:tc>
          <w:tcPr>
            <w:tcW w:type="dxa" w:w="1704"/>
            <w:vAlign w:val="center"/>
          </w:tcPr>
          <w:p>
            <w:pPr>
              <w:jc w:val="center"/>
            </w:pPr>
            <w:r>
              <w:rPr>
                <w:sz w:val="14"/>
              </w:rPr>
              <w:t>Arg Juniors</w:t>
            </w:r>
          </w:p>
        </w:tc>
        <w:tc>
          <w:tcPr>
            <w:tcW w:type="dxa" w:w="1704"/>
            <w:vAlign w:val="center"/>
          </w:tcPr>
          <w:p>
            <w:pPr>
              <w:jc w:val="center"/>
            </w:pPr>
            <w:r>
              <w:rPr>
                <w:sz w:val="14"/>
              </w:rPr>
              <w:t>1.8462</w:t>
            </w:r>
          </w:p>
        </w:tc>
        <w:tc>
          <w:tcPr>
            <w:tcW w:type="dxa" w:w="1704"/>
            <w:vAlign w:val="center"/>
          </w:tcPr>
          <w:p>
            <w:pPr>
              <w:jc w:val="center"/>
            </w:pPr>
            <w:r>
              <w:rPr>
                <w:sz w:val="14"/>
              </w:rPr>
              <w:t>1.1429</w:t>
            </w:r>
          </w:p>
        </w:tc>
        <w:tc>
          <w:tcPr>
            <w:tcW w:type="dxa" w:w="1704"/>
            <w:vAlign w:val="center"/>
          </w:tcPr>
          <w:p>
            <w:pPr>
              <w:jc w:val="center"/>
            </w:pPr>
            <w:r>
              <w:rPr>
                <w:sz w:val="14"/>
              </w:rPr>
              <w:t>0.7033</w:t>
            </w:r>
          </w:p>
        </w:tc>
        <w:tc>
          <w:tcPr>
            <w:tcW w:type="dxa" w:w="1704"/>
            <w:vAlign w:val="center"/>
          </w:tcPr>
          <w:p>
            <w:pPr>
              <w:jc w:val="center"/>
            </w:pPr>
            <w:r>
              <w:rPr>
                <w:sz w:val="14"/>
              </w:rPr>
              <w:t>71.4286</w:t>
            </w:r>
          </w:p>
        </w:tc>
        <w:tc>
          <w:tcPr>
            <w:tcW w:type="dxa" w:w="1704"/>
            <w:vAlign w:val="center"/>
          </w:tcPr>
          <w:p>
            <w:pPr>
              <w:jc w:val="center"/>
            </w:pPr>
            <w:r>
              <w:rPr>
                <w:sz w:val="14"/>
              </w:rPr>
              <w:t>Ventaja local alta</w:t>
            </w:r>
          </w:p>
        </w:tc>
      </w:tr>
      <w:tr>
        <w:tc>
          <w:tcPr>
            <w:tcW w:type="dxa" w:w="1704"/>
            <w:vAlign w:val="center"/>
          </w:tcPr>
          <w:p>
            <w:pPr>
              <w:jc w:val="center"/>
            </w:pPr>
            <w:r>
              <w:rPr>
                <w:sz w:val="14"/>
              </w:rPr>
              <w:t>Belgrano</w:t>
            </w:r>
          </w:p>
        </w:tc>
        <w:tc>
          <w:tcPr>
            <w:tcW w:type="dxa" w:w="1704"/>
            <w:vAlign w:val="center"/>
          </w:tcPr>
          <w:p>
            <w:pPr>
              <w:jc w:val="center"/>
            </w:pPr>
            <w:r>
              <w:rPr>
                <w:sz w:val="14"/>
              </w:rPr>
              <w:t>1.6923</w:t>
            </w:r>
          </w:p>
        </w:tc>
        <w:tc>
          <w:tcPr>
            <w:tcW w:type="dxa" w:w="1704"/>
            <w:vAlign w:val="center"/>
          </w:tcPr>
          <w:p>
            <w:pPr>
              <w:jc w:val="center"/>
            </w:pPr>
            <w:r>
              <w:rPr>
                <w:sz w:val="14"/>
              </w:rPr>
              <w:t>1.0000</w:t>
            </w:r>
          </w:p>
        </w:tc>
        <w:tc>
          <w:tcPr>
            <w:tcW w:type="dxa" w:w="1704"/>
            <w:vAlign w:val="center"/>
          </w:tcPr>
          <w:p>
            <w:pPr>
              <w:jc w:val="center"/>
            </w:pPr>
            <w:r>
              <w:rPr>
                <w:sz w:val="14"/>
              </w:rPr>
              <w:t>0.6923</w:t>
            </w:r>
          </w:p>
        </w:tc>
        <w:tc>
          <w:tcPr>
            <w:tcW w:type="dxa" w:w="1704"/>
            <w:vAlign w:val="center"/>
          </w:tcPr>
          <w:p>
            <w:pPr>
              <w:jc w:val="center"/>
            </w:pPr>
            <w:r>
              <w:rPr>
                <w:sz w:val="14"/>
              </w:rPr>
              <w:t>67.8571</w:t>
            </w:r>
          </w:p>
        </w:tc>
        <w:tc>
          <w:tcPr>
            <w:tcW w:type="dxa" w:w="1704"/>
            <w:vAlign w:val="center"/>
          </w:tcPr>
          <w:p>
            <w:pPr>
              <w:jc w:val="center"/>
            </w:pPr>
            <w:r>
              <w:rPr>
                <w:sz w:val="14"/>
              </w:rPr>
              <w:t>Ventaja local alta</w:t>
            </w:r>
          </w:p>
        </w:tc>
      </w:tr>
    </w:tbl>
    <w:p/>
    <w:p>
      <w:pPr>
        <w:spacing w:after="140" w:line="259" w:lineRule="auto"/>
        <w:jc w:val="both"/>
      </w:pPr>
      <w:r>
        <w:t>El ranking no representa necesariamente a los mejores equipos del torneo, sino a los equipos que tuvieron mayor diferencia entre su rendimiento local y visitante. Por ejemplo, un equipo puede ser muy bueno de local, pero si también fue muy bueno de visitante, su Delta Pts/PJ no será tan alto.</w:t>
      </w:r>
    </w:p>
    <w:p>
      <w:pPr>
        <w:pStyle w:val="Heading3"/>
      </w:pPr>
      <w:r>
        <w:t>Figura 2. Ranking de ventaja de localía</w:t>
      </w:r>
    </w:p>
    <w:p>
      <w:pPr>
        <w:jc w:val="center"/>
      </w:pPr>
      <w:r>
        <w:drawing>
          <wp:inline xmlns:a="http://schemas.openxmlformats.org/drawingml/2006/main" xmlns:pic="http://schemas.openxmlformats.org/drawingml/2006/picture">
            <wp:extent cx="5760720" cy="5754899"/>
            <wp:docPr id="2" name="Picture 2"/>
            <wp:cNvGraphicFramePr>
              <a:graphicFrameLocks noChangeAspect="1"/>
            </wp:cNvGraphicFramePr>
            <a:graphic>
              <a:graphicData uri="http://schemas.openxmlformats.org/drawingml/2006/picture">
                <pic:pic>
                  <pic:nvPicPr>
                    <pic:cNvPr id="0" name="02_ranking_delta_puntos.png"/>
                    <pic:cNvPicPr/>
                  </pic:nvPicPr>
                  <pic:blipFill>
                    <a:blip r:embed="rId10"/>
                    <a:stretch>
                      <a:fillRect/>
                    </a:stretch>
                  </pic:blipFill>
                  <pic:spPr>
                    <a:xfrm>
                      <a:off x="0" y="0"/>
                      <a:ext cx="5760720" cy="5754899"/>
                    </a:xfrm>
                    <a:prstGeom prst="rect"/>
                  </pic:spPr>
                </pic:pic>
              </a:graphicData>
            </a:graphic>
          </wp:inline>
        </w:drawing>
      </w:r>
    </w:p>
    <w:p>
      <w:pPr>
        <w:spacing w:after="160"/>
        <w:jc w:val="center"/>
      </w:pPr>
      <w:r>
        <w:rPr>
          <w:b/>
          <w:sz w:val="22"/>
        </w:rPr>
        <w:t>Delta Pts/PJ = Pts/PJ Local - Pts/PJ Visitante</w:t>
      </w:r>
    </w:p>
    <w:p>
      <w:pPr>
        <w:spacing w:after="140" w:line="259" w:lineRule="auto"/>
        <w:jc w:val="both"/>
      </w:pPr>
      <w:r>
        <w:t>Este gráfico ordena los equipos de mayor a menor ventaja de localía. Los primeros lugares corresponden a los equipos que más aumentaron su rendimiento jugando como locales respecto de su rendimiento visitante.</w:t>
      </w:r>
    </w:p>
    <w:p>
      <w:pPr>
        <w:pStyle w:val="Heading3"/>
      </w:pPr>
      <w:r>
        <w:t>Figura 3. Boxplot de puntos por partido y ventaja de localía</w:t>
      </w:r>
    </w:p>
    <w:p>
      <w:pPr>
        <w:jc w:val="center"/>
      </w:pPr>
      <w:r>
        <w:drawing>
          <wp:inline xmlns:a="http://schemas.openxmlformats.org/drawingml/2006/main" xmlns:pic="http://schemas.openxmlformats.org/drawingml/2006/picture">
            <wp:extent cx="5760720" cy="4292587"/>
            <wp:docPr id="3" name="Picture 3"/>
            <wp:cNvGraphicFramePr>
              <a:graphicFrameLocks noChangeAspect="1"/>
            </wp:cNvGraphicFramePr>
            <a:graphic>
              <a:graphicData uri="http://schemas.openxmlformats.org/drawingml/2006/picture">
                <pic:pic>
                  <pic:nvPicPr>
                    <pic:cNvPr id="0" name="03_boxplot_delta_puntos.png"/>
                    <pic:cNvPicPr/>
                  </pic:nvPicPr>
                  <pic:blipFill>
                    <a:blip r:embed="rId11"/>
                    <a:stretch>
                      <a:fillRect/>
                    </a:stretch>
                  </pic:blipFill>
                  <pic:spPr>
                    <a:xfrm>
                      <a:off x="0" y="0"/>
                      <a:ext cx="5760720" cy="4292587"/>
                    </a:xfrm>
                    <a:prstGeom prst="rect"/>
                  </pic:spPr>
                </pic:pic>
              </a:graphicData>
            </a:graphic>
          </wp:inline>
        </w:drawing>
      </w:r>
    </w:p>
    <w:p>
      <w:pPr>
        <w:spacing w:after="160"/>
        <w:jc w:val="center"/>
      </w:pPr>
      <w:r>
        <w:rPr>
          <w:b/>
          <w:sz w:val="22"/>
        </w:rPr>
        <w:t>RIC = Q3 - Q1</w:t>
      </w:r>
    </w:p>
    <w:p>
      <w:pPr>
        <w:spacing w:after="140" w:line="259" w:lineRule="auto"/>
        <w:jc w:val="both"/>
      </w:pPr>
      <w:r>
        <w:t>El diagrama de caja y bigotes resume la distribución de Pts/PJ Local, Pts/PJ Visitante y Delta Pts/PJ. La caja muestra el rango intercuartílico, la línea central es la mediana y los bigotes muestran la dispersión principal. Se observa que los puntos por partido como local se ubican por encima de los visitantes.</w:t>
      </w:r>
    </w:p>
    <w:p>
      <w:pPr>
        <w:pStyle w:val="Heading1"/>
      </w:pPr>
      <w:r>
        <w:t>6. Percentiles, z-score y Chebyshev</w:t>
      </w:r>
    </w:p>
    <w:p>
      <w:pPr>
        <w:spacing w:after="140" w:line="259" w:lineRule="auto"/>
        <w:jc w:val="both"/>
      </w:pPr>
      <w:r>
        <w:t>Los percentiles permiten ubicar a cada equipo dentro de la distribución de la ventaja de localía. Por ejemplo, un equipo en percentil 90 tiene una ventaja de localía mayor o igual que aproximadamente el 90% de los equipos.</w:t>
      </w:r>
    </w:p>
    <w:p>
      <w:pPr>
        <w:pStyle w:val="Heading3"/>
      </w:pPr>
      <w:r>
        <w:t>Percentiles principales de Delta Pts/PJ</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b/>
                <w:sz w:val="14"/>
              </w:rPr>
              <w:t>Percentil</w:t>
            </w:r>
          </w:p>
        </w:tc>
        <w:tc>
          <w:tcPr>
            <w:tcW w:type="dxa" w:w="3408"/>
            <w:vAlign w:val="center"/>
          </w:tcPr>
          <w:p>
            <w:pPr>
              <w:jc w:val="center"/>
            </w:pPr>
            <w:r>
              <w:rPr>
                <w:b/>
                <w:sz w:val="14"/>
              </w:rPr>
              <w:t>Valor_Delta_Pts_PJ</w:t>
            </w:r>
          </w:p>
        </w:tc>
        <w:tc>
          <w:tcPr>
            <w:tcW w:type="dxa" w:w="3408"/>
            <w:vAlign w:val="center"/>
          </w:tcPr>
          <w:p>
            <w:pPr>
              <w:jc w:val="center"/>
            </w:pPr>
            <w:r>
              <w:rPr>
                <w:b/>
                <w:sz w:val="14"/>
              </w:rPr>
              <w:t>Interpretacion</w:t>
            </w:r>
          </w:p>
        </w:tc>
      </w:tr>
      <w:tr>
        <w:tc>
          <w:tcPr>
            <w:tcW w:type="dxa" w:w="3408"/>
            <w:vAlign w:val="center"/>
          </w:tcPr>
          <w:p>
            <w:pPr>
              <w:jc w:val="center"/>
            </w:pPr>
            <w:r>
              <w:rPr>
                <w:sz w:val="14"/>
              </w:rPr>
              <w:t>P10</w:t>
            </w:r>
          </w:p>
        </w:tc>
        <w:tc>
          <w:tcPr>
            <w:tcW w:type="dxa" w:w="3408"/>
            <w:vAlign w:val="center"/>
          </w:tcPr>
          <w:p>
            <w:pPr>
              <w:jc w:val="center"/>
            </w:pPr>
            <w:r>
              <w:rPr>
                <w:sz w:val="14"/>
              </w:rPr>
              <w:t>0.3489</w:t>
            </w:r>
          </w:p>
        </w:tc>
        <w:tc>
          <w:tcPr>
            <w:tcW w:type="dxa" w:w="3408"/>
            <w:vAlign w:val="center"/>
          </w:tcPr>
          <w:p>
            <w:pPr>
              <w:jc w:val="center"/>
            </w:pPr>
            <w:r>
              <w:rPr>
                <w:sz w:val="14"/>
              </w:rPr>
              <w:t>El 10% de los equipos tiene una ventaja de localía igual o menor a este valor.</w:t>
            </w:r>
          </w:p>
        </w:tc>
      </w:tr>
      <w:tr>
        <w:tc>
          <w:tcPr>
            <w:tcW w:type="dxa" w:w="3408"/>
            <w:vAlign w:val="center"/>
          </w:tcPr>
          <w:p>
            <w:pPr>
              <w:jc w:val="center"/>
            </w:pPr>
            <w:r>
              <w:rPr>
                <w:sz w:val="14"/>
              </w:rPr>
              <w:t>P25</w:t>
            </w:r>
          </w:p>
        </w:tc>
        <w:tc>
          <w:tcPr>
            <w:tcW w:type="dxa" w:w="3408"/>
            <w:vAlign w:val="center"/>
          </w:tcPr>
          <w:p>
            <w:pPr>
              <w:jc w:val="center"/>
            </w:pPr>
            <w:r>
              <w:rPr>
                <w:sz w:val="14"/>
              </w:rPr>
              <w:t>0.4162</w:t>
            </w:r>
          </w:p>
        </w:tc>
        <w:tc>
          <w:tcPr>
            <w:tcW w:type="dxa" w:w="3408"/>
            <w:vAlign w:val="center"/>
          </w:tcPr>
          <w:p>
            <w:pPr>
              <w:jc w:val="center"/>
            </w:pPr>
            <w:r>
              <w:rPr>
                <w:sz w:val="14"/>
              </w:rPr>
              <w:t>El 25% de los equipos está por debajo o igual a este valor.</w:t>
            </w:r>
          </w:p>
        </w:tc>
      </w:tr>
      <w:tr>
        <w:tc>
          <w:tcPr>
            <w:tcW w:type="dxa" w:w="3408"/>
            <w:vAlign w:val="center"/>
          </w:tcPr>
          <w:p>
            <w:pPr>
              <w:jc w:val="center"/>
            </w:pPr>
            <w:r>
              <w:rPr>
                <w:sz w:val="14"/>
              </w:rPr>
              <w:t>P50 / Mediana</w:t>
            </w:r>
          </w:p>
        </w:tc>
        <w:tc>
          <w:tcPr>
            <w:tcW w:type="dxa" w:w="3408"/>
            <w:vAlign w:val="center"/>
          </w:tcPr>
          <w:p>
            <w:pPr>
              <w:jc w:val="center"/>
            </w:pPr>
            <w:r>
              <w:rPr>
                <w:sz w:val="14"/>
              </w:rPr>
              <w:t>0.6319</w:t>
            </w:r>
          </w:p>
        </w:tc>
        <w:tc>
          <w:tcPr>
            <w:tcW w:type="dxa" w:w="3408"/>
            <w:vAlign w:val="center"/>
          </w:tcPr>
          <w:p>
            <w:pPr>
              <w:jc w:val="center"/>
            </w:pPr>
            <w:r>
              <w:rPr>
                <w:sz w:val="14"/>
              </w:rPr>
              <w:t>La mitad de los equipos está por debajo y la otra mitad por encima.</w:t>
            </w:r>
          </w:p>
        </w:tc>
      </w:tr>
      <w:tr>
        <w:tc>
          <w:tcPr>
            <w:tcW w:type="dxa" w:w="3408"/>
            <w:vAlign w:val="center"/>
          </w:tcPr>
          <w:p>
            <w:pPr>
              <w:jc w:val="center"/>
            </w:pPr>
            <w:r>
              <w:rPr>
                <w:sz w:val="14"/>
              </w:rPr>
              <w:t>P75</w:t>
            </w:r>
          </w:p>
        </w:tc>
        <w:tc>
          <w:tcPr>
            <w:tcW w:type="dxa" w:w="3408"/>
            <w:vAlign w:val="center"/>
          </w:tcPr>
          <w:p>
            <w:pPr>
              <w:jc w:val="center"/>
            </w:pPr>
            <w:r>
              <w:rPr>
                <w:sz w:val="14"/>
              </w:rPr>
              <w:t>0.7734</w:t>
            </w:r>
          </w:p>
        </w:tc>
        <w:tc>
          <w:tcPr>
            <w:tcW w:type="dxa" w:w="3408"/>
            <w:vAlign w:val="center"/>
          </w:tcPr>
          <w:p>
            <w:pPr>
              <w:jc w:val="center"/>
            </w:pPr>
            <w:r>
              <w:rPr>
                <w:sz w:val="14"/>
              </w:rPr>
              <w:t>El 75% de los equipos está por debajo o igual a este valor.</w:t>
            </w:r>
          </w:p>
        </w:tc>
      </w:tr>
      <w:tr>
        <w:tc>
          <w:tcPr>
            <w:tcW w:type="dxa" w:w="3408"/>
            <w:vAlign w:val="center"/>
          </w:tcPr>
          <w:p>
            <w:pPr>
              <w:jc w:val="center"/>
            </w:pPr>
            <w:r>
              <w:rPr>
                <w:sz w:val="14"/>
              </w:rPr>
              <w:t>P90</w:t>
            </w:r>
          </w:p>
        </w:tc>
        <w:tc>
          <w:tcPr>
            <w:tcW w:type="dxa" w:w="3408"/>
            <w:vAlign w:val="center"/>
          </w:tcPr>
          <w:p>
            <w:pPr>
              <w:jc w:val="center"/>
            </w:pPr>
            <w:r>
              <w:rPr>
                <w:sz w:val="14"/>
              </w:rPr>
              <w:t>1.0687</w:t>
            </w:r>
          </w:p>
        </w:tc>
        <w:tc>
          <w:tcPr>
            <w:tcW w:type="dxa" w:w="3408"/>
            <w:vAlign w:val="center"/>
          </w:tcPr>
          <w:p>
            <w:pPr>
              <w:jc w:val="center"/>
            </w:pPr>
            <w:r>
              <w:rPr>
                <w:sz w:val="14"/>
              </w:rPr>
              <w:t>El 90% de los equipos tiene una ventaja de localía igual o menor a este valor.</w:t>
            </w:r>
          </w:p>
        </w:tc>
      </w:tr>
    </w:tbl>
    <w:p/>
    <w:p>
      <w:pPr>
        <w:pStyle w:val="Heading3"/>
      </w:pPr>
      <w:r>
        <w:t>Top 10 según z-score y percentil de localía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jc w:val="center"/>
            </w:pPr>
            <w:r>
              <w:rPr>
                <w:b/>
                <w:sz w:val="14"/>
              </w:rPr>
              <w:t>Equipo</w:t>
            </w:r>
          </w:p>
        </w:tc>
        <w:tc>
          <w:tcPr>
            <w:tcW w:type="dxa" w:w="2045"/>
            <w:vAlign w:val="center"/>
          </w:tcPr>
          <w:p>
            <w:pPr>
              <w:jc w:val="center"/>
            </w:pPr>
            <w:r>
              <w:rPr>
                <w:b/>
                <w:sz w:val="14"/>
              </w:rPr>
              <w:t>Delta_Pts_PJ</w:t>
            </w:r>
          </w:p>
        </w:tc>
        <w:tc>
          <w:tcPr>
            <w:tcW w:type="dxa" w:w="2045"/>
            <w:vAlign w:val="center"/>
          </w:tcPr>
          <w:p>
            <w:pPr>
              <w:jc w:val="center"/>
            </w:pPr>
            <w:r>
              <w:rPr>
                <w:b/>
                <w:sz w:val="14"/>
              </w:rPr>
              <w:t>Z_Delta_Pts_PJ</w:t>
            </w:r>
          </w:p>
        </w:tc>
        <w:tc>
          <w:tcPr>
            <w:tcW w:type="dxa" w:w="2045"/>
            <w:vAlign w:val="center"/>
          </w:tcPr>
          <w:p>
            <w:pPr>
              <w:jc w:val="center"/>
            </w:pPr>
            <w:r>
              <w:rPr>
                <w:b/>
                <w:sz w:val="14"/>
              </w:rPr>
              <w:t>Percentil_Localia</w:t>
            </w:r>
          </w:p>
        </w:tc>
        <w:tc>
          <w:tcPr>
            <w:tcW w:type="dxa" w:w="2045"/>
            <w:vAlign w:val="center"/>
          </w:tcPr>
          <w:p>
            <w:pPr>
              <w:jc w:val="center"/>
            </w:pPr>
            <w:r>
              <w:rPr>
                <w:b/>
                <w:sz w:val="14"/>
              </w:rPr>
              <w:t>Clasificacion</w:t>
            </w:r>
          </w:p>
        </w:tc>
      </w:tr>
      <w:tr>
        <w:tc>
          <w:tcPr>
            <w:tcW w:type="dxa" w:w="2045"/>
            <w:vAlign w:val="center"/>
          </w:tcPr>
          <w:p>
            <w:pPr>
              <w:jc w:val="center"/>
            </w:pPr>
            <w:r>
              <w:rPr>
                <w:sz w:val="14"/>
              </w:rPr>
              <w:t>Rosario Central</w:t>
            </w:r>
          </w:p>
        </w:tc>
        <w:tc>
          <w:tcPr>
            <w:tcW w:type="dxa" w:w="2045"/>
            <w:vAlign w:val="center"/>
          </w:tcPr>
          <w:p>
            <w:pPr>
              <w:jc w:val="center"/>
            </w:pPr>
            <w:r>
              <w:rPr>
                <w:sz w:val="14"/>
              </w:rPr>
              <w:t>1.5165</w:t>
            </w:r>
          </w:p>
        </w:tc>
        <w:tc>
          <w:tcPr>
            <w:tcW w:type="dxa" w:w="2045"/>
            <w:vAlign w:val="center"/>
          </w:tcPr>
          <w:p>
            <w:pPr>
              <w:jc w:val="center"/>
            </w:pPr>
            <w:r>
              <w:rPr>
                <w:sz w:val="14"/>
              </w:rPr>
              <w:t>2.6446</w:t>
            </w:r>
          </w:p>
        </w:tc>
        <w:tc>
          <w:tcPr>
            <w:tcW w:type="dxa" w:w="2045"/>
            <w:vAlign w:val="center"/>
          </w:tcPr>
          <w:p>
            <w:pPr>
              <w:jc w:val="center"/>
            </w:pPr>
            <w:r>
              <w:rPr>
                <w:sz w:val="14"/>
              </w:rPr>
              <w:t>100.0000</w:t>
            </w:r>
          </w:p>
        </w:tc>
        <w:tc>
          <w:tcPr>
            <w:tcW w:type="dxa" w:w="2045"/>
            <w:vAlign w:val="center"/>
          </w:tcPr>
          <w:p>
            <w:pPr>
              <w:jc w:val="center"/>
            </w:pPr>
            <w:r>
              <w:rPr>
                <w:sz w:val="14"/>
              </w:rPr>
              <w:t>Atípico positivo</w:t>
            </w:r>
          </w:p>
        </w:tc>
      </w:tr>
      <w:tr>
        <w:tc>
          <w:tcPr>
            <w:tcW w:type="dxa" w:w="2045"/>
            <w:vAlign w:val="center"/>
          </w:tcPr>
          <w:p>
            <w:pPr>
              <w:jc w:val="center"/>
            </w:pPr>
            <w:r>
              <w:rPr>
                <w:sz w:val="14"/>
              </w:rPr>
              <w:t>Godoy Cruz</w:t>
            </w:r>
          </w:p>
        </w:tc>
        <w:tc>
          <w:tcPr>
            <w:tcW w:type="dxa" w:w="2045"/>
            <w:vAlign w:val="center"/>
          </w:tcPr>
          <w:p>
            <w:pPr>
              <w:jc w:val="center"/>
            </w:pPr>
            <w:r>
              <w:rPr>
                <w:sz w:val="14"/>
              </w:rPr>
              <w:t>1.2253</w:t>
            </w:r>
          </w:p>
        </w:tc>
        <w:tc>
          <w:tcPr>
            <w:tcW w:type="dxa" w:w="2045"/>
            <w:vAlign w:val="center"/>
          </w:tcPr>
          <w:p>
            <w:pPr>
              <w:jc w:val="center"/>
            </w:pPr>
            <w:r>
              <w:rPr>
                <w:sz w:val="14"/>
              </w:rPr>
              <w:t>1.7647</w:t>
            </w:r>
          </w:p>
        </w:tc>
        <w:tc>
          <w:tcPr>
            <w:tcW w:type="dxa" w:w="2045"/>
            <w:vAlign w:val="center"/>
          </w:tcPr>
          <w:p>
            <w:pPr>
              <w:jc w:val="center"/>
            </w:pPr>
            <w:r>
              <w:rPr>
                <w:sz w:val="14"/>
              </w:rPr>
              <w:t>96.4286</w:t>
            </w:r>
          </w:p>
        </w:tc>
        <w:tc>
          <w:tcPr>
            <w:tcW w:type="dxa" w:w="2045"/>
            <w:vAlign w:val="center"/>
          </w:tcPr>
          <w:p>
            <w:pPr>
              <w:jc w:val="center"/>
            </w:pPr>
            <w:r>
              <w:rPr>
                <w:sz w:val="14"/>
              </w:rPr>
              <w:t>Localía alta</w:t>
            </w:r>
          </w:p>
        </w:tc>
      </w:tr>
      <w:tr>
        <w:tc>
          <w:tcPr>
            <w:tcW w:type="dxa" w:w="2045"/>
            <w:vAlign w:val="center"/>
          </w:tcPr>
          <w:p>
            <w:pPr>
              <w:jc w:val="center"/>
            </w:pPr>
            <w:r>
              <w:rPr>
                <w:sz w:val="14"/>
              </w:rPr>
              <w:t>Lanús</w:t>
            </w:r>
          </w:p>
        </w:tc>
        <w:tc>
          <w:tcPr>
            <w:tcW w:type="dxa" w:w="2045"/>
            <w:vAlign w:val="center"/>
          </w:tcPr>
          <w:p>
            <w:pPr>
              <w:jc w:val="center"/>
            </w:pPr>
            <w:r>
              <w:rPr>
                <w:sz w:val="14"/>
              </w:rPr>
              <w:t>1.0879</w:t>
            </w:r>
          </w:p>
        </w:tc>
        <w:tc>
          <w:tcPr>
            <w:tcW w:type="dxa" w:w="2045"/>
            <w:vAlign w:val="center"/>
          </w:tcPr>
          <w:p>
            <w:pPr>
              <w:jc w:val="center"/>
            </w:pPr>
            <w:r>
              <w:rPr>
                <w:sz w:val="14"/>
              </w:rPr>
              <w:t>1.3496</w:t>
            </w:r>
          </w:p>
        </w:tc>
        <w:tc>
          <w:tcPr>
            <w:tcW w:type="dxa" w:w="2045"/>
            <w:vAlign w:val="center"/>
          </w:tcPr>
          <w:p>
            <w:pPr>
              <w:jc w:val="center"/>
            </w:pPr>
            <w:r>
              <w:rPr>
                <w:sz w:val="14"/>
              </w:rPr>
              <w:t>92.8571</w:t>
            </w:r>
          </w:p>
        </w:tc>
        <w:tc>
          <w:tcPr>
            <w:tcW w:type="dxa" w:w="2045"/>
            <w:vAlign w:val="center"/>
          </w:tcPr>
          <w:p>
            <w:pPr>
              <w:jc w:val="center"/>
            </w:pPr>
            <w:r>
              <w:rPr>
                <w:sz w:val="14"/>
              </w:rPr>
              <w:t>Localía alta</w:t>
            </w:r>
          </w:p>
        </w:tc>
      </w:tr>
      <w:tr>
        <w:tc>
          <w:tcPr>
            <w:tcW w:type="dxa" w:w="2045"/>
            <w:vAlign w:val="center"/>
          </w:tcPr>
          <w:p>
            <w:pPr>
              <w:jc w:val="center"/>
            </w:pPr>
            <w:r>
              <w:rPr>
                <w:sz w:val="14"/>
              </w:rPr>
              <w:t>Newell's Old Boys</w:t>
            </w:r>
          </w:p>
        </w:tc>
        <w:tc>
          <w:tcPr>
            <w:tcW w:type="dxa" w:w="2045"/>
            <w:vAlign w:val="center"/>
          </w:tcPr>
          <w:p>
            <w:pPr>
              <w:jc w:val="center"/>
            </w:pPr>
            <w:r>
              <w:rPr>
                <w:sz w:val="14"/>
              </w:rPr>
              <w:t>1.0604</w:t>
            </w:r>
          </w:p>
        </w:tc>
        <w:tc>
          <w:tcPr>
            <w:tcW w:type="dxa" w:w="2045"/>
            <w:vAlign w:val="center"/>
          </w:tcPr>
          <w:p>
            <w:pPr>
              <w:jc w:val="center"/>
            </w:pPr>
            <w:r>
              <w:rPr>
                <w:sz w:val="14"/>
              </w:rPr>
              <w:t>1.2666</w:t>
            </w:r>
          </w:p>
        </w:tc>
        <w:tc>
          <w:tcPr>
            <w:tcW w:type="dxa" w:w="2045"/>
            <w:vAlign w:val="center"/>
          </w:tcPr>
          <w:p>
            <w:pPr>
              <w:jc w:val="center"/>
            </w:pPr>
            <w:r>
              <w:rPr>
                <w:sz w:val="14"/>
              </w:rPr>
              <w:t>89.2857</w:t>
            </w:r>
          </w:p>
        </w:tc>
        <w:tc>
          <w:tcPr>
            <w:tcW w:type="dxa" w:w="2045"/>
            <w:vAlign w:val="center"/>
          </w:tcPr>
          <w:p>
            <w:pPr>
              <w:jc w:val="center"/>
            </w:pPr>
            <w:r>
              <w:rPr>
                <w:sz w:val="14"/>
              </w:rPr>
              <w:t>Localía alta</w:t>
            </w:r>
          </w:p>
        </w:tc>
      </w:tr>
      <w:tr>
        <w:tc>
          <w:tcPr>
            <w:tcW w:type="dxa" w:w="2045"/>
            <w:vAlign w:val="center"/>
          </w:tcPr>
          <w:p>
            <w:pPr>
              <w:jc w:val="center"/>
            </w:pPr>
            <w:r>
              <w:rPr>
                <w:sz w:val="14"/>
              </w:rPr>
              <w:t>River Plate</w:t>
            </w:r>
          </w:p>
        </w:tc>
        <w:tc>
          <w:tcPr>
            <w:tcW w:type="dxa" w:w="2045"/>
            <w:vAlign w:val="center"/>
          </w:tcPr>
          <w:p>
            <w:pPr>
              <w:jc w:val="center"/>
            </w:pPr>
            <w:r>
              <w:rPr>
                <w:sz w:val="14"/>
              </w:rPr>
              <w:t>0.9835</w:t>
            </w:r>
          </w:p>
        </w:tc>
        <w:tc>
          <w:tcPr>
            <w:tcW w:type="dxa" w:w="2045"/>
            <w:vAlign w:val="center"/>
          </w:tcPr>
          <w:p>
            <w:pPr>
              <w:jc w:val="center"/>
            </w:pPr>
            <w:r>
              <w:rPr>
                <w:sz w:val="14"/>
              </w:rPr>
              <w:t>1.0341</w:t>
            </w:r>
          </w:p>
        </w:tc>
        <w:tc>
          <w:tcPr>
            <w:tcW w:type="dxa" w:w="2045"/>
            <w:vAlign w:val="center"/>
          </w:tcPr>
          <w:p>
            <w:pPr>
              <w:jc w:val="center"/>
            </w:pPr>
            <w:r>
              <w:rPr>
                <w:sz w:val="14"/>
              </w:rPr>
              <w:t>85.7143</w:t>
            </w:r>
          </w:p>
        </w:tc>
        <w:tc>
          <w:tcPr>
            <w:tcW w:type="dxa" w:w="2045"/>
            <w:vAlign w:val="center"/>
          </w:tcPr>
          <w:p>
            <w:pPr>
              <w:jc w:val="center"/>
            </w:pPr>
            <w:r>
              <w:rPr>
                <w:sz w:val="14"/>
              </w:rPr>
              <w:t>Localía alta</w:t>
            </w:r>
          </w:p>
        </w:tc>
      </w:tr>
      <w:tr>
        <w:tc>
          <w:tcPr>
            <w:tcW w:type="dxa" w:w="2045"/>
            <w:vAlign w:val="center"/>
          </w:tcPr>
          <w:p>
            <w:pPr>
              <w:jc w:val="center"/>
            </w:pPr>
            <w:r>
              <w:rPr>
                <w:sz w:val="14"/>
              </w:rPr>
              <w:t>Gimnasia–LP</w:t>
            </w:r>
          </w:p>
        </w:tc>
        <w:tc>
          <w:tcPr>
            <w:tcW w:type="dxa" w:w="2045"/>
            <w:vAlign w:val="center"/>
          </w:tcPr>
          <w:p>
            <w:pPr>
              <w:jc w:val="center"/>
            </w:pPr>
            <w:r>
              <w:rPr>
                <w:sz w:val="14"/>
              </w:rPr>
              <w:t>0.8242</w:t>
            </w:r>
          </w:p>
        </w:tc>
        <w:tc>
          <w:tcPr>
            <w:tcW w:type="dxa" w:w="2045"/>
            <w:vAlign w:val="center"/>
          </w:tcPr>
          <w:p>
            <w:pPr>
              <w:jc w:val="center"/>
            </w:pPr>
            <w:r>
              <w:rPr>
                <w:sz w:val="14"/>
              </w:rPr>
              <w:t>0.5526</w:t>
            </w:r>
          </w:p>
        </w:tc>
        <w:tc>
          <w:tcPr>
            <w:tcW w:type="dxa" w:w="2045"/>
            <w:vAlign w:val="center"/>
          </w:tcPr>
          <w:p>
            <w:pPr>
              <w:jc w:val="center"/>
            </w:pPr>
            <w:r>
              <w:rPr>
                <w:sz w:val="14"/>
              </w:rPr>
              <w:t>82.1429</w:t>
            </w:r>
          </w:p>
        </w:tc>
        <w:tc>
          <w:tcPr>
            <w:tcW w:type="dxa" w:w="2045"/>
            <w:vAlign w:val="center"/>
          </w:tcPr>
          <w:p>
            <w:pPr>
              <w:jc w:val="center"/>
            </w:pPr>
            <w:r>
              <w:rPr>
                <w:sz w:val="14"/>
              </w:rPr>
              <w:t>Localía media</w:t>
            </w:r>
          </w:p>
        </w:tc>
      </w:tr>
      <w:tr>
        <w:tc>
          <w:tcPr>
            <w:tcW w:type="dxa" w:w="2045"/>
            <w:vAlign w:val="center"/>
          </w:tcPr>
          <w:p>
            <w:pPr>
              <w:jc w:val="center"/>
            </w:pPr>
            <w:r>
              <w:rPr>
                <w:sz w:val="14"/>
              </w:rPr>
              <w:t>Arsenal</w:t>
            </w:r>
          </w:p>
        </w:tc>
        <w:tc>
          <w:tcPr>
            <w:tcW w:type="dxa" w:w="2045"/>
            <w:vAlign w:val="center"/>
          </w:tcPr>
          <w:p>
            <w:pPr>
              <w:jc w:val="center"/>
            </w:pPr>
            <w:r>
              <w:rPr>
                <w:sz w:val="14"/>
              </w:rPr>
              <w:t>0.8022</w:t>
            </w:r>
          </w:p>
        </w:tc>
        <w:tc>
          <w:tcPr>
            <w:tcW w:type="dxa" w:w="2045"/>
            <w:vAlign w:val="center"/>
          </w:tcPr>
          <w:p>
            <w:pPr>
              <w:jc w:val="center"/>
            </w:pPr>
            <w:r>
              <w:rPr>
                <w:sz w:val="14"/>
              </w:rPr>
              <w:t>0.4862</w:t>
            </w:r>
          </w:p>
        </w:tc>
        <w:tc>
          <w:tcPr>
            <w:tcW w:type="dxa" w:w="2045"/>
            <w:vAlign w:val="center"/>
          </w:tcPr>
          <w:p>
            <w:pPr>
              <w:jc w:val="center"/>
            </w:pPr>
            <w:r>
              <w:rPr>
                <w:sz w:val="14"/>
              </w:rPr>
              <w:t>78.5714</w:t>
            </w:r>
          </w:p>
        </w:tc>
        <w:tc>
          <w:tcPr>
            <w:tcW w:type="dxa" w:w="2045"/>
            <w:vAlign w:val="center"/>
          </w:tcPr>
          <w:p>
            <w:pPr>
              <w:jc w:val="center"/>
            </w:pPr>
            <w:r>
              <w:rPr>
                <w:sz w:val="14"/>
              </w:rPr>
              <w:t>Localía media</w:t>
            </w:r>
          </w:p>
        </w:tc>
      </w:tr>
      <w:tr>
        <w:tc>
          <w:tcPr>
            <w:tcW w:type="dxa" w:w="2045"/>
            <w:vAlign w:val="center"/>
          </w:tcPr>
          <w:p>
            <w:pPr>
              <w:jc w:val="center"/>
            </w:pPr>
            <w:r>
              <w:rPr>
                <w:sz w:val="14"/>
              </w:rPr>
              <w:t>San Lorenzo</w:t>
            </w:r>
          </w:p>
        </w:tc>
        <w:tc>
          <w:tcPr>
            <w:tcW w:type="dxa" w:w="2045"/>
            <w:vAlign w:val="center"/>
          </w:tcPr>
          <w:p>
            <w:pPr>
              <w:jc w:val="center"/>
            </w:pPr>
            <w:r>
              <w:rPr>
                <w:sz w:val="14"/>
              </w:rPr>
              <w:t>0.7637</w:t>
            </w:r>
          </w:p>
        </w:tc>
        <w:tc>
          <w:tcPr>
            <w:tcW w:type="dxa" w:w="2045"/>
            <w:vAlign w:val="center"/>
          </w:tcPr>
          <w:p>
            <w:pPr>
              <w:jc w:val="center"/>
            </w:pPr>
            <w:r>
              <w:rPr>
                <w:sz w:val="14"/>
              </w:rPr>
              <w:t>0.3700</w:t>
            </w:r>
          </w:p>
        </w:tc>
        <w:tc>
          <w:tcPr>
            <w:tcW w:type="dxa" w:w="2045"/>
            <w:vAlign w:val="center"/>
          </w:tcPr>
          <w:p>
            <w:pPr>
              <w:jc w:val="center"/>
            </w:pPr>
            <w:r>
              <w:rPr>
                <w:sz w:val="14"/>
              </w:rPr>
              <w:t>75.0000</w:t>
            </w:r>
          </w:p>
        </w:tc>
        <w:tc>
          <w:tcPr>
            <w:tcW w:type="dxa" w:w="2045"/>
            <w:vAlign w:val="center"/>
          </w:tcPr>
          <w:p>
            <w:pPr>
              <w:jc w:val="center"/>
            </w:pPr>
            <w:r>
              <w:rPr>
                <w:sz w:val="14"/>
              </w:rPr>
              <w:t>Localía media</w:t>
            </w:r>
          </w:p>
        </w:tc>
      </w:tr>
      <w:tr>
        <w:tc>
          <w:tcPr>
            <w:tcW w:type="dxa" w:w="2045"/>
            <w:vAlign w:val="center"/>
          </w:tcPr>
          <w:p>
            <w:pPr>
              <w:jc w:val="center"/>
            </w:pPr>
            <w:r>
              <w:rPr>
                <w:sz w:val="14"/>
              </w:rPr>
              <w:t>Arg Juniors</w:t>
            </w:r>
          </w:p>
        </w:tc>
        <w:tc>
          <w:tcPr>
            <w:tcW w:type="dxa" w:w="2045"/>
            <w:vAlign w:val="center"/>
          </w:tcPr>
          <w:p>
            <w:pPr>
              <w:jc w:val="center"/>
            </w:pPr>
            <w:r>
              <w:rPr>
                <w:sz w:val="14"/>
              </w:rPr>
              <w:t>0.7033</w:t>
            </w:r>
          </w:p>
        </w:tc>
        <w:tc>
          <w:tcPr>
            <w:tcW w:type="dxa" w:w="2045"/>
            <w:vAlign w:val="center"/>
          </w:tcPr>
          <w:p>
            <w:pPr>
              <w:jc w:val="center"/>
            </w:pPr>
            <w:r>
              <w:rPr>
                <w:sz w:val="14"/>
              </w:rPr>
              <w:t>0.1874</w:t>
            </w:r>
          </w:p>
        </w:tc>
        <w:tc>
          <w:tcPr>
            <w:tcW w:type="dxa" w:w="2045"/>
            <w:vAlign w:val="center"/>
          </w:tcPr>
          <w:p>
            <w:pPr>
              <w:jc w:val="center"/>
            </w:pPr>
            <w:r>
              <w:rPr>
                <w:sz w:val="14"/>
              </w:rPr>
              <w:t>71.4286</w:t>
            </w:r>
          </w:p>
        </w:tc>
        <w:tc>
          <w:tcPr>
            <w:tcW w:type="dxa" w:w="2045"/>
            <w:vAlign w:val="center"/>
          </w:tcPr>
          <w:p>
            <w:pPr>
              <w:jc w:val="center"/>
            </w:pPr>
            <w:r>
              <w:rPr>
                <w:sz w:val="14"/>
              </w:rPr>
              <w:t>Localía media</w:t>
            </w:r>
          </w:p>
        </w:tc>
      </w:tr>
      <w:tr>
        <w:tc>
          <w:tcPr>
            <w:tcW w:type="dxa" w:w="2045"/>
            <w:vAlign w:val="center"/>
          </w:tcPr>
          <w:p>
            <w:pPr>
              <w:jc w:val="center"/>
            </w:pPr>
            <w:r>
              <w:rPr>
                <w:sz w:val="14"/>
              </w:rPr>
              <w:t>Belgrano</w:t>
            </w:r>
          </w:p>
        </w:tc>
        <w:tc>
          <w:tcPr>
            <w:tcW w:type="dxa" w:w="2045"/>
            <w:vAlign w:val="center"/>
          </w:tcPr>
          <w:p>
            <w:pPr>
              <w:jc w:val="center"/>
            </w:pPr>
            <w:r>
              <w:rPr>
                <w:sz w:val="14"/>
              </w:rPr>
              <w:t>0.6923</w:t>
            </w:r>
          </w:p>
        </w:tc>
        <w:tc>
          <w:tcPr>
            <w:tcW w:type="dxa" w:w="2045"/>
            <w:vAlign w:val="center"/>
          </w:tcPr>
          <w:p>
            <w:pPr>
              <w:jc w:val="center"/>
            </w:pPr>
            <w:r>
              <w:rPr>
                <w:sz w:val="14"/>
              </w:rPr>
              <w:t>0.1542</w:t>
            </w:r>
          </w:p>
        </w:tc>
        <w:tc>
          <w:tcPr>
            <w:tcW w:type="dxa" w:w="2045"/>
            <w:vAlign w:val="center"/>
          </w:tcPr>
          <w:p>
            <w:pPr>
              <w:jc w:val="center"/>
            </w:pPr>
            <w:r>
              <w:rPr>
                <w:sz w:val="14"/>
              </w:rPr>
              <w:t>67.8571</w:t>
            </w:r>
          </w:p>
        </w:tc>
        <w:tc>
          <w:tcPr>
            <w:tcW w:type="dxa" w:w="2045"/>
            <w:vAlign w:val="center"/>
          </w:tcPr>
          <w:p>
            <w:pPr>
              <w:jc w:val="center"/>
            </w:pPr>
            <w:r>
              <w:rPr>
                <w:sz w:val="14"/>
              </w:rPr>
              <w:t>Localía media</w:t>
            </w:r>
          </w:p>
        </w:tc>
      </w:tr>
    </w:tbl>
    <w:p/>
    <w:p>
      <w:pPr>
        <w:pStyle w:val="Heading3"/>
      </w:pPr>
      <w:r>
        <w:t>Figura 4. Z-score de la ventaja de localía</w:t>
      </w:r>
    </w:p>
    <w:p>
      <w:pPr>
        <w:jc w:val="center"/>
      </w:pPr>
      <w:r>
        <w:drawing>
          <wp:inline xmlns:a="http://schemas.openxmlformats.org/drawingml/2006/main" xmlns:pic="http://schemas.openxmlformats.org/drawingml/2006/picture">
            <wp:extent cx="5760720" cy="5754899"/>
            <wp:docPr id="4" name="Picture 4"/>
            <wp:cNvGraphicFramePr>
              <a:graphicFrameLocks noChangeAspect="1"/>
            </wp:cNvGraphicFramePr>
            <a:graphic>
              <a:graphicData uri="http://schemas.openxmlformats.org/drawingml/2006/picture">
                <pic:pic>
                  <pic:nvPicPr>
                    <pic:cNvPr id="0" name="06_zscore_localia.png"/>
                    <pic:cNvPicPr/>
                  </pic:nvPicPr>
                  <pic:blipFill>
                    <a:blip r:embed="rId12"/>
                    <a:stretch>
                      <a:fillRect/>
                    </a:stretch>
                  </pic:blipFill>
                  <pic:spPr>
                    <a:xfrm>
                      <a:off x="0" y="0"/>
                      <a:ext cx="5760720" cy="5754899"/>
                    </a:xfrm>
                    <a:prstGeom prst="rect"/>
                  </pic:spPr>
                </pic:pic>
              </a:graphicData>
            </a:graphic>
          </wp:inline>
        </w:drawing>
      </w:r>
    </w:p>
    <w:p>
      <w:pPr>
        <w:spacing w:after="160"/>
        <w:jc w:val="center"/>
      </w:pPr>
      <w:r>
        <w:rPr>
          <w:b/>
          <w:sz w:val="22"/>
        </w:rPr>
        <w:t>z = (x - media) / desvío estándar</w:t>
      </w:r>
    </w:p>
    <w:p>
      <w:pPr>
        <w:spacing w:after="140" w:line="259" w:lineRule="auto"/>
        <w:jc w:val="both"/>
      </w:pPr>
      <w:r>
        <w:t>El z-score indica cuántos desvíos estándar se encuentra cada equipo respecto de la media de Delta Pts/PJ. Valores positivos indican una ventaja de localía superior al promedio. Valores negativos indican una ventaja menor al promedio.</w:t>
      </w:r>
    </w:p>
    <w:p>
      <w:pPr>
        <w:pStyle w:val="Heading3"/>
      </w:pPr>
      <w:r>
        <w:t>Figura 5. Teorema de Chebyshev aplicado a Delta Pts/PJ</w:t>
      </w:r>
    </w:p>
    <w:p>
      <w:pPr>
        <w:jc w:val="center"/>
      </w:pPr>
      <w:r>
        <w:drawing>
          <wp:inline xmlns:a="http://schemas.openxmlformats.org/drawingml/2006/main" xmlns:pic="http://schemas.openxmlformats.org/drawingml/2006/picture">
            <wp:extent cx="5760720" cy="3425398"/>
            <wp:docPr id="5" name="Picture 5"/>
            <wp:cNvGraphicFramePr>
              <a:graphicFrameLocks noChangeAspect="1"/>
            </wp:cNvGraphicFramePr>
            <a:graphic>
              <a:graphicData uri="http://schemas.openxmlformats.org/drawingml/2006/picture">
                <pic:pic>
                  <pic:nvPicPr>
                    <pic:cNvPr id="0" name="11_chebyshev_delta_localia.png"/>
                    <pic:cNvPicPr/>
                  </pic:nvPicPr>
                  <pic:blipFill>
                    <a:blip r:embed="rId13"/>
                    <a:stretch>
                      <a:fillRect/>
                    </a:stretch>
                  </pic:blipFill>
                  <pic:spPr>
                    <a:xfrm>
                      <a:off x="0" y="0"/>
                      <a:ext cx="5760720" cy="3425398"/>
                    </a:xfrm>
                    <a:prstGeom prst="rect"/>
                  </pic:spPr>
                </pic:pic>
              </a:graphicData>
            </a:graphic>
          </wp:inline>
        </w:drawing>
      </w:r>
    </w:p>
    <w:p>
      <w:pPr>
        <w:spacing w:after="160"/>
        <w:jc w:val="center"/>
      </w:pPr>
      <w:r>
        <w:rPr>
          <w:b/>
          <w:sz w:val="22"/>
        </w:rPr>
        <w:t>Al menos 1 - 1/k² de los datos cae dentro de media ± k desvíos</w:t>
      </w:r>
    </w:p>
    <w:p>
      <w:pPr>
        <w:spacing w:after="140" w:line="259" w:lineRule="auto"/>
        <w:jc w:val="both"/>
      </w:pPr>
      <w:r>
        <w:t>Con k = 2, Chebyshev garantiza que al menos el 75% de los datos debe encontrarse dentro del intervalo media ± 2 desvíos estándar, sin importar la forma de la distribución. En el trabajo se compara esa cota mínima con la proporción observada.</w:t>
      </w:r>
    </w:p>
    <w:p>
      <w:pPr>
        <w:pStyle w:val="Heading1"/>
      </w:pPr>
      <w:r>
        <w:t>7. Inferencia estadística</w:t>
      </w:r>
    </w:p>
    <w:p>
      <w:pPr>
        <w:spacing w:after="140" w:line="259" w:lineRule="auto"/>
        <w:jc w:val="both"/>
      </w:pPr>
      <w:r>
        <w:t>La inferencia estadística permite pasar de una observación descriptiva a una conclusión formal. En este caso se busca determinar si la diferencia entre rendimiento local y visitante es estadísticamente significativa.</w:t>
      </w:r>
    </w:p>
    <w:p>
      <w:pPr>
        <w:spacing w:after="160"/>
        <w:jc w:val="center"/>
      </w:pPr>
      <w:r>
        <w:rPr>
          <w:b/>
          <w:sz w:val="22"/>
        </w:rPr>
        <w:t>H0: mu_d = 0     vs     H1: mu_d &gt; 0</w:t>
      </w:r>
    </w:p>
    <w:p>
      <w:pPr>
        <w:spacing w:after="140" w:line="259" w:lineRule="auto"/>
        <w:jc w:val="both"/>
      </w:pPr>
      <w:r>
        <w:t>Donde d representa la diferencia Pts/PJ Local - Pts/PJ Visitante. La comparación es pareada porque cada equipo aporta dos mediciones relacionadas: una como local y otra como visitante.</w:t>
      </w:r>
    </w:p>
    <w:p>
      <w:pPr>
        <w:pStyle w:val="Heading3"/>
      </w:pPr>
      <w:r>
        <w:t>Resumen interpretado de inferencia estadística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Pr>
                <w:b/>
                <w:sz w:val="12"/>
              </w:rPr>
              <w:t>Análisis</w:t>
            </w:r>
          </w:p>
        </w:tc>
        <w:tc>
          <w:tcPr>
            <w:tcW w:type="dxa" w:w="1704"/>
            <w:vAlign w:val="center"/>
          </w:tcPr>
          <w:p>
            <w:pPr>
              <w:jc w:val="center"/>
            </w:pPr>
            <w:r>
              <w:rPr>
                <w:b/>
                <w:sz w:val="12"/>
              </w:rPr>
              <w:t>Hipótesis nula</w:t>
            </w:r>
          </w:p>
        </w:tc>
        <w:tc>
          <w:tcPr>
            <w:tcW w:type="dxa" w:w="1704"/>
            <w:vAlign w:val="center"/>
          </w:tcPr>
          <w:p>
            <w:pPr>
              <w:jc w:val="center"/>
            </w:pPr>
            <w:r>
              <w:rPr>
                <w:b/>
                <w:sz w:val="12"/>
              </w:rPr>
              <w:t>Resultado</w:t>
            </w:r>
          </w:p>
        </w:tc>
        <w:tc>
          <w:tcPr>
            <w:tcW w:type="dxa" w:w="1704"/>
            <w:vAlign w:val="center"/>
          </w:tcPr>
          <w:p>
            <w:pPr>
              <w:jc w:val="center"/>
            </w:pPr>
            <w:r>
              <w:rPr>
                <w:b/>
                <w:sz w:val="12"/>
              </w:rPr>
              <w:t>p-valor</w:t>
            </w:r>
          </w:p>
        </w:tc>
        <w:tc>
          <w:tcPr>
            <w:tcW w:type="dxa" w:w="1704"/>
            <w:vAlign w:val="center"/>
          </w:tcPr>
          <w:p>
            <w:pPr>
              <w:jc w:val="center"/>
            </w:pPr>
            <w:r>
              <w:rPr>
                <w:b/>
                <w:sz w:val="12"/>
              </w:rPr>
              <w:t>Decisión</w:t>
            </w:r>
          </w:p>
        </w:tc>
        <w:tc>
          <w:tcPr>
            <w:tcW w:type="dxa" w:w="1704"/>
            <w:vAlign w:val="center"/>
          </w:tcPr>
          <w:p>
            <w:pPr>
              <w:jc w:val="center"/>
            </w:pPr>
            <w:r>
              <w:rPr>
                <w:b/>
                <w:sz w:val="12"/>
              </w:rPr>
              <w:t>Interpretación</w:t>
            </w:r>
          </w:p>
        </w:tc>
      </w:tr>
      <w:tr>
        <w:tc>
          <w:tcPr>
            <w:tcW w:type="dxa" w:w="1704"/>
            <w:vAlign w:val="center"/>
          </w:tcPr>
          <w:p>
            <w:pPr>
              <w:jc w:val="center"/>
            </w:pPr>
            <w:r>
              <w:rPr>
                <w:sz w:val="12"/>
              </w:rPr>
              <w:t>IC 95% para Delta Pts/PJ</w:t>
            </w:r>
          </w:p>
        </w:tc>
        <w:tc>
          <w:tcPr>
            <w:tcW w:type="dxa" w:w="1704"/>
            <w:vAlign w:val="center"/>
          </w:tcPr>
          <w:p>
            <w:pPr>
              <w:jc w:val="center"/>
            </w:pPr>
            <w:r>
              <w:rPr>
                <w:sz w:val="12"/>
              </w:rPr>
              <w:t>La diferencia media podría ser 0</w:t>
            </w:r>
          </w:p>
        </w:tc>
        <w:tc>
          <w:tcPr>
            <w:tcW w:type="dxa" w:w="1704"/>
            <w:vAlign w:val="center"/>
          </w:tcPr>
          <w:p>
            <w:pPr>
              <w:jc w:val="center"/>
            </w:pPr>
            <w:r>
              <w:rPr>
                <w:sz w:val="12"/>
              </w:rPr>
              <w:t>[0.5130 ; 0.7696]</w:t>
            </w:r>
          </w:p>
        </w:tc>
        <w:tc>
          <w:tcPr>
            <w:tcW w:type="dxa" w:w="1704"/>
            <w:vAlign w:val="center"/>
          </w:tcPr>
          <w:p>
            <w:pPr>
              <w:jc w:val="center"/>
            </w:pPr>
            <w:r>
              <w:rPr>
                <w:sz w:val="12"/>
              </w:rPr>
              <w:t>-</w:t>
            </w:r>
          </w:p>
        </w:tc>
        <w:tc>
          <w:tcPr>
            <w:tcW w:type="dxa" w:w="1704"/>
            <w:vAlign w:val="center"/>
          </w:tcPr>
          <w:p>
            <w:pPr>
              <w:jc w:val="center"/>
            </w:pPr>
            <w:r>
              <w:rPr>
                <w:sz w:val="12"/>
              </w:rPr>
              <w:t>Ventaja positiva</w:t>
            </w:r>
          </w:p>
        </w:tc>
        <w:tc>
          <w:tcPr>
            <w:tcW w:type="dxa" w:w="1704"/>
            <w:vAlign w:val="center"/>
          </w:tcPr>
          <w:p>
            <w:pPr>
              <w:jc w:val="center"/>
            </w:pPr>
            <w:r>
              <w:rPr>
                <w:sz w:val="12"/>
              </w:rPr>
              <w:t>El intervalo completo queda por encima de 0, por lo que la ventaja promedio de localía es positiva.</w:t>
            </w:r>
          </w:p>
        </w:tc>
      </w:tr>
      <w:tr>
        <w:tc>
          <w:tcPr>
            <w:tcW w:type="dxa" w:w="1704"/>
            <w:vAlign w:val="center"/>
          </w:tcPr>
          <w:p>
            <w:pPr>
              <w:jc w:val="center"/>
            </w:pPr>
            <w:r>
              <w:rPr>
                <w:sz w:val="12"/>
              </w:rPr>
              <w:t>Prueba t pareada - puntos</w:t>
            </w:r>
          </w:p>
        </w:tc>
        <w:tc>
          <w:tcPr>
            <w:tcW w:type="dxa" w:w="1704"/>
            <w:vAlign w:val="center"/>
          </w:tcPr>
          <w:p>
            <w:pPr>
              <w:jc w:val="center"/>
            </w:pPr>
            <w:r>
              <w:rPr>
                <w:sz w:val="12"/>
              </w:rPr>
              <w:t>mu_d = 0</w:t>
            </w:r>
          </w:p>
        </w:tc>
        <w:tc>
          <w:tcPr>
            <w:tcW w:type="dxa" w:w="1704"/>
            <w:vAlign w:val="center"/>
          </w:tcPr>
          <w:p>
            <w:pPr>
              <w:jc w:val="center"/>
            </w:pPr>
            <w:r>
              <w:rPr>
                <w:sz w:val="12"/>
              </w:rPr>
              <w:t>t = 10.2539</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Los equipos obtienen significativamente más puntos por partido como locales.</w:t>
            </w:r>
          </w:p>
        </w:tc>
      </w:tr>
      <w:tr>
        <w:tc>
          <w:tcPr>
            <w:tcW w:type="dxa" w:w="1704"/>
            <w:vAlign w:val="center"/>
          </w:tcPr>
          <w:p>
            <w:pPr>
              <w:jc w:val="center"/>
            </w:pPr>
            <w:r>
              <w:rPr>
                <w:sz w:val="12"/>
              </w:rPr>
              <w:t>Prueba t pareada - goles</w:t>
            </w:r>
          </w:p>
        </w:tc>
        <w:tc>
          <w:tcPr>
            <w:tcW w:type="dxa" w:w="1704"/>
            <w:vAlign w:val="center"/>
          </w:tcPr>
          <w:p>
            <w:pPr>
              <w:jc w:val="center"/>
            </w:pPr>
            <w:r>
              <w:rPr>
                <w:sz w:val="12"/>
              </w:rPr>
              <w:t>mu_d = 0</w:t>
            </w:r>
          </w:p>
        </w:tc>
        <w:tc>
          <w:tcPr>
            <w:tcW w:type="dxa" w:w="1704"/>
            <w:vAlign w:val="center"/>
          </w:tcPr>
          <w:p>
            <w:pPr>
              <w:jc w:val="center"/>
            </w:pPr>
            <w:r>
              <w:rPr>
                <w:sz w:val="12"/>
              </w:rPr>
              <w:t>t = 4.0416</w:t>
            </w:r>
          </w:p>
        </w:tc>
        <w:tc>
          <w:tcPr>
            <w:tcW w:type="dxa" w:w="1704"/>
            <w:vAlign w:val="center"/>
          </w:tcPr>
          <w:p>
            <w:pPr>
              <w:jc w:val="center"/>
            </w:pPr>
            <w:r>
              <w:rPr>
                <w:sz w:val="12"/>
              </w:rPr>
              <w:t>0.0002</w:t>
            </w:r>
          </w:p>
        </w:tc>
        <w:tc>
          <w:tcPr>
            <w:tcW w:type="dxa" w:w="1704"/>
            <w:vAlign w:val="center"/>
          </w:tcPr>
          <w:p>
            <w:pPr>
              <w:jc w:val="center"/>
            </w:pPr>
            <w:r>
              <w:rPr>
                <w:sz w:val="12"/>
              </w:rPr>
              <w:t>Rechazar H0</w:t>
            </w:r>
          </w:p>
        </w:tc>
        <w:tc>
          <w:tcPr>
            <w:tcW w:type="dxa" w:w="1704"/>
            <w:vAlign w:val="center"/>
          </w:tcPr>
          <w:p>
            <w:pPr>
              <w:jc w:val="center"/>
            </w:pPr>
            <w:r>
              <w:rPr>
                <w:sz w:val="12"/>
              </w:rPr>
              <w:t>Los equipos convierten significativamente más goles por partido como locales.</w:t>
            </w:r>
          </w:p>
        </w:tc>
      </w:tr>
      <w:tr>
        <w:tc>
          <w:tcPr>
            <w:tcW w:type="dxa" w:w="1704"/>
            <w:vAlign w:val="center"/>
          </w:tcPr>
          <w:p>
            <w:pPr>
              <w:jc w:val="center"/>
            </w:pPr>
            <w:r>
              <w:rPr>
                <w:sz w:val="12"/>
              </w:rPr>
              <w:t>Wilcoxon pareada</w:t>
            </w:r>
          </w:p>
        </w:tc>
        <w:tc>
          <w:tcPr>
            <w:tcW w:type="dxa" w:w="1704"/>
            <w:vAlign w:val="center"/>
          </w:tcPr>
          <w:p>
            <w:pPr>
              <w:jc w:val="center"/>
            </w:pPr>
            <w:r>
              <w:rPr>
                <w:sz w:val="12"/>
              </w:rPr>
              <w:t>Mediana de diferencias = 0</w:t>
            </w:r>
          </w:p>
        </w:tc>
        <w:tc>
          <w:tcPr>
            <w:tcW w:type="dxa" w:w="1704"/>
            <w:vAlign w:val="center"/>
          </w:tcPr>
          <w:p>
            <w:pPr>
              <w:jc w:val="center"/>
            </w:pPr>
            <w:r>
              <w:rPr>
                <w:sz w:val="12"/>
              </w:rPr>
              <w:t>W = 405.0000</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Confirma la ventaja local sin depender de normalidad estricta.</w:t>
            </w:r>
          </w:p>
        </w:tc>
      </w:tr>
      <w:tr>
        <w:tc>
          <w:tcPr>
            <w:tcW w:type="dxa" w:w="1704"/>
            <w:vAlign w:val="center"/>
          </w:tcPr>
          <w:p>
            <w:pPr>
              <w:jc w:val="center"/>
            </w:pPr>
            <w:r>
              <w:rPr>
                <w:sz w:val="12"/>
              </w:rPr>
              <w:t>Prueba del signo</w:t>
            </w:r>
          </w:p>
        </w:tc>
        <w:tc>
          <w:tcPr>
            <w:tcW w:type="dxa" w:w="1704"/>
            <w:vAlign w:val="center"/>
          </w:tcPr>
          <w:p>
            <w:pPr>
              <w:jc w:val="center"/>
            </w:pPr>
            <w:r>
              <w:rPr>
                <w:sz w:val="12"/>
              </w:rPr>
              <w:t>p = 0.5</w:t>
            </w:r>
          </w:p>
        </w:tc>
        <w:tc>
          <w:tcPr>
            <w:tcW w:type="dxa" w:w="1704"/>
            <w:vAlign w:val="center"/>
          </w:tcPr>
          <w:p>
            <w:pPr>
              <w:jc w:val="center"/>
            </w:pPr>
            <w:r>
              <w:rPr>
                <w:sz w:val="12"/>
              </w:rPr>
              <w:t>27 positivos vs 1 negativos</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Evalúa si la mayoría de los equipos rinde mejor como local, sin medir magnitud.</w:t>
            </w:r>
          </w:p>
        </w:tc>
      </w:tr>
      <w:tr>
        <w:tc>
          <w:tcPr>
            <w:tcW w:type="dxa" w:w="1704"/>
            <w:vAlign w:val="center"/>
          </w:tcPr>
          <w:p>
            <w:pPr>
              <w:jc w:val="center"/>
            </w:pPr>
            <w:r>
              <w:rPr>
                <w:sz w:val="12"/>
              </w:rPr>
              <w:t>Prueba binomial de victorias</w:t>
            </w:r>
          </w:p>
        </w:tc>
        <w:tc>
          <w:tcPr>
            <w:tcW w:type="dxa" w:w="1704"/>
            <w:vAlign w:val="center"/>
          </w:tcPr>
          <w:p>
            <w:pPr>
              <w:jc w:val="center"/>
            </w:pPr>
            <w:r>
              <w:rPr>
                <w:sz w:val="12"/>
              </w:rPr>
              <w:t>p = 0.5</w:t>
            </w:r>
          </w:p>
        </w:tc>
        <w:tc>
          <w:tcPr>
            <w:tcW w:type="dxa" w:w="1704"/>
            <w:vAlign w:val="center"/>
          </w:tcPr>
          <w:p>
            <w:pPr>
              <w:jc w:val="center"/>
            </w:pPr>
            <w:r>
              <w:rPr>
                <w:sz w:val="12"/>
              </w:rPr>
              <w:t>169 victorias locales vs 88 visitantes</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Los empates (121) se excluyen porque la binomial compara solo dos categorías.</w:t>
            </w:r>
          </w:p>
        </w:tc>
      </w:tr>
      <w:tr>
        <w:tc>
          <w:tcPr>
            <w:tcW w:type="dxa" w:w="1704"/>
            <w:vAlign w:val="center"/>
          </w:tcPr>
          <w:p>
            <w:pPr>
              <w:jc w:val="center"/>
            </w:pPr>
            <w:r>
              <w:rPr>
                <w:sz w:val="12"/>
              </w:rPr>
              <w:t>Chi-cuadrado r x c</w:t>
            </w:r>
          </w:p>
        </w:tc>
        <w:tc>
          <w:tcPr>
            <w:tcW w:type="dxa" w:w="1704"/>
            <w:vAlign w:val="center"/>
          </w:tcPr>
          <w:p>
            <w:pPr>
              <w:jc w:val="center"/>
            </w:pPr>
            <w:r>
              <w:rPr>
                <w:sz w:val="12"/>
              </w:rPr>
              <w:t>Resultado independiente de localía</w:t>
            </w:r>
          </w:p>
        </w:tc>
        <w:tc>
          <w:tcPr>
            <w:tcW w:type="dxa" w:w="1704"/>
            <w:vAlign w:val="center"/>
          </w:tcPr>
          <w:p>
            <w:pPr>
              <w:jc w:val="center"/>
            </w:pPr>
            <w:r>
              <w:rPr>
                <w:sz w:val="12"/>
              </w:rPr>
              <w:t>chi2 = 51.0584; gl = 2</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El resultado del partido está asociado a jugar de local o visitante.</w:t>
            </w:r>
          </w:p>
        </w:tc>
      </w:tr>
      <w:tr>
        <w:tc>
          <w:tcPr>
            <w:tcW w:type="dxa" w:w="1704"/>
            <w:vAlign w:val="center"/>
          </w:tcPr>
          <w:p>
            <w:pPr>
              <w:jc w:val="center"/>
            </w:pPr>
            <w:r>
              <w:rPr>
                <w:sz w:val="12"/>
              </w:rPr>
              <w:t>Bondad de ajuste</w:t>
            </w:r>
          </w:p>
        </w:tc>
        <w:tc>
          <w:tcPr>
            <w:tcW w:type="dxa" w:w="1704"/>
            <w:vAlign w:val="center"/>
          </w:tcPr>
          <w:p>
            <w:pPr>
              <w:jc w:val="center"/>
            </w:pPr>
            <w:r>
              <w:rPr>
                <w:sz w:val="12"/>
              </w:rPr>
              <w:t>Victoria local, empate y victoria visitante son igualmente probables</w:t>
            </w:r>
          </w:p>
        </w:tc>
        <w:tc>
          <w:tcPr>
            <w:tcW w:type="dxa" w:w="1704"/>
            <w:vAlign w:val="center"/>
          </w:tcPr>
          <w:p>
            <w:pPr>
              <w:jc w:val="center"/>
            </w:pPr>
            <w:r>
              <w:rPr>
                <w:sz w:val="12"/>
              </w:rPr>
              <w:t>chi2 = 26.3333; gl = 2</w:t>
            </w:r>
          </w:p>
        </w:tc>
        <w:tc>
          <w:tcPr>
            <w:tcW w:type="dxa" w:w="1704"/>
            <w:vAlign w:val="center"/>
          </w:tcPr>
          <w:p>
            <w:pPr>
              <w:jc w:val="center"/>
            </w:pPr>
            <w:r>
              <w:rPr>
                <w:sz w:val="12"/>
              </w:rPr>
              <w:t>&lt; 0.0001</w:t>
            </w:r>
          </w:p>
        </w:tc>
        <w:tc>
          <w:tcPr>
            <w:tcW w:type="dxa" w:w="1704"/>
            <w:vAlign w:val="center"/>
          </w:tcPr>
          <w:p>
            <w:pPr>
              <w:jc w:val="center"/>
            </w:pPr>
            <w:r>
              <w:rPr>
                <w:sz w:val="12"/>
              </w:rPr>
              <w:t>Rechazar H0</w:t>
            </w:r>
          </w:p>
        </w:tc>
        <w:tc>
          <w:tcPr>
            <w:tcW w:type="dxa" w:w="1704"/>
            <w:vAlign w:val="center"/>
          </w:tcPr>
          <w:p>
            <w:pPr>
              <w:jc w:val="center"/>
            </w:pPr>
            <w:r>
              <w:rPr>
                <w:sz w:val="12"/>
              </w:rPr>
              <w:t>La distribución global de resultados no se comporta como uniforme.</w:t>
            </w:r>
          </w:p>
        </w:tc>
      </w:tr>
      <w:tr>
        <w:tc>
          <w:tcPr>
            <w:tcW w:type="dxa" w:w="1704"/>
            <w:vAlign w:val="center"/>
          </w:tcPr>
          <w:p>
            <w:pPr>
              <w:jc w:val="center"/>
            </w:pPr>
            <w:r>
              <w:rPr>
                <w:sz w:val="12"/>
              </w:rPr>
              <w:t>Hipótesis sobre varianza</w:t>
            </w:r>
          </w:p>
        </w:tc>
        <w:tc>
          <w:tcPr>
            <w:tcW w:type="dxa" w:w="1704"/>
            <w:vAlign w:val="center"/>
          </w:tcPr>
          <w:p>
            <w:pPr>
              <w:jc w:val="center"/>
            </w:pPr>
            <w:r>
              <w:rPr>
                <w:sz w:val="12"/>
              </w:rPr>
              <w:t>sigma2 = 0.1000</w:t>
            </w:r>
          </w:p>
        </w:tc>
        <w:tc>
          <w:tcPr>
            <w:tcW w:type="dxa" w:w="1704"/>
            <w:vAlign w:val="center"/>
          </w:tcPr>
          <w:p>
            <w:pPr>
              <w:jc w:val="center"/>
            </w:pPr>
            <w:r>
              <w:rPr>
                <w:sz w:val="12"/>
              </w:rPr>
              <w:t>s2 = 0.1095</w:t>
            </w:r>
          </w:p>
        </w:tc>
        <w:tc>
          <w:tcPr>
            <w:tcW w:type="dxa" w:w="1704"/>
            <w:vAlign w:val="center"/>
          </w:tcPr>
          <w:p>
            <w:pPr>
              <w:jc w:val="center"/>
            </w:pPr>
            <w:r>
              <w:rPr>
                <w:sz w:val="12"/>
              </w:rPr>
              <w:t>0.6676</w:t>
            </w:r>
          </w:p>
        </w:tc>
        <w:tc>
          <w:tcPr>
            <w:tcW w:type="dxa" w:w="1704"/>
            <w:vAlign w:val="center"/>
          </w:tcPr>
          <w:p>
            <w:pPr>
              <w:jc w:val="center"/>
            </w:pPr>
            <w:r>
              <w:rPr>
                <w:sz w:val="12"/>
              </w:rPr>
              <w:t>No rechazar H0</w:t>
            </w:r>
          </w:p>
        </w:tc>
        <w:tc>
          <w:tcPr>
            <w:tcW w:type="dxa" w:w="1704"/>
            <w:vAlign w:val="center"/>
          </w:tcPr>
          <w:p>
            <w:pPr>
              <w:jc w:val="center"/>
            </w:pPr>
            <w:r>
              <w:rPr>
                <w:sz w:val="12"/>
              </w:rPr>
              <w:t>Analiza si la dispersión de la ventaja de localía difiere de una varianza de referencia.</w:t>
            </w:r>
          </w:p>
        </w:tc>
      </w:tr>
      <w:tr>
        <w:tc>
          <w:tcPr>
            <w:tcW w:type="dxa" w:w="1704"/>
            <w:vAlign w:val="center"/>
          </w:tcPr>
          <w:p>
            <w:pPr>
              <w:jc w:val="center"/>
            </w:pPr>
            <w:r>
              <w:rPr>
                <w:sz w:val="12"/>
              </w:rPr>
              <w:t>Kolmogorov-Smirnov</w:t>
            </w:r>
          </w:p>
        </w:tc>
        <w:tc>
          <w:tcPr>
            <w:tcW w:type="dxa" w:w="1704"/>
            <w:vAlign w:val="center"/>
          </w:tcPr>
          <w:p>
            <w:pPr>
              <w:jc w:val="center"/>
            </w:pPr>
            <w:r>
              <w:rPr>
                <w:sz w:val="12"/>
              </w:rPr>
              <w:t>Delta Pts/PJ sigue distribución normal</w:t>
            </w:r>
          </w:p>
        </w:tc>
        <w:tc>
          <w:tcPr>
            <w:tcW w:type="dxa" w:w="1704"/>
            <w:vAlign w:val="center"/>
          </w:tcPr>
          <w:p>
            <w:pPr>
              <w:jc w:val="center"/>
            </w:pPr>
            <w:r>
              <w:rPr>
                <w:sz w:val="12"/>
              </w:rPr>
              <w:t>D = 0.1400</w:t>
            </w:r>
          </w:p>
        </w:tc>
        <w:tc>
          <w:tcPr>
            <w:tcW w:type="dxa" w:w="1704"/>
            <w:vAlign w:val="center"/>
          </w:tcPr>
          <w:p>
            <w:pPr>
              <w:jc w:val="center"/>
            </w:pPr>
            <w:r>
              <w:rPr>
                <w:sz w:val="12"/>
              </w:rPr>
              <w:t>0.5941</w:t>
            </w:r>
          </w:p>
        </w:tc>
        <w:tc>
          <w:tcPr>
            <w:tcW w:type="dxa" w:w="1704"/>
            <w:vAlign w:val="center"/>
          </w:tcPr>
          <w:p>
            <w:pPr>
              <w:jc w:val="center"/>
            </w:pPr>
            <w:r>
              <w:rPr>
                <w:sz w:val="12"/>
              </w:rPr>
              <w:t>No rechazar H0</w:t>
            </w:r>
          </w:p>
        </w:tc>
        <w:tc>
          <w:tcPr>
            <w:tcW w:type="dxa" w:w="1704"/>
            <w:vAlign w:val="center"/>
          </w:tcPr>
          <w:p>
            <w:pPr>
              <w:jc w:val="center"/>
            </w:pPr>
            <w:r>
              <w:rPr>
                <w:sz w:val="12"/>
              </w:rPr>
              <w:t>Evalúa normalidad de la variable Delta Pts/PJ como complemento al Q-Q plot.</w:t>
            </w:r>
          </w:p>
        </w:tc>
      </w:tr>
    </w:tbl>
    <w:p/>
    <w:p>
      <w:pPr>
        <w:pStyle w:val="Heading3"/>
      </w:pPr>
      <w:r>
        <w:t>Figura 6. Intervalo de confianza para la ventaja media de localía</w:t>
      </w:r>
    </w:p>
    <w:p>
      <w:pPr>
        <w:jc w:val="center"/>
      </w:pPr>
      <w:r>
        <w:drawing>
          <wp:inline xmlns:a="http://schemas.openxmlformats.org/drawingml/2006/main" xmlns:pic="http://schemas.openxmlformats.org/drawingml/2006/picture">
            <wp:extent cx="5760720" cy="3565813"/>
            <wp:docPr id="6" name="Picture 6"/>
            <wp:cNvGraphicFramePr>
              <a:graphicFrameLocks noChangeAspect="1"/>
            </wp:cNvGraphicFramePr>
            <a:graphic>
              <a:graphicData uri="http://schemas.openxmlformats.org/drawingml/2006/picture">
                <pic:pic>
                  <pic:nvPicPr>
                    <pic:cNvPr id="0" name="10_intervalo_confianza_delta.png"/>
                    <pic:cNvPicPr/>
                  </pic:nvPicPr>
                  <pic:blipFill>
                    <a:blip r:embed="rId14"/>
                    <a:stretch>
                      <a:fillRect/>
                    </a:stretch>
                  </pic:blipFill>
                  <pic:spPr>
                    <a:xfrm>
                      <a:off x="0" y="0"/>
                      <a:ext cx="5760720" cy="3565813"/>
                    </a:xfrm>
                    <a:prstGeom prst="rect"/>
                  </pic:spPr>
                </pic:pic>
              </a:graphicData>
            </a:graphic>
          </wp:inline>
        </w:drawing>
      </w:r>
    </w:p>
    <w:p>
      <w:pPr>
        <w:spacing w:after="160"/>
        <w:jc w:val="center"/>
      </w:pPr>
      <w:r>
        <w:rPr>
          <w:b/>
          <w:sz w:val="22"/>
        </w:rPr>
        <w:t>IC = media ± t crítico * (s / raíz(n))</w:t>
      </w:r>
    </w:p>
    <w:p>
      <w:pPr>
        <w:spacing w:after="140" w:line="259" w:lineRule="auto"/>
        <w:jc w:val="both"/>
      </w:pPr>
      <w:r>
        <w:t>El intervalo de confianza del 95% estima el rango plausible para la ventaja media de localía. Como el intervalo queda completamente por encima de cero, se interpreta que la ventaja promedio de localía es positiva.</w:t>
      </w:r>
    </w:p>
    <w:p>
      <w:pPr>
        <w:pStyle w:val="Heading3"/>
      </w:pPr>
      <w:r>
        <w:t>Figura 7. Q-Q plot de Delta Pts/PJ</w:t>
      </w:r>
    </w:p>
    <w:p>
      <w:pPr>
        <w:jc w:val="center"/>
      </w:pPr>
      <w:r>
        <w:drawing>
          <wp:inline xmlns:a="http://schemas.openxmlformats.org/drawingml/2006/main" xmlns:pic="http://schemas.openxmlformats.org/drawingml/2006/picture">
            <wp:extent cx="5760720" cy="5749588"/>
            <wp:docPr id="7" name="Picture 7"/>
            <wp:cNvGraphicFramePr>
              <a:graphicFrameLocks noChangeAspect="1"/>
            </wp:cNvGraphicFramePr>
            <a:graphic>
              <a:graphicData uri="http://schemas.openxmlformats.org/drawingml/2006/picture">
                <pic:pic>
                  <pic:nvPicPr>
                    <pic:cNvPr id="0" name="12_qqplot_delta_localia.png"/>
                    <pic:cNvPicPr/>
                  </pic:nvPicPr>
                  <pic:blipFill>
                    <a:blip r:embed="rId15"/>
                    <a:stretch>
                      <a:fillRect/>
                    </a:stretch>
                  </pic:blipFill>
                  <pic:spPr>
                    <a:xfrm>
                      <a:off x="0" y="0"/>
                      <a:ext cx="5760720" cy="5749588"/>
                    </a:xfrm>
                    <a:prstGeom prst="rect"/>
                  </pic:spPr>
                </pic:pic>
              </a:graphicData>
            </a:graphic>
          </wp:inline>
        </w:drawing>
      </w:r>
    </w:p>
    <w:p>
      <w:pPr>
        <w:spacing w:after="160"/>
        <w:jc w:val="center"/>
      </w:pPr>
      <w:r>
        <w:rPr>
          <w:b/>
          <w:sz w:val="22"/>
        </w:rPr>
        <w:t>Comparación de cuantiles observados vs cuantiles teóricos normales</w:t>
      </w:r>
    </w:p>
    <w:p>
      <w:pPr>
        <w:spacing w:after="140" w:line="259" w:lineRule="auto"/>
        <w:jc w:val="both"/>
      </w:pPr>
      <w:r>
        <w:t>El Q-Q plot permite observar visualmente si la distribución de Delta Pts/PJ se aproxima a una normal. Se usa como complemento para justificar la aplicación de pruebas paramétricas y, a la vez, la inclusión de pruebas no paramétricas como Wilcoxon.</w:t>
      </w:r>
    </w:p>
    <w:p>
      <w:pPr>
        <w:pStyle w:val="Heading1"/>
      </w:pPr>
      <w:r>
        <w:t>8. Empates, proporciones y tablas r x c</w:t>
      </w:r>
    </w:p>
    <w:p>
      <w:pPr>
        <w:spacing w:after="140" w:line="259" w:lineRule="auto"/>
        <w:jc w:val="both"/>
      </w:pPr>
      <w:r>
        <w:t>El empate tiene un tratamiento especial. En el cálculo de puntos, el empate suma un punto para cada equipo. En la prueba binomial se excluye porque esa prueba compara solo dos categorías: victoria local contra victoria visitante. En cambio, en chi-cuadrado y bondad de ajuste el empate sí se incluye como una tercera categoría.</w:t>
      </w:r>
    </w:p>
    <w:p>
      <w:pPr>
        <w:pStyle w:val="Heading3"/>
      </w:pPr>
      <w:r>
        <w:t>Tratamiento y distribución de empates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pPr>
              <w:jc w:val="center"/>
            </w:pPr>
            <w:r>
              <w:rPr>
                <w:b/>
                <w:sz w:val="14"/>
              </w:rPr>
              <w:t>Categoria</w:t>
            </w:r>
          </w:p>
        </w:tc>
        <w:tc>
          <w:tcPr>
            <w:tcW w:type="dxa" w:w="2556"/>
            <w:vAlign w:val="center"/>
          </w:tcPr>
          <w:p>
            <w:pPr>
              <w:jc w:val="center"/>
            </w:pPr>
            <w:r>
              <w:rPr>
                <w:b/>
                <w:sz w:val="14"/>
              </w:rPr>
              <w:t>Cantidad</w:t>
            </w:r>
          </w:p>
        </w:tc>
        <w:tc>
          <w:tcPr>
            <w:tcW w:type="dxa" w:w="2556"/>
            <w:vAlign w:val="center"/>
          </w:tcPr>
          <w:p>
            <w:pPr>
              <w:jc w:val="center"/>
            </w:pPr>
            <w:r>
              <w:rPr>
                <w:b/>
                <w:sz w:val="14"/>
              </w:rPr>
              <w:t>Porcentaje</w:t>
            </w:r>
          </w:p>
        </w:tc>
        <w:tc>
          <w:tcPr>
            <w:tcW w:type="dxa" w:w="2556"/>
            <w:vAlign w:val="center"/>
          </w:tcPr>
          <w:p>
            <w:pPr>
              <w:jc w:val="center"/>
            </w:pPr>
            <w:r>
              <w:rPr>
                <w:b/>
                <w:sz w:val="14"/>
              </w:rPr>
              <w:t>Interpretacion</w:t>
            </w:r>
          </w:p>
        </w:tc>
      </w:tr>
      <w:tr>
        <w:tc>
          <w:tcPr>
            <w:tcW w:type="dxa" w:w="2556"/>
            <w:vAlign w:val="center"/>
          </w:tcPr>
          <w:p>
            <w:pPr>
              <w:jc w:val="center"/>
            </w:pPr>
            <w:r>
              <w:rPr>
                <w:sz w:val="14"/>
              </w:rPr>
              <w:t>Victoria local</w:t>
            </w:r>
          </w:p>
        </w:tc>
        <w:tc>
          <w:tcPr>
            <w:tcW w:type="dxa" w:w="2556"/>
            <w:vAlign w:val="center"/>
          </w:tcPr>
          <w:p>
            <w:pPr>
              <w:jc w:val="center"/>
            </w:pPr>
            <w:r>
              <w:rPr>
                <w:sz w:val="14"/>
              </w:rPr>
              <w:t>169.0000</w:t>
            </w:r>
          </w:p>
        </w:tc>
        <w:tc>
          <w:tcPr>
            <w:tcW w:type="dxa" w:w="2556"/>
            <w:vAlign w:val="center"/>
          </w:tcPr>
          <w:p>
            <w:pPr>
              <w:jc w:val="center"/>
            </w:pPr>
            <w:r>
              <w:rPr>
                <w:sz w:val="14"/>
              </w:rPr>
              <w:t>44.7090</w:t>
            </w:r>
          </w:p>
        </w:tc>
        <w:tc>
          <w:tcPr>
            <w:tcW w:type="dxa" w:w="2556"/>
            <w:vAlign w:val="center"/>
          </w:tcPr>
          <w:p>
            <w:pPr>
              <w:jc w:val="center"/>
            </w:pPr>
            <w:r>
              <w:rPr>
                <w:sz w:val="14"/>
              </w:rPr>
              <w:t>Partidos ganados por el equipo local.</w:t>
            </w:r>
          </w:p>
        </w:tc>
      </w:tr>
      <w:tr>
        <w:tc>
          <w:tcPr>
            <w:tcW w:type="dxa" w:w="2556"/>
            <w:vAlign w:val="center"/>
          </w:tcPr>
          <w:p>
            <w:pPr>
              <w:jc w:val="center"/>
            </w:pPr>
            <w:r>
              <w:rPr>
                <w:sz w:val="14"/>
              </w:rPr>
              <w:t>Empate</w:t>
            </w:r>
          </w:p>
        </w:tc>
        <w:tc>
          <w:tcPr>
            <w:tcW w:type="dxa" w:w="2556"/>
            <w:vAlign w:val="center"/>
          </w:tcPr>
          <w:p>
            <w:pPr>
              <w:jc w:val="center"/>
            </w:pPr>
            <w:r>
              <w:rPr>
                <w:sz w:val="14"/>
              </w:rPr>
              <w:t>121.0000</w:t>
            </w:r>
          </w:p>
        </w:tc>
        <w:tc>
          <w:tcPr>
            <w:tcW w:type="dxa" w:w="2556"/>
            <w:vAlign w:val="center"/>
          </w:tcPr>
          <w:p>
            <w:pPr>
              <w:jc w:val="center"/>
            </w:pPr>
            <w:r>
              <w:rPr>
                <w:sz w:val="14"/>
              </w:rPr>
              <w:t>32.0106</w:t>
            </w:r>
          </w:p>
        </w:tc>
        <w:tc>
          <w:tcPr>
            <w:tcW w:type="dxa" w:w="2556"/>
            <w:vAlign w:val="center"/>
          </w:tcPr>
          <w:p>
            <w:pPr>
              <w:jc w:val="center"/>
            </w:pPr>
            <w:r>
              <w:rPr>
                <w:sz w:val="14"/>
              </w:rPr>
              <w:t>Partidos sin ganador. Suman 1 punto para cada equipo.</w:t>
            </w:r>
          </w:p>
        </w:tc>
      </w:tr>
      <w:tr>
        <w:tc>
          <w:tcPr>
            <w:tcW w:type="dxa" w:w="2556"/>
            <w:vAlign w:val="center"/>
          </w:tcPr>
          <w:p>
            <w:pPr>
              <w:jc w:val="center"/>
            </w:pPr>
            <w:r>
              <w:rPr>
                <w:sz w:val="14"/>
              </w:rPr>
              <w:t>Victoria visitante</w:t>
            </w:r>
          </w:p>
        </w:tc>
        <w:tc>
          <w:tcPr>
            <w:tcW w:type="dxa" w:w="2556"/>
            <w:vAlign w:val="center"/>
          </w:tcPr>
          <w:p>
            <w:pPr>
              <w:jc w:val="center"/>
            </w:pPr>
            <w:r>
              <w:rPr>
                <w:sz w:val="14"/>
              </w:rPr>
              <w:t>88.0000</w:t>
            </w:r>
          </w:p>
        </w:tc>
        <w:tc>
          <w:tcPr>
            <w:tcW w:type="dxa" w:w="2556"/>
            <w:vAlign w:val="center"/>
          </w:tcPr>
          <w:p>
            <w:pPr>
              <w:jc w:val="center"/>
            </w:pPr>
            <w:r>
              <w:rPr>
                <w:sz w:val="14"/>
              </w:rPr>
              <w:t>23.2804</w:t>
            </w:r>
          </w:p>
        </w:tc>
        <w:tc>
          <w:tcPr>
            <w:tcW w:type="dxa" w:w="2556"/>
            <w:vAlign w:val="center"/>
          </w:tcPr>
          <w:p>
            <w:pPr>
              <w:jc w:val="center"/>
            </w:pPr>
            <w:r>
              <w:rPr>
                <w:sz w:val="14"/>
              </w:rPr>
              <w:t>Partidos ganados por el equipo visitante.</w:t>
            </w:r>
          </w:p>
        </w:tc>
      </w:tr>
    </w:tbl>
    <w:p/>
    <w:p>
      <w:pPr>
        <w:pStyle w:val="Heading3"/>
      </w:pPr>
      <w:r>
        <w:t>Figura 8. Proporciones de resultados: local vs visitante</w:t>
      </w:r>
    </w:p>
    <w:p>
      <w:pPr>
        <w:jc w:val="center"/>
      </w:pPr>
      <w:r>
        <w:drawing>
          <wp:inline xmlns:a="http://schemas.openxmlformats.org/drawingml/2006/main" xmlns:pic="http://schemas.openxmlformats.org/drawingml/2006/picture">
            <wp:extent cx="5760720" cy="3425398"/>
            <wp:docPr id="8" name="Picture 8"/>
            <wp:cNvGraphicFramePr>
              <a:graphicFrameLocks noChangeAspect="1"/>
            </wp:cNvGraphicFramePr>
            <a:graphic>
              <a:graphicData uri="http://schemas.openxmlformats.org/drawingml/2006/picture">
                <pic:pic>
                  <pic:nvPicPr>
                    <pic:cNvPr id="0" name="13_proporciones_resultados_local_visitante.png"/>
                    <pic:cNvPicPr/>
                  </pic:nvPicPr>
                  <pic:blipFill>
                    <a:blip r:embed="rId16"/>
                    <a:stretch>
                      <a:fillRect/>
                    </a:stretch>
                  </pic:blipFill>
                  <pic:spPr>
                    <a:xfrm>
                      <a:off x="0" y="0"/>
                      <a:ext cx="5760720" cy="3425398"/>
                    </a:xfrm>
                    <a:prstGeom prst="rect"/>
                  </pic:spPr>
                </pic:pic>
              </a:graphicData>
            </a:graphic>
          </wp:inline>
        </w:drawing>
      </w:r>
    </w:p>
    <w:p>
      <w:pPr>
        <w:spacing w:after="160"/>
        <w:jc w:val="center"/>
      </w:pPr>
      <w:r>
        <w:rPr>
          <w:b/>
          <w:sz w:val="22"/>
        </w:rPr>
        <w:t>Proporción = cantidad de casos / total de partidos</w:t>
      </w:r>
    </w:p>
    <w:p>
      <w:pPr>
        <w:spacing w:after="140" w:line="259" w:lineRule="auto"/>
        <w:jc w:val="both"/>
      </w:pPr>
      <w:r>
        <w:t>Este gráfico compara los porcentajes de victorias, empates y derrotas para local y visitante. Muestra que el porcentaje de victorias locales es considerablemente mayor que el porcentaje de victorias visitantes.</w:t>
      </w:r>
    </w:p>
    <w:p>
      <w:pPr>
        <w:pStyle w:val="Heading3"/>
      </w:pPr>
      <w:r>
        <w:t>Figura 9. Tabla observada para chi-cuadrado</w:t>
      </w:r>
    </w:p>
    <w:p>
      <w:pPr>
        <w:jc w:val="center"/>
      </w:pPr>
      <w:r>
        <w:drawing>
          <wp:inline xmlns:a="http://schemas.openxmlformats.org/drawingml/2006/main" xmlns:pic="http://schemas.openxmlformats.org/drawingml/2006/picture">
            <wp:extent cx="5760720" cy="3564886"/>
            <wp:docPr id="9" name="Picture 9"/>
            <wp:cNvGraphicFramePr>
              <a:graphicFrameLocks noChangeAspect="1"/>
            </wp:cNvGraphicFramePr>
            <a:graphic>
              <a:graphicData uri="http://schemas.openxmlformats.org/drawingml/2006/picture">
                <pic:pic>
                  <pic:nvPicPr>
                    <pic:cNvPr id="0" name="14_tabla_chi_cuadrado_observada.png"/>
                    <pic:cNvPicPr/>
                  </pic:nvPicPr>
                  <pic:blipFill>
                    <a:blip r:embed="rId17"/>
                    <a:stretch>
                      <a:fillRect/>
                    </a:stretch>
                  </pic:blipFill>
                  <pic:spPr>
                    <a:xfrm>
                      <a:off x="0" y="0"/>
                      <a:ext cx="5760720" cy="3564886"/>
                    </a:xfrm>
                    <a:prstGeom prst="rect"/>
                  </pic:spPr>
                </pic:pic>
              </a:graphicData>
            </a:graphic>
          </wp:inline>
        </w:drawing>
      </w:r>
    </w:p>
    <w:p>
      <w:pPr>
        <w:spacing w:after="160"/>
        <w:jc w:val="center"/>
      </w:pPr>
      <w:r>
        <w:rPr>
          <w:b/>
          <w:sz w:val="22"/>
        </w:rPr>
        <w:t>chi2 = sumatoria de (O - E)² / E</w:t>
      </w:r>
    </w:p>
    <w:p>
      <w:pPr>
        <w:spacing w:after="140" w:line="259" w:lineRule="auto"/>
        <w:jc w:val="both"/>
      </w:pPr>
      <w:r>
        <w:t>La tabla r x c permite evaluar si el resultado del partido depende de la condición de local o visitante. La prueba chi-cuadrado compara frecuencias observadas contra frecuencias esperadas bajo independencia.</w:t>
      </w:r>
    </w:p>
    <w:p>
      <w:pPr>
        <w:pStyle w:val="Heading3"/>
      </w:pPr>
      <w:r>
        <w:t>Bondad de ajuste: observados vs esperados uniformes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b/>
                <w:sz w:val="14"/>
              </w:rPr>
              <w:t>Categoria</w:t>
            </w:r>
          </w:p>
        </w:tc>
        <w:tc>
          <w:tcPr>
            <w:tcW w:type="dxa" w:w="3408"/>
            <w:vAlign w:val="center"/>
          </w:tcPr>
          <w:p>
            <w:pPr>
              <w:jc w:val="center"/>
            </w:pPr>
            <w:r>
              <w:rPr>
                <w:b/>
                <w:sz w:val="14"/>
              </w:rPr>
              <w:t>Observado</w:t>
            </w:r>
          </w:p>
        </w:tc>
        <w:tc>
          <w:tcPr>
            <w:tcW w:type="dxa" w:w="3408"/>
            <w:vAlign w:val="center"/>
          </w:tcPr>
          <w:p>
            <w:pPr>
              <w:jc w:val="center"/>
            </w:pPr>
            <w:r>
              <w:rPr>
                <w:b/>
                <w:sz w:val="14"/>
              </w:rPr>
              <w:t>Esperado_uniforme</w:t>
            </w:r>
          </w:p>
        </w:tc>
      </w:tr>
      <w:tr>
        <w:tc>
          <w:tcPr>
            <w:tcW w:type="dxa" w:w="3408"/>
            <w:vAlign w:val="center"/>
          </w:tcPr>
          <w:p>
            <w:pPr>
              <w:jc w:val="center"/>
            </w:pPr>
            <w:r>
              <w:rPr>
                <w:sz w:val="14"/>
              </w:rPr>
              <w:t>Victoria local</w:t>
            </w:r>
          </w:p>
        </w:tc>
        <w:tc>
          <w:tcPr>
            <w:tcW w:type="dxa" w:w="3408"/>
            <w:vAlign w:val="center"/>
          </w:tcPr>
          <w:p>
            <w:pPr>
              <w:jc w:val="center"/>
            </w:pPr>
            <w:r>
              <w:rPr>
                <w:sz w:val="14"/>
              </w:rPr>
              <w:t>169.0000</w:t>
            </w:r>
          </w:p>
        </w:tc>
        <w:tc>
          <w:tcPr>
            <w:tcW w:type="dxa" w:w="3408"/>
            <w:vAlign w:val="center"/>
          </w:tcPr>
          <w:p>
            <w:pPr>
              <w:jc w:val="center"/>
            </w:pPr>
            <w:r>
              <w:rPr>
                <w:sz w:val="14"/>
              </w:rPr>
              <w:t>126.0000</w:t>
            </w:r>
          </w:p>
        </w:tc>
      </w:tr>
      <w:tr>
        <w:tc>
          <w:tcPr>
            <w:tcW w:type="dxa" w:w="3408"/>
            <w:vAlign w:val="center"/>
          </w:tcPr>
          <w:p>
            <w:pPr>
              <w:jc w:val="center"/>
            </w:pPr>
            <w:r>
              <w:rPr>
                <w:sz w:val="14"/>
              </w:rPr>
              <w:t>Empate</w:t>
            </w:r>
          </w:p>
        </w:tc>
        <w:tc>
          <w:tcPr>
            <w:tcW w:type="dxa" w:w="3408"/>
            <w:vAlign w:val="center"/>
          </w:tcPr>
          <w:p>
            <w:pPr>
              <w:jc w:val="center"/>
            </w:pPr>
            <w:r>
              <w:rPr>
                <w:sz w:val="14"/>
              </w:rPr>
              <w:t>121.0000</w:t>
            </w:r>
          </w:p>
        </w:tc>
        <w:tc>
          <w:tcPr>
            <w:tcW w:type="dxa" w:w="3408"/>
            <w:vAlign w:val="center"/>
          </w:tcPr>
          <w:p>
            <w:pPr>
              <w:jc w:val="center"/>
            </w:pPr>
            <w:r>
              <w:rPr>
                <w:sz w:val="14"/>
              </w:rPr>
              <w:t>126.0000</w:t>
            </w:r>
          </w:p>
        </w:tc>
      </w:tr>
      <w:tr>
        <w:tc>
          <w:tcPr>
            <w:tcW w:type="dxa" w:w="3408"/>
            <w:vAlign w:val="center"/>
          </w:tcPr>
          <w:p>
            <w:pPr>
              <w:jc w:val="center"/>
            </w:pPr>
            <w:r>
              <w:rPr>
                <w:sz w:val="14"/>
              </w:rPr>
              <w:t>Victoria visitante</w:t>
            </w:r>
          </w:p>
        </w:tc>
        <w:tc>
          <w:tcPr>
            <w:tcW w:type="dxa" w:w="3408"/>
            <w:vAlign w:val="center"/>
          </w:tcPr>
          <w:p>
            <w:pPr>
              <w:jc w:val="center"/>
            </w:pPr>
            <w:r>
              <w:rPr>
                <w:sz w:val="14"/>
              </w:rPr>
              <w:t>88.0000</w:t>
            </w:r>
          </w:p>
        </w:tc>
        <w:tc>
          <w:tcPr>
            <w:tcW w:type="dxa" w:w="3408"/>
            <w:vAlign w:val="center"/>
          </w:tcPr>
          <w:p>
            <w:pPr>
              <w:jc w:val="center"/>
            </w:pPr>
            <w:r>
              <w:rPr>
                <w:sz w:val="14"/>
              </w:rPr>
              <w:t>126.0000</w:t>
            </w:r>
          </w:p>
        </w:tc>
      </w:tr>
    </w:tbl>
    <w:p/>
    <w:p>
      <w:pPr>
        <w:pStyle w:val="Heading1"/>
      </w:pPr>
      <w:r>
        <w:t>9. Pruebas no paramétricas</w:t>
      </w:r>
    </w:p>
    <w:p>
      <w:pPr>
        <w:spacing w:after="140" w:line="259" w:lineRule="auto"/>
        <w:jc w:val="both"/>
      </w:pPr>
      <w:r>
        <w:t>Las pruebas no paramétricas se utilizan como complemento cuando no se desea depender fuertemente de supuestos como la normalidad. En este trabajo se aplicaron Wilcoxon, prueba del signo, Kruskal-Wallis y Kolmogorov-Smirnov.</w:t>
      </w:r>
    </w:p>
    <w:p>
      <w:pPr>
        <w:pStyle w:val="ListBullet"/>
        <w:jc w:val="both"/>
      </w:pPr>
      <w:r>
        <w:t>Wilcoxon compara muestras relacionadas usando rangos de las diferencias.</w:t>
      </w:r>
    </w:p>
    <w:p>
      <w:pPr>
        <w:pStyle w:val="ListBullet"/>
        <w:jc w:val="both"/>
      </w:pPr>
      <w:r>
        <w:t>La prueba del signo analiza cuántos equipos tuvieron diferencia positiva y cuántos negativa.</w:t>
      </w:r>
    </w:p>
    <w:p>
      <w:pPr>
        <w:pStyle w:val="ListBullet"/>
        <w:jc w:val="both"/>
      </w:pPr>
      <w:r>
        <w:t>Kruskal-Wallis compara la distribución de la ventaja de localía entre grupos económicos.</w:t>
      </w:r>
    </w:p>
    <w:p>
      <w:pPr>
        <w:pStyle w:val="ListBullet"/>
        <w:jc w:val="both"/>
      </w:pPr>
      <w:r>
        <w:t>Kolmogorov-Smirnov evalúa si Delta Pts/PJ es compatible con una distribución normal.</w:t>
      </w:r>
    </w:p>
    <w:p>
      <w:pPr>
        <w:pStyle w:val="Heading1"/>
      </w:pPr>
      <w:r>
        <w:t>10. Análisis económico: valor de plantilla</w:t>
      </w:r>
    </w:p>
    <w:p>
      <w:pPr>
        <w:spacing w:after="140" w:line="259" w:lineRule="auto"/>
        <w:jc w:val="both"/>
      </w:pPr>
      <w:r>
        <w:t>El análisis económico incorpora el valor total de mercado de cada plantilla. Los clubes se clasificaron en grupos económicos bajo, medio y alto mediante terciles del valor de plantilla.</w:t>
      </w:r>
    </w:p>
    <w:p>
      <w:pPr>
        <w:pStyle w:val="Heading3"/>
      </w:pPr>
      <w:r>
        <w:t>Top 10 de clubes según valor de plantilla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jc w:val="center"/>
            </w:pPr>
            <w:r>
              <w:rPr>
                <w:b/>
                <w:sz w:val="14"/>
              </w:rPr>
              <w:t>Equipo</w:t>
            </w:r>
          </w:p>
        </w:tc>
        <w:tc>
          <w:tcPr>
            <w:tcW w:type="dxa" w:w="1704"/>
            <w:vAlign w:val="center"/>
          </w:tcPr>
          <w:p>
            <w:pPr>
              <w:jc w:val="center"/>
            </w:pPr>
            <w:r>
              <w:rPr>
                <w:b/>
                <w:sz w:val="14"/>
              </w:rPr>
              <w:t>ValorPlantillaM</w:t>
            </w:r>
          </w:p>
        </w:tc>
        <w:tc>
          <w:tcPr>
            <w:tcW w:type="dxa" w:w="1704"/>
            <w:vAlign w:val="center"/>
          </w:tcPr>
          <w:p>
            <w:pPr>
              <w:jc w:val="center"/>
            </w:pPr>
            <w:r>
              <w:rPr>
                <w:b/>
                <w:sz w:val="14"/>
              </w:rPr>
              <w:t>GrupoEconomico</w:t>
            </w:r>
          </w:p>
        </w:tc>
        <w:tc>
          <w:tcPr>
            <w:tcW w:type="dxa" w:w="1704"/>
            <w:vAlign w:val="center"/>
          </w:tcPr>
          <w:p>
            <w:pPr>
              <w:jc w:val="center"/>
            </w:pPr>
            <w:r>
              <w:rPr>
                <w:b/>
                <w:sz w:val="14"/>
              </w:rPr>
              <w:t>Pts_PJ_Local</w:t>
            </w:r>
          </w:p>
        </w:tc>
        <w:tc>
          <w:tcPr>
            <w:tcW w:type="dxa" w:w="1704"/>
            <w:vAlign w:val="center"/>
          </w:tcPr>
          <w:p>
            <w:pPr>
              <w:jc w:val="center"/>
            </w:pPr>
            <w:r>
              <w:rPr>
                <w:b/>
                <w:sz w:val="14"/>
              </w:rPr>
              <w:t>Pts_PJ_Visitante</w:t>
            </w:r>
          </w:p>
        </w:tc>
        <w:tc>
          <w:tcPr>
            <w:tcW w:type="dxa" w:w="1704"/>
            <w:vAlign w:val="center"/>
          </w:tcPr>
          <w:p>
            <w:pPr>
              <w:jc w:val="center"/>
            </w:pPr>
            <w:r>
              <w:rPr>
                <w:b/>
                <w:sz w:val="14"/>
              </w:rPr>
              <w:t>Delta_Pts_PJ</w:t>
            </w:r>
          </w:p>
        </w:tc>
      </w:tr>
      <w:tr>
        <w:tc>
          <w:tcPr>
            <w:tcW w:type="dxa" w:w="1704"/>
            <w:vAlign w:val="center"/>
          </w:tcPr>
          <w:p>
            <w:pPr>
              <w:jc w:val="center"/>
            </w:pPr>
            <w:r>
              <w:rPr>
                <w:sz w:val="14"/>
              </w:rPr>
              <w:t>River Plate</w:t>
            </w:r>
          </w:p>
        </w:tc>
        <w:tc>
          <w:tcPr>
            <w:tcW w:type="dxa" w:w="1704"/>
            <w:vAlign w:val="center"/>
          </w:tcPr>
          <w:p>
            <w:pPr>
              <w:jc w:val="center"/>
            </w:pPr>
            <w:r>
              <w:rPr>
                <w:sz w:val="14"/>
              </w:rPr>
              <w:t>134.8500</w:t>
            </w:r>
          </w:p>
        </w:tc>
        <w:tc>
          <w:tcPr>
            <w:tcW w:type="dxa" w:w="1704"/>
            <w:vAlign w:val="center"/>
          </w:tcPr>
          <w:p>
            <w:pPr>
              <w:jc w:val="center"/>
            </w:pPr>
            <w:r>
              <w:rPr>
                <w:sz w:val="14"/>
              </w:rPr>
              <w:t>Alto</w:t>
            </w:r>
          </w:p>
        </w:tc>
        <w:tc>
          <w:tcPr>
            <w:tcW w:type="dxa" w:w="1704"/>
            <w:vAlign w:val="center"/>
          </w:tcPr>
          <w:p>
            <w:pPr>
              <w:jc w:val="center"/>
            </w:pPr>
            <w:r>
              <w:rPr>
                <w:sz w:val="14"/>
              </w:rPr>
              <w:t>2.7692</w:t>
            </w:r>
          </w:p>
        </w:tc>
        <w:tc>
          <w:tcPr>
            <w:tcW w:type="dxa" w:w="1704"/>
            <w:vAlign w:val="center"/>
          </w:tcPr>
          <w:p>
            <w:pPr>
              <w:jc w:val="center"/>
            </w:pPr>
            <w:r>
              <w:rPr>
                <w:sz w:val="14"/>
              </w:rPr>
              <w:t>1.7857</w:t>
            </w:r>
          </w:p>
        </w:tc>
        <w:tc>
          <w:tcPr>
            <w:tcW w:type="dxa" w:w="1704"/>
            <w:vAlign w:val="center"/>
          </w:tcPr>
          <w:p>
            <w:pPr>
              <w:jc w:val="center"/>
            </w:pPr>
            <w:r>
              <w:rPr>
                <w:sz w:val="14"/>
              </w:rPr>
              <w:t>0.9835</w:t>
            </w:r>
          </w:p>
        </w:tc>
      </w:tr>
      <w:tr>
        <w:tc>
          <w:tcPr>
            <w:tcW w:type="dxa" w:w="1704"/>
            <w:vAlign w:val="center"/>
          </w:tcPr>
          <w:p>
            <w:pPr>
              <w:jc w:val="center"/>
            </w:pPr>
            <w:r>
              <w:rPr>
                <w:sz w:val="14"/>
              </w:rPr>
              <w:t>Boca Juniors</w:t>
            </w:r>
          </w:p>
        </w:tc>
        <w:tc>
          <w:tcPr>
            <w:tcW w:type="dxa" w:w="1704"/>
            <w:vAlign w:val="center"/>
          </w:tcPr>
          <w:p>
            <w:pPr>
              <w:jc w:val="center"/>
            </w:pPr>
            <w:r>
              <w:rPr>
                <w:sz w:val="14"/>
              </w:rPr>
              <w:t>103.5500</w:t>
            </w:r>
          </w:p>
        </w:tc>
        <w:tc>
          <w:tcPr>
            <w:tcW w:type="dxa" w:w="1704"/>
            <w:vAlign w:val="center"/>
          </w:tcPr>
          <w:p>
            <w:pPr>
              <w:jc w:val="center"/>
            </w:pPr>
            <w:r>
              <w:rPr>
                <w:sz w:val="14"/>
              </w:rPr>
              <w:t>Alto</w:t>
            </w:r>
          </w:p>
        </w:tc>
        <w:tc>
          <w:tcPr>
            <w:tcW w:type="dxa" w:w="1704"/>
            <w:vAlign w:val="center"/>
          </w:tcPr>
          <w:p>
            <w:pPr>
              <w:jc w:val="center"/>
            </w:pPr>
            <w:r>
              <w:rPr>
                <w:sz w:val="14"/>
              </w:rPr>
              <w:t>1.9286</w:t>
            </w:r>
          </w:p>
        </w:tc>
        <w:tc>
          <w:tcPr>
            <w:tcW w:type="dxa" w:w="1704"/>
            <w:vAlign w:val="center"/>
          </w:tcPr>
          <w:p>
            <w:pPr>
              <w:jc w:val="center"/>
            </w:pPr>
            <w:r>
              <w:rPr>
                <w:sz w:val="14"/>
              </w:rPr>
              <w:t>1.3077</w:t>
            </w:r>
          </w:p>
        </w:tc>
        <w:tc>
          <w:tcPr>
            <w:tcW w:type="dxa" w:w="1704"/>
            <w:vAlign w:val="center"/>
          </w:tcPr>
          <w:p>
            <w:pPr>
              <w:jc w:val="center"/>
            </w:pPr>
            <w:r>
              <w:rPr>
                <w:sz w:val="14"/>
              </w:rPr>
              <w:t>0.6209</w:t>
            </w:r>
          </w:p>
        </w:tc>
      </w:tr>
      <w:tr>
        <w:tc>
          <w:tcPr>
            <w:tcW w:type="dxa" w:w="1704"/>
            <w:vAlign w:val="center"/>
          </w:tcPr>
          <w:p>
            <w:pPr>
              <w:jc w:val="center"/>
            </w:pPr>
            <w:r>
              <w:rPr>
                <w:sz w:val="14"/>
              </w:rPr>
              <w:t>Racing Club</w:t>
            </w:r>
          </w:p>
        </w:tc>
        <w:tc>
          <w:tcPr>
            <w:tcW w:type="dxa" w:w="1704"/>
            <w:vAlign w:val="center"/>
          </w:tcPr>
          <w:p>
            <w:pPr>
              <w:jc w:val="center"/>
            </w:pPr>
            <w:r>
              <w:rPr>
                <w:sz w:val="14"/>
              </w:rPr>
              <w:t>59.7300</w:t>
            </w:r>
          </w:p>
        </w:tc>
        <w:tc>
          <w:tcPr>
            <w:tcW w:type="dxa" w:w="1704"/>
            <w:vAlign w:val="center"/>
          </w:tcPr>
          <w:p>
            <w:pPr>
              <w:jc w:val="center"/>
            </w:pPr>
            <w:r>
              <w:rPr>
                <w:sz w:val="14"/>
              </w:rPr>
              <w:t>Alto</w:t>
            </w:r>
          </w:p>
        </w:tc>
        <w:tc>
          <w:tcPr>
            <w:tcW w:type="dxa" w:w="1704"/>
            <w:vAlign w:val="center"/>
          </w:tcPr>
          <w:p>
            <w:pPr>
              <w:jc w:val="center"/>
            </w:pPr>
            <w:r>
              <w:rPr>
                <w:sz w:val="14"/>
              </w:rPr>
              <w:t>1.6429</w:t>
            </w:r>
          </w:p>
        </w:tc>
        <w:tc>
          <w:tcPr>
            <w:tcW w:type="dxa" w:w="1704"/>
            <w:vAlign w:val="center"/>
          </w:tcPr>
          <w:p>
            <w:pPr>
              <w:jc w:val="center"/>
            </w:pPr>
            <w:r>
              <w:rPr>
                <w:sz w:val="14"/>
              </w:rPr>
              <w:t>1.0000</w:t>
            </w:r>
          </w:p>
        </w:tc>
        <w:tc>
          <w:tcPr>
            <w:tcW w:type="dxa" w:w="1704"/>
            <w:vAlign w:val="center"/>
          </w:tcPr>
          <w:p>
            <w:pPr>
              <w:jc w:val="center"/>
            </w:pPr>
            <w:r>
              <w:rPr>
                <w:sz w:val="14"/>
              </w:rPr>
              <w:t>0.6429</w:t>
            </w:r>
          </w:p>
        </w:tc>
      </w:tr>
      <w:tr>
        <w:tc>
          <w:tcPr>
            <w:tcW w:type="dxa" w:w="1704"/>
            <w:vAlign w:val="center"/>
          </w:tcPr>
          <w:p>
            <w:pPr>
              <w:jc w:val="center"/>
            </w:pPr>
            <w:r>
              <w:rPr>
                <w:sz w:val="14"/>
              </w:rPr>
              <w:t>Vélez Sarsfield</w:t>
            </w:r>
          </w:p>
        </w:tc>
        <w:tc>
          <w:tcPr>
            <w:tcW w:type="dxa" w:w="1704"/>
            <w:vAlign w:val="center"/>
          </w:tcPr>
          <w:p>
            <w:pPr>
              <w:jc w:val="center"/>
            </w:pPr>
            <w:r>
              <w:rPr>
                <w:sz w:val="14"/>
              </w:rPr>
              <w:t>51.1500</w:t>
            </w:r>
          </w:p>
        </w:tc>
        <w:tc>
          <w:tcPr>
            <w:tcW w:type="dxa" w:w="1704"/>
            <w:vAlign w:val="center"/>
          </w:tcPr>
          <w:p>
            <w:pPr>
              <w:jc w:val="center"/>
            </w:pPr>
            <w:r>
              <w:rPr>
                <w:sz w:val="14"/>
              </w:rPr>
              <w:t>Alto</w:t>
            </w:r>
          </w:p>
        </w:tc>
        <w:tc>
          <w:tcPr>
            <w:tcW w:type="dxa" w:w="1704"/>
            <w:vAlign w:val="center"/>
          </w:tcPr>
          <w:p>
            <w:pPr>
              <w:jc w:val="center"/>
            </w:pPr>
            <w:r>
              <w:rPr>
                <w:sz w:val="14"/>
              </w:rPr>
              <w:t>1.2857</w:t>
            </w:r>
          </w:p>
        </w:tc>
        <w:tc>
          <w:tcPr>
            <w:tcW w:type="dxa" w:w="1704"/>
            <w:vAlign w:val="center"/>
          </w:tcPr>
          <w:p>
            <w:pPr>
              <w:jc w:val="center"/>
            </w:pPr>
            <w:r>
              <w:rPr>
                <w:sz w:val="14"/>
              </w:rPr>
              <w:t>0.6923</w:t>
            </w:r>
          </w:p>
        </w:tc>
        <w:tc>
          <w:tcPr>
            <w:tcW w:type="dxa" w:w="1704"/>
            <w:vAlign w:val="center"/>
          </w:tcPr>
          <w:p>
            <w:pPr>
              <w:jc w:val="center"/>
            </w:pPr>
            <w:r>
              <w:rPr>
                <w:sz w:val="14"/>
              </w:rPr>
              <w:t>0.5934</w:t>
            </w:r>
          </w:p>
        </w:tc>
      </w:tr>
      <w:tr>
        <w:tc>
          <w:tcPr>
            <w:tcW w:type="dxa" w:w="1704"/>
            <w:vAlign w:val="center"/>
          </w:tcPr>
          <w:p>
            <w:pPr>
              <w:jc w:val="center"/>
            </w:pPr>
            <w:r>
              <w:rPr>
                <w:sz w:val="14"/>
              </w:rPr>
              <w:t>Colón</w:t>
            </w:r>
          </w:p>
        </w:tc>
        <w:tc>
          <w:tcPr>
            <w:tcW w:type="dxa" w:w="1704"/>
            <w:vAlign w:val="center"/>
          </w:tcPr>
          <w:p>
            <w:pPr>
              <w:jc w:val="center"/>
            </w:pPr>
            <w:r>
              <w:rPr>
                <w:sz w:val="14"/>
              </w:rPr>
              <w:t>49.6300</w:t>
            </w:r>
          </w:p>
        </w:tc>
        <w:tc>
          <w:tcPr>
            <w:tcW w:type="dxa" w:w="1704"/>
            <w:vAlign w:val="center"/>
          </w:tcPr>
          <w:p>
            <w:pPr>
              <w:jc w:val="center"/>
            </w:pPr>
            <w:r>
              <w:rPr>
                <w:sz w:val="14"/>
              </w:rPr>
              <w:t>Alto</w:t>
            </w:r>
          </w:p>
        </w:tc>
        <w:tc>
          <w:tcPr>
            <w:tcW w:type="dxa" w:w="1704"/>
            <w:vAlign w:val="center"/>
          </w:tcPr>
          <w:p>
            <w:pPr>
              <w:jc w:val="center"/>
            </w:pPr>
            <w:r>
              <w:rPr>
                <w:sz w:val="14"/>
              </w:rPr>
              <w:t>1.1429</w:t>
            </w:r>
          </w:p>
        </w:tc>
        <w:tc>
          <w:tcPr>
            <w:tcW w:type="dxa" w:w="1704"/>
            <w:vAlign w:val="center"/>
          </w:tcPr>
          <w:p>
            <w:pPr>
              <w:jc w:val="center"/>
            </w:pPr>
            <w:r>
              <w:rPr>
                <w:sz w:val="14"/>
              </w:rPr>
              <w:t>0.6923</w:t>
            </w:r>
          </w:p>
        </w:tc>
        <w:tc>
          <w:tcPr>
            <w:tcW w:type="dxa" w:w="1704"/>
            <w:vAlign w:val="center"/>
          </w:tcPr>
          <w:p>
            <w:pPr>
              <w:jc w:val="center"/>
            </w:pPr>
            <w:r>
              <w:rPr>
                <w:sz w:val="14"/>
              </w:rPr>
              <w:t>0.4505</w:t>
            </w:r>
          </w:p>
        </w:tc>
      </w:tr>
      <w:tr>
        <w:tc>
          <w:tcPr>
            <w:tcW w:type="dxa" w:w="1704"/>
            <w:vAlign w:val="center"/>
          </w:tcPr>
          <w:p>
            <w:pPr>
              <w:jc w:val="center"/>
            </w:pPr>
            <w:r>
              <w:rPr>
                <w:sz w:val="14"/>
              </w:rPr>
              <w:t>Lanús</w:t>
            </w:r>
          </w:p>
        </w:tc>
        <w:tc>
          <w:tcPr>
            <w:tcW w:type="dxa" w:w="1704"/>
            <w:vAlign w:val="center"/>
          </w:tcPr>
          <w:p>
            <w:pPr>
              <w:jc w:val="center"/>
            </w:pPr>
            <w:r>
              <w:rPr>
                <w:sz w:val="14"/>
              </w:rPr>
              <w:t>45.2500</w:t>
            </w:r>
          </w:p>
        </w:tc>
        <w:tc>
          <w:tcPr>
            <w:tcW w:type="dxa" w:w="1704"/>
            <w:vAlign w:val="center"/>
          </w:tcPr>
          <w:p>
            <w:pPr>
              <w:jc w:val="center"/>
            </w:pPr>
            <w:r>
              <w:rPr>
                <w:sz w:val="14"/>
              </w:rPr>
              <w:t>Alto</w:t>
            </w:r>
          </w:p>
        </w:tc>
        <w:tc>
          <w:tcPr>
            <w:tcW w:type="dxa" w:w="1704"/>
            <w:vAlign w:val="center"/>
          </w:tcPr>
          <w:p>
            <w:pPr>
              <w:jc w:val="center"/>
            </w:pPr>
            <w:r>
              <w:rPr>
                <w:sz w:val="14"/>
              </w:rPr>
              <w:t>2.2308</w:t>
            </w:r>
          </w:p>
        </w:tc>
        <w:tc>
          <w:tcPr>
            <w:tcW w:type="dxa" w:w="1704"/>
            <w:vAlign w:val="center"/>
          </w:tcPr>
          <w:p>
            <w:pPr>
              <w:jc w:val="center"/>
            </w:pPr>
            <w:r>
              <w:rPr>
                <w:sz w:val="14"/>
              </w:rPr>
              <w:t>1.1429</w:t>
            </w:r>
          </w:p>
        </w:tc>
        <w:tc>
          <w:tcPr>
            <w:tcW w:type="dxa" w:w="1704"/>
            <w:vAlign w:val="center"/>
          </w:tcPr>
          <w:p>
            <w:pPr>
              <w:jc w:val="center"/>
            </w:pPr>
            <w:r>
              <w:rPr>
                <w:sz w:val="14"/>
              </w:rPr>
              <w:t>1.0879</w:t>
            </w:r>
          </w:p>
        </w:tc>
      </w:tr>
      <w:tr>
        <w:tc>
          <w:tcPr>
            <w:tcW w:type="dxa" w:w="1704"/>
            <w:vAlign w:val="center"/>
          </w:tcPr>
          <w:p>
            <w:pPr>
              <w:jc w:val="center"/>
            </w:pPr>
            <w:r>
              <w:rPr>
                <w:sz w:val="14"/>
              </w:rPr>
              <w:t>Talleres–C</w:t>
            </w:r>
          </w:p>
        </w:tc>
        <w:tc>
          <w:tcPr>
            <w:tcW w:type="dxa" w:w="1704"/>
            <w:vAlign w:val="center"/>
          </w:tcPr>
          <w:p>
            <w:pPr>
              <w:jc w:val="center"/>
            </w:pPr>
            <w:r>
              <w:rPr>
                <w:sz w:val="14"/>
              </w:rPr>
              <w:t>42.1800</w:t>
            </w:r>
          </w:p>
        </w:tc>
        <w:tc>
          <w:tcPr>
            <w:tcW w:type="dxa" w:w="1704"/>
            <w:vAlign w:val="center"/>
          </w:tcPr>
          <w:p>
            <w:pPr>
              <w:jc w:val="center"/>
            </w:pPr>
            <w:r>
              <w:rPr>
                <w:sz w:val="14"/>
              </w:rPr>
              <w:t>Alto</w:t>
            </w:r>
          </w:p>
        </w:tc>
        <w:tc>
          <w:tcPr>
            <w:tcW w:type="dxa" w:w="1704"/>
            <w:vAlign w:val="center"/>
          </w:tcPr>
          <w:p>
            <w:pPr>
              <w:jc w:val="center"/>
            </w:pPr>
            <w:r>
              <w:rPr>
                <w:sz w:val="14"/>
              </w:rPr>
              <w:t>1.7857</w:t>
            </w:r>
          </w:p>
        </w:tc>
        <w:tc>
          <w:tcPr>
            <w:tcW w:type="dxa" w:w="1704"/>
            <w:vAlign w:val="center"/>
          </w:tcPr>
          <w:p>
            <w:pPr>
              <w:jc w:val="center"/>
            </w:pPr>
            <w:r>
              <w:rPr>
                <w:sz w:val="14"/>
              </w:rPr>
              <w:t>1.9231</w:t>
            </w:r>
          </w:p>
        </w:tc>
        <w:tc>
          <w:tcPr>
            <w:tcW w:type="dxa" w:w="1704"/>
            <w:vAlign w:val="center"/>
          </w:tcPr>
          <w:p>
            <w:pPr>
              <w:jc w:val="center"/>
            </w:pPr>
            <w:r>
              <w:rPr>
                <w:sz w:val="14"/>
              </w:rPr>
              <w:t>-0.1374</w:t>
            </w:r>
          </w:p>
        </w:tc>
      </w:tr>
      <w:tr>
        <w:tc>
          <w:tcPr>
            <w:tcW w:type="dxa" w:w="1704"/>
            <w:vAlign w:val="center"/>
          </w:tcPr>
          <w:p>
            <w:pPr>
              <w:jc w:val="center"/>
            </w:pPr>
            <w:r>
              <w:rPr>
                <w:sz w:val="14"/>
              </w:rPr>
              <w:t>Estudiantes–LP</w:t>
            </w:r>
          </w:p>
        </w:tc>
        <w:tc>
          <w:tcPr>
            <w:tcW w:type="dxa" w:w="1704"/>
            <w:vAlign w:val="center"/>
          </w:tcPr>
          <w:p>
            <w:pPr>
              <w:jc w:val="center"/>
            </w:pPr>
            <w:r>
              <w:rPr>
                <w:sz w:val="14"/>
              </w:rPr>
              <w:t>34.3800</w:t>
            </w:r>
          </w:p>
        </w:tc>
        <w:tc>
          <w:tcPr>
            <w:tcW w:type="dxa" w:w="1704"/>
            <w:vAlign w:val="center"/>
          </w:tcPr>
          <w:p>
            <w:pPr>
              <w:jc w:val="center"/>
            </w:pPr>
            <w:r>
              <w:rPr>
                <w:sz w:val="14"/>
              </w:rPr>
              <w:t>Alto</w:t>
            </w:r>
          </w:p>
        </w:tc>
        <w:tc>
          <w:tcPr>
            <w:tcW w:type="dxa" w:w="1704"/>
            <w:vAlign w:val="center"/>
          </w:tcPr>
          <w:p>
            <w:pPr>
              <w:jc w:val="center"/>
            </w:pPr>
            <w:r>
              <w:rPr>
                <w:sz w:val="14"/>
              </w:rPr>
              <w:t>1.8571</w:t>
            </w:r>
          </w:p>
        </w:tc>
        <w:tc>
          <w:tcPr>
            <w:tcW w:type="dxa" w:w="1704"/>
            <w:vAlign w:val="center"/>
          </w:tcPr>
          <w:p>
            <w:pPr>
              <w:jc w:val="center"/>
            </w:pPr>
            <w:r>
              <w:rPr>
                <w:sz w:val="14"/>
              </w:rPr>
              <w:t>1.4615</w:t>
            </w:r>
          </w:p>
        </w:tc>
        <w:tc>
          <w:tcPr>
            <w:tcW w:type="dxa" w:w="1704"/>
            <w:vAlign w:val="center"/>
          </w:tcPr>
          <w:p>
            <w:pPr>
              <w:jc w:val="center"/>
            </w:pPr>
            <w:r>
              <w:rPr>
                <w:sz w:val="14"/>
              </w:rPr>
              <w:t>0.3956</w:t>
            </w:r>
          </w:p>
        </w:tc>
      </w:tr>
      <w:tr>
        <w:tc>
          <w:tcPr>
            <w:tcW w:type="dxa" w:w="1704"/>
            <w:vAlign w:val="center"/>
          </w:tcPr>
          <w:p>
            <w:pPr>
              <w:jc w:val="center"/>
            </w:pPr>
            <w:r>
              <w:rPr>
                <w:sz w:val="14"/>
              </w:rPr>
              <w:t>San Lorenzo</w:t>
            </w:r>
          </w:p>
        </w:tc>
        <w:tc>
          <w:tcPr>
            <w:tcW w:type="dxa" w:w="1704"/>
            <w:vAlign w:val="center"/>
          </w:tcPr>
          <w:p>
            <w:pPr>
              <w:jc w:val="center"/>
            </w:pPr>
            <w:r>
              <w:rPr>
                <w:sz w:val="14"/>
              </w:rPr>
              <w:t>34.1800</w:t>
            </w:r>
          </w:p>
        </w:tc>
        <w:tc>
          <w:tcPr>
            <w:tcW w:type="dxa" w:w="1704"/>
            <w:vAlign w:val="center"/>
          </w:tcPr>
          <w:p>
            <w:pPr>
              <w:jc w:val="center"/>
            </w:pPr>
            <w:r>
              <w:rPr>
                <w:sz w:val="14"/>
              </w:rPr>
              <w:t>Alto</w:t>
            </w:r>
          </w:p>
        </w:tc>
        <w:tc>
          <w:tcPr>
            <w:tcW w:type="dxa" w:w="1704"/>
            <w:vAlign w:val="center"/>
          </w:tcPr>
          <w:p>
            <w:pPr>
              <w:jc w:val="center"/>
            </w:pPr>
            <w:r>
              <w:rPr>
                <w:sz w:val="14"/>
              </w:rPr>
              <w:t>2.0714</w:t>
            </w:r>
          </w:p>
        </w:tc>
        <w:tc>
          <w:tcPr>
            <w:tcW w:type="dxa" w:w="1704"/>
            <w:vAlign w:val="center"/>
          </w:tcPr>
          <w:p>
            <w:pPr>
              <w:jc w:val="center"/>
            </w:pPr>
            <w:r>
              <w:rPr>
                <w:sz w:val="14"/>
              </w:rPr>
              <w:t>1.3077</w:t>
            </w:r>
          </w:p>
        </w:tc>
        <w:tc>
          <w:tcPr>
            <w:tcW w:type="dxa" w:w="1704"/>
            <w:vAlign w:val="center"/>
          </w:tcPr>
          <w:p>
            <w:pPr>
              <w:jc w:val="center"/>
            </w:pPr>
            <w:r>
              <w:rPr>
                <w:sz w:val="14"/>
              </w:rPr>
              <w:t>0.7637</w:t>
            </w:r>
          </w:p>
        </w:tc>
      </w:tr>
      <w:tr>
        <w:tc>
          <w:tcPr>
            <w:tcW w:type="dxa" w:w="1704"/>
            <w:vAlign w:val="center"/>
          </w:tcPr>
          <w:p>
            <w:pPr>
              <w:jc w:val="center"/>
            </w:pPr>
            <w:r>
              <w:rPr>
                <w:sz w:val="14"/>
              </w:rPr>
              <w:t>Tigre</w:t>
            </w:r>
          </w:p>
        </w:tc>
        <w:tc>
          <w:tcPr>
            <w:tcW w:type="dxa" w:w="1704"/>
            <w:vAlign w:val="center"/>
          </w:tcPr>
          <w:p>
            <w:pPr>
              <w:jc w:val="center"/>
            </w:pPr>
            <w:r>
              <w:rPr>
                <w:sz w:val="14"/>
              </w:rPr>
              <w:t>31.8800</w:t>
            </w:r>
          </w:p>
        </w:tc>
        <w:tc>
          <w:tcPr>
            <w:tcW w:type="dxa" w:w="1704"/>
            <w:vAlign w:val="center"/>
          </w:tcPr>
          <w:p>
            <w:pPr>
              <w:jc w:val="center"/>
            </w:pPr>
            <w:r>
              <w:rPr>
                <w:sz w:val="14"/>
              </w:rPr>
              <w:t>Medio</w:t>
            </w:r>
          </w:p>
        </w:tc>
        <w:tc>
          <w:tcPr>
            <w:tcW w:type="dxa" w:w="1704"/>
            <w:vAlign w:val="center"/>
          </w:tcPr>
          <w:p>
            <w:pPr>
              <w:jc w:val="center"/>
            </w:pPr>
            <w:r>
              <w:rPr>
                <w:sz w:val="14"/>
              </w:rPr>
              <w:t>1.3846</w:t>
            </w:r>
          </w:p>
        </w:tc>
        <w:tc>
          <w:tcPr>
            <w:tcW w:type="dxa" w:w="1704"/>
            <w:vAlign w:val="center"/>
          </w:tcPr>
          <w:p>
            <w:pPr>
              <w:jc w:val="center"/>
            </w:pPr>
            <w:r>
              <w:rPr>
                <w:sz w:val="14"/>
              </w:rPr>
              <w:t>1.1429</w:t>
            </w:r>
          </w:p>
        </w:tc>
        <w:tc>
          <w:tcPr>
            <w:tcW w:type="dxa" w:w="1704"/>
            <w:vAlign w:val="center"/>
          </w:tcPr>
          <w:p>
            <w:pPr>
              <w:jc w:val="center"/>
            </w:pPr>
            <w:r>
              <w:rPr>
                <w:sz w:val="14"/>
              </w:rPr>
              <w:t>0.2418</w:t>
            </w:r>
          </w:p>
        </w:tc>
      </w:tr>
    </w:tbl>
    <w:p/>
    <w:p>
      <w:pPr>
        <w:pStyle w:val="Heading3"/>
      </w:pPr>
      <w:r>
        <w:t>Correlaciones entre valor de plantilla y variables deportivas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jc w:val="center"/>
            </w:pPr>
            <w:r>
              <w:rPr>
                <w:b/>
                <w:sz w:val="14"/>
              </w:rPr>
              <w:t>Variable</w:t>
            </w:r>
          </w:p>
        </w:tc>
        <w:tc>
          <w:tcPr>
            <w:tcW w:type="dxa" w:w="2045"/>
            <w:vAlign w:val="center"/>
          </w:tcPr>
          <w:p>
            <w:pPr>
              <w:jc w:val="center"/>
            </w:pPr>
            <w:r>
              <w:rPr>
                <w:b/>
                <w:sz w:val="14"/>
              </w:rPr>
              <w:t>Pearson_r</w:t>
            </w:r>
          </w:p>
        </w:tc>
        <w:tc>
          <w:tcPr>
            <w:tcW w:type="dxa" w:w="2045"/>
            <w:vAlign w:val="center"/>
          </w:tcPr>
          <w:p>
            <w:pPr>
              <w:jc w:val="center"/>
            </w:pPr>
            <w:r>
              <w:rPr>
                <w:b/>
                <w:sz w:val="14"/>
              </w:rPr>
              <w:t>Pearson_p</w:t>
            </w:r>
          </w:p>
        </w:tc>
        <w:tc>
          <w:tcPr>
            <w:tcW w:type="dxa" w:w="2045"/>
            <w:vAlign w:val="center"/>
          </w:tcPr>
          <w:p>
            <w:pPr>
              <w:jc w:val="center"/>
            </w:pPr>
            <w:r>
              <w:rPr>
                <w:b/>
                <w:sz w:val="14"/>
              </w:rPr>
              <w:t>Spearman_rho</w:t>
            </w:r>
          </w:p>
        </w:tc>
        <w:tc>
          <w:tcPr>
            <w:tcW w:type="dxa" w:w="2045"/>
            <w:vAlign w:val="center"/>
          </w:tcPr>
          <w:p>
            <w:pPr>
              <w:jc w:val="center"/>
            </w:pPr>
            <w:r>
              <w:rPr>
                <w:b/>
                <w:sz w:val="14"/>
              </w:rPr>
              <w:t>Spearman_p</w:t>
            </w:r>
          </w:p>
        </w:tc>
      </w:tr>
      <w:tr>
        <w:tc>
          <w:tcPr>
            <w:tcW w:type="dxa" w:w="2045"/>
            <w:vAlign w:val="center"/>
          </w:tcPr>
          <w:p>
            <w:pPr>
              <w:jc w:val="center"/>
            </w:pPr>
            <w:r>
              <w:rPr>
                <w:sz w:val="14"/>
              </w:rPr>
              <w:t>Pts_PJ_Local</w:t>
            </w:r>
          </w:p>
        </w:tc>
        <w:tc>
          <w:tcPr>
            <w:tcW w:type="dxa" w:w="2045"/>
            <w:vAlign w:val="center"/>
          </w:tcPr>
          <w:p>
            <w:pPr>
              <w:jc w:val="center"/>
            </w:pPr>
            <w:r>
              <w:rPr>
                <w:sz w:val="14"/>
              </w:rPr>
              <w:t>0.4866</w:t>
            </w:r>
          </w:p>
        </w:tc>
        <w:tc>
          <w:tcPr>
            <w:tcW w:type="dxa" w:w="2045"/>
            <w:vAlign w:val="center"/>
          </w:tcPr>
          <w:p>
            <w:pPr>
              <w:jc w:val="center"/>
            </w:pPr>
            <w:r>
              <w:rPr>
                <w:sz w:val="14"/>
              </w:rPr>
              <w:t>0.0086</w:t>
            </w:r>
          </w:p>
        </w:tc>
        <w:tc>
          <w:tcPr>
            <w:tcW w:type="dxa" w:w="2045"/>
            <w:vAlign w:val="center"/>
          </w:tcPr>
          <w:p>
            <w:pPr>
              <w:jc w:val="center"/>
            </w:pPr>
            <w:r>
              <w:rPr>
                <w:sz w:val="14"/>
              </w:rPr>
              <w:t>0.2387</w:t>
            </w:r>
          </w:p>
        </w:tc>
        <w:tc>
          <w:tcPr>
            <w:tcW w:type="dxa" w:w="2045"/>
            <w:vAlign w:val="center"/>
          </w:tcPr>
          <w:p>
            <w:pPr>
              <w:jc w:val="center"/>
            </w:pPr>
            <w:r>
              <w:rPr>
                <w:sz w:val="14"/>
              </w:rPr>
              <w:t>0.2213</w:t>
            </w:r>
          </w:p>
        </w:tc>
      </w:tr>
      <w:tr>
        <w:tc>
          <w:tcPr>
            <w:tcW w:type="dxa" w:w="2045"/>
            <w:vAlign w:val="center"/>
          </w:tcPr>
          <w:p>
            <w:pPr>
              <w:jc w:val="center"/>
            </w:pPr>
            <w:r>
              <w:rPr>
                <w:sz w:val="14"/>
              </w:rPr>
              <w:t>Pts_PJ_Visitante</w:t>
            </w:r>
          </w:p>
        </w:tc>
        <w:tc>
          <w:tcPr>
            <w:tcW w:type="dxa" w:w="2045"/>
            <w:vAlign w:val="center"/>
          </w:tcPr>
          <w:p>
            <w:pPr>
              <w:jc w:val="center"/>
            </w:pPr>
            <w:r>
              <w:rPr>
                <w:sz w:val="14"/>
              </w:rPr>
              <w:t>0.4925</w:t>
            </w:r>
          </w:p>
        </w:tc>
        <w:tc>
          <w:tcPr>
            <w:tcW w:type="dxa" w:w="2045"/>
            <w:vAlign w:val="center"/>
          </w:tcPr>
          <w:p>
            <w:pPr>
              <w:jc w:val="center"/>
            </w:pPr>
            <w:r>
              <w:rPr>
                <w:sz w:val="14"/>
              </w:rPr>
              <w:t>0.0078</w:t>
            </w:r>
          </w:p>
        </w:tc>
        <w:tc>
          <w:tcPr>
            <w:tcW w:type="dxa" w:w="2045"/>
            <w:vAlign w:val="center"/>
          </w:tcPr>
          <w:p>
            <w:pPr>
              <w:jc w:val="center"/>
            </w:pPr>
            <w:r>
              <w:rPr>
                <w:sz w:val="14"/>
              </w:rPr>
              <w:t>0.2964</w:t>
            </w:r>
          </w:p>
        </w:tc>
        <w:tc>
          <w:tcPr>
            <w:tcW w:type="dxa" w:w="2045"/>
            <w:vAlign w:val="center"/>
          </w:tcPr>
          <w:p>
            <w:pPr>
              <w:jc w:val="center"/>
            </w:pPr>
            <w:r>
              <w:rPr>
                <w:sz w:val="14"/>
              </w:rPr>
              <w:t>0.1257</w:t>
            </w:r>
          </w:p>
        </w:tc>
      </w:tr>
      <w:tr>
        <w:tc>
          <w:tcPr>
            <w:tcW w:type="dxa" w:w="2045"/>
            <w:vAlign w:val="center"/>
          </w:tcPr>
          <w:p>
            <w:pPr>
              <w:jc w:val="center"/>
            </w:pPr>
            <w:r>
              <w:rPr>
                <w:sz w:val="14"/>
              </w:rPr>
              <w:t>Delta_Pts_PJ</w:t>
            </w:r>
          </w:p>
        </w:tc>
        <w:tc>
          <w:tcPr>
            <w:tcW w:type="dxa" w:w="2045"/>
            <w:vAlign w:val="center"/>
          </w:tcPr>
          <w:p>
            <w:pPr>
              <w:jc w:val="center"/>
            </w:pPr>
            <w:r>
              <w:rPr>
                <w:sz w:val="14"/>
              </w:rPr>
              <w:t>0.0821</w:t>
            </w:r>
          </w:p>
        </w:tc>
        <w:tc>
          <w:tcPr>
            <w:tcW w:type="dxa" w:w="2045"/>
            <w:vAlign w:val="center"/>
          </w:tcPr>
          <w:p>
            <w:pPr>
              <w:jc w:val="center"/>
            </w:pPr>
            <w:r>
              <w:rPr>
                <w:sz w:val="14"/>
              </w:rPr>
              <w:t>0.6778</w:t>
            </w:r>
          </w:p>
        </w:tc>
        <w:tc>
          <w:tcPr>
            <w:tcW w:type="dxa" w:w="2045"/>
            <w:vAlign w:val="center"/>
          </w:tcPr>
          <w:p>
            <w:pPr>
              <w:jc w:val="center"/>
            </w:pPr>
            <w:r>
              <w:rPr>
                <w:sz w:val="14"/>
              </w:rPr>
              <w:t>-0.0753</w:t>
            </w:r>
          </w:p>
        </w:tc>
        <w:tc>
          <w:tcPr>
            <w:tcW w:type="dxa" w:w="2045"/>
            <w:vAlign w:val="center"/>
          </w:tcPr>
          <w:p>
            <w:pPr>
              <w:jc w:val="center"/>
            </w:pPr>
            <w:r>
              <w:rPr>
                <w:sz w:val="14"/>
              </w:rPr>
              <w:t>0.7034</w:t>
            </w:r>
          </w:p>
        </w:tc>
      </w:tr>
      <w:tr>
        <w:tc>
          <w:tcPr>
            <w:tcW w:type="dxa" w:w="2045"/>
            <w:vAlign w:val="center"/>
          </w:tcPr>
          <w:p>
            <w:pPr>
              <w:jc w:val="center"/>
            </w:pPr>
            <w:r>
              <w:rPr>
                <w:sz w:val="14"/>
              </w:rPr>
              <w:t>GF_PJ_Local</w:t>
            </w:r>
          </w:p>
        </w:tc>
        <w:tc>
          <w:tcPr>
            <w:tcW w:type="dxa" w:w="2045"/>
            <w:vAlign w:val="center"/>
          </w:tcPr>
          <w:p>
            <w:pPr>
              <w:jc w:val="center"/>
            </w:pPr>
            <w:r>
              <w:rPr>
                <w:sz w:val="14"/>
              </w:rPr>
              <w:t>0.3711</w:t>
            </w:r>
          </w:p>
        </w:tc>
        <w:tc>
          <w:tcPr>
            <w:tcW w:type="dxa" w:w="2045"/>
            <w:vAlign w:val="center"/>
          </w:tcPr>
          <w:p>
            <w:pPr>
              <w:jc w:val="center"/>
            </w:pPr>
            <w:r>
              <w:rPr>
                <w:sz w:val="14"/>
              </w:rPr>
              <w:t>0.0519</w:t>
            </w:r>
          </w:p>
        </w:tc>
        <w:tc>
          <w:tcPr>
            <w:tcW w:type="dxa" w:w="2045"/>
            <w:vAlign w:val="center"/>
          </w:tcPr>
          <w:p>
            <w:pPr>
              <w:jc w:val="center"/>
            </w:pPr>
            <w:r>
              <w:rPr>
                <w:sz w:val="14"/>
              </w:rPr>
              <w:t>0.3384</w:t>
            </w:r>
          </w:p>
        </w:tc>
        <w:tc>
          <w:tcPr>
            <w:tcW w:type="dxa" w:w="2045"/>
            <w:vAlign w:val="center"/>
          </w:tcPr>
          <w:p>
            <w:pPr>
              <w:jc w:val="center"/>
            </w:pPr>
            <w:r>
              <w:rPr>
                <w:sz w:val="14"/>
              </w:rPr>
              <w:t>0.0782</w:t>
            </w:r>
          </w:p>
        </w:tc>
      </w:tr>
      <w:tr>
        <w:tc>
          <w:tcPr>
            <w:tcW w:type="dxa" w:w="2045"/>
            <w:vAlign w:val="center"/>
          </w:tcPr>
          <w:p>
            <w:pPr>
              <w:jc w:val="center"/>
            </w:pPr>
            <w:r>
              <w:rPr>
                <w:sz w:val="14"/>
              </w:rPr>
              <w:t>Delta_GF_PJ</w:t>
            </w:r>
          </w:p>
        </w:tc>
        <w:tc>
          <w:tcPr>
            <w:tcW w:type="dxa" w:w="2045"/>
            <w:vAlign w:val="center"/>
          </w:tcPr>
          <w:p>
            <w:pPr>
              <w:jc w:val="center"/>
            </w:pPr>
            <w:r>
              <w:rPr>
                <w:sz w:val="14"/>
              </w:rPr>
              <w:t>-0.1048</w:t>
            </w:r>
          </w:p>
        </w:tc>
        <w:tc>
          <w:tcPr>
            <w:tcW w:type="dxa" w:w="2045"/>
            <w:vAlign w:val="center"/>
          </w:tcPr>
          <w:p>
            <w:pPr>
              <w:jc w:val="center"/>
            </w:pPr>
            <w:r>
              <w:rPr>
                <w:sz w:val="14"/>
              </w:rPr>
              <w:t>0.5954</w:t>
            </w:r>
          </w:p>
        </w:tc>
        <w:tc>
          <w:tcPr>
            <w:tcW w:type="dxa" w:w="2045"/>
            <w:vAlign w:val="center"/>
          </w:tcPr>
          <w:p>
            <w:pPr>
              <w:jc w:val="center"/>
            </w:pPr>
            <w:r>
              <w:rPr>
                <w:sz w:val="14"/>
              </w:rPr>
              <w:t>-0.1070</w:t>
            </w:r>
          </w:p>
        </w:tc>
        <w:tc>
          <w:tcPr>
            <w:tcW w:type="dxa" w:w="2045"/>
            <w:vAlign w:val="center"/>
          </w:tcPr>
          <w:p>
            <w:pPr>
              <w:jc w:val="center"/>
            </w:pPr>
            <w:r>
              <w:rPr>
                <w:sz w:val="14"/>
              </w:rPr>
              <w:t>0.5878</w:t>
            </w:r>
          </w:p>
        </w:tc>
      </w:tr>
      <w:tr>
        <w:tc>
          <w:tcPr>
            <w:tcW w:type="dxa" w:w="2045"/>
            <w:vAlign w:val="center"/>
          </w:tcPr>
          <w:p>
            <w:pPr>
              <w:jc w:val="center"/>
            </w:pPr>
            <w:r>
              <w:rPr>
                <w:sz w:val="14"/>
              </w:rPr>
              <w:t>Eficacia_Local_%</w:t>
            </w:r>
          </w:p>
        </w:tc>
        <w:tc>
          <w:tcPr>
            <w:tcW w:type="dxa" w:w="2045"/>
            <w:vAlign w:val="center"/>
          </w:tcPr>
          <w:p>
            <w:pPr>
              <w:jc w:val="center"/>
            </w:pPr>
            <w:r>
              <w:rPr>
                <w:sz w:val="14"/>
              </w:rPr>
              <w:t>0.4866</w:t>
            </w:r>
          </w:p>
        </w:tc>
        <w:tc>
          <w:tcPr>
            <w:tcW w:type="dxa" w:w="2045"/>
            <w:vAlign w:val="center"/>
          </w:tcPr>
          <w:p>
            <w:pPr>
              <w:jc w:val="center"/>
            </w:pPr>
            <w:r>
              <w:rPr>
                <w:sz w:val="14"/>
              </w:rPr>
              <w:t>0.0086</w:t>
            </w:r>
          </w:p>
        </w:tc>
        <w:tc>
          <w:tcPr>
            <w:tcW w:type="dxa" w:w="2045"/>
            <w:vAlign w:val="center"/>
          </w:tcPr>
          <w:p>
            <w:pPr>
              <w:jc w:val="center"/>
            </w:pPr>
            <w:r>
              <w:rPr>
                <w:sz w:val="14"/>
              </w:rPr>
              <w:t>0.2387</w:t>
            </w:r>
          </w:p>
        </w:tc>
        <w:tc>
          <w:tcPr>
            <w:tcW w:type="dxa" w:w="2045"/>
            <w:vAlign w:val="center"/>
          </w:tcPr>
          <w:p>
            <w:pPr>
              <w:jc w:val="center"/>
            </w:pPr>
            <w:r>
              <w:rPr>
                <w:sz w:val="14"/>
              </w:rPr>
              <w:t>0.2213</w:t>
            </w:r>
          </w:p>
        </w:tc>
      </w:tr>
    </w:tbl>
    <w:p/>
    <w:p>
      <w:pPr>
        <w:spacing w:after="140" w:line="259" w:lineRule="auto"/>
        <w:jc w:val="both"/>
      </w:pPr>
      <w:r>
        <w:t>Los resultados muestran que el valor de plantilla se asocia positivamente con los puntos por partido obtenidos como local. Sin embargo, la relación entre valor de plantilla y Delta Pts/PJ no fue significativa. Esto sugiere que los equipos con planteles más caros tienden a rendir mejor en general, pero no necesariamente tienen una ventaja de localía diferencial más alta.</w:t>
      </w:r>
    </w:p>
    <w:p>
      <w:pPr>
        <w:pStyle w:val="Heading3"/>
      </w:pPr>
      <w:r>
        <w:t>Figura 10. Valor de plantilla vs puntos como local</w:t>
      </w:r>
    </w:p>
    <w:p>
      <w:pPr>
        <w:jc w:val="center"/>
      </w:pPr>
      <w:r>
        <w:drawing>
          <wp:inline xmlns:a="http://schemas.openxmlformats.org/drawingml/2006/main" xmlns:pic="http://schemas.openxmlformats.org/drawingml/2006/picture">
            <wp:extent cx="5760720" cy="3444333"/>
            <wp:docPr id="10" name="Picture 10"/>
            <wp:cNvGraphicFramePr>
              <a:graphicFrameLocks noChangeAspect="1"/>
            </wp:cNvGraphicFramePr>
            <a:graphic>
              <a:graphicData uri="http://schemas.openxmlformats.org/drawingml/2006/picture">
                <pic:pic>
                  <pic:nvPicPr>
                    <pic:cNvPr id="0" name="07_valor_vs_puntos_local_regresion.png"/>
                    <pic:cNvPicPr/>
                  </pic:nvPicPr>
                  <pic:blipFill>
                    <a:blip r:embed="rId18"/>
                    <a:stretch>
                      <a:fillRect/>
                    </a:stretch>
                  </pic:blipFill>
                  <pic:spPr>
                    <a:xfrm>
                      <a:off x="0" y="0"/>
                      <a:ext cx="5760720" cy="3444333"/>
                    </a:xfrm>
                    <a:prstGeom prst="rect"/>
                  </pic:spPr>
                </pic:pic>
              </a:graphicData>
            </a:graphic>
          </wp:inline>
        </w:drawing>
      </w:r>
    </w:p>
    <w:p>
      <w:pPr>
        <w:spacing w:after="160"/>
        <w:jc w:val="center"/>
      </w:pPr>
      <w:r>
        <w:rPr>
          <w:b/>
          <w:sz w:val="22"/>
        </w:rPr>
        <w:t>Pts/PJ Local = b0 + b1 * ValorPlantillaM</w:t>
      </w:r>
    </w:p>
    <w:p>
      <w:pPr>
        <w:spacing w:after="140" w:line="259" w:lineRule="auto"/>
        <w:jc w:val="both"/>
      </w:pPr>
      <w:r>
        <w:t>Este gráfico representa una regresión lineal simple. La pendiente positiva indica que, en general, los equipos con mayor valor de plantilla tienden a obtener más puntos por partido como locales.</w:t>
      </w:r>
    </w:p>
    <w:p>
      <w:pPr>
        <w:pStyle w:val="Heading3"/>
      </w:pPr>
      <w:r>
        <w:t>Figura 11. Valor de plantilla vs ventaja de localía</w:t>
      </w:r>
    </w:p>
    <w:p>
      <w:pPr>
        <w:jc w:val="center"/>
      </w:pPr>
      <w:r>
        <w:drawing>
          <wp:inline xmlns:a="http://schemas.openxmlformats.org/drawingml/2006/main" xmlns:pic="http://schemas.openxmlformats.org/drawingml/2006/picture">
            <wp:extent cx="5760720" cy="3443951"/>
            <wp:docPr id="11" name="Picture 11"/>
            <wp:cNvGraphicFramePr>
              <a:graphicFrameLocks noChangeAspect="1"/>
            </wp:cNvGraphicFramePr>
            <a:graphic>
              <a:graphicData uri="http://schemas.openxmlformats.org/drawingml/2006/picture">
                <pic:pic>
                  <pic:nvPicPr>
                    <pic:cNvPr id="0" name="08_valor_vs_delta_localia_regresion.png"/>
                    <pic:cNvPicPr/>
                  </pic:nvPicPr>
                  <pic:blipFill>
                    <a:blip r:embed="rId19"/>
                    <a:stretch>
                      <a:fillRect/>
                    </a:stretch>
                  </pic:blipFill>
                  <pic:spPr>
                    <a:xfrm>
                      <a:off x="0" y="0"/>
                      <a:ext cx="5760720" cy="3443951"/>
                    </a:xfrm>
                    <a:prstGeom prst="rect"/>
                  </pic:spPr>
                </pic:pic>
              </a:graphicData>
            </a:graphic>
          </wp:inline>
        </w:drawing>
      </w:r>
    </w:p>
    <w:p>
      <w:pPr>
        <w:spacing w:after="160"/>
        <w:jc w:val="center"/>
      </w:pPr>
      <w:r>
        <w:rPr>
          <w:b/>
          <w:sz w:val="22"/>
        </w:rPr>
        <w:t>Delta Pts/PJ = b0 + b1 * ValorPlantillaM</w:t>
      </w:r>
    </w:p>
    <w:p>
      <w:pPr>
        <w:spacing w:after="140" w:line="259" w:lineRule="auto"/>
        <w:jc w:val="both"/>
      </w:pPr>
      <w:r>
        <w:t>Este gráfico analiza si los equipos más caros aprovechan más la localía en términos relativos. La relación no resultó significativa, por lo que el valor de plantilla no explica claramente la diferencia entre rendimiento local y visitante.</w:t>
      </w:r>
    </w:p>
    <w:p>
      <w:pPr>
        <w:pStyle w:val="Heading1"/>
      </w:pPr>
      <w:r>
        <w:t>11. Regresión simple y ajuste de curvas</w:t>
      </w:r>
    </w:p>
    <w:p>
      <w:pPr>
        <w:spacing w:after="140" w:line="259" w:lineRule="auto"/>
        <w:jc w:val="both"/>
      </w:pPr>
      <w:r>
        <w:t>La regresión simple se aplicó mediante mínimos cuadrados. Este método busca la recta que minimiza la suma de los cuadrados de los residuos, es decir, las diferencias entre los valores observados y los valores estimados por el modelo.</w:t>
      </w:r>
    </w:p>
    <w:p>
      <w:pPr>
        <w:spacing w:after="160"/>
        <w:jc w:val="center"/>
      </w:pPr>
      <w:r>
        <w:rPr>
          <w:b/>
          <w:sz w:val="22"/>
        </w:rPr>
        <w:t>y = b0 + b1*x + e</w:t>
      </w:r>
    </w:p>
    <w:p>
      <w:pPr>
        <w:pStyle w:val="Heading3"/>
      </w:pPr>
      <w:r>
        <w:t>Figura 12. Residuos de la regresión</w:t>
      </w:r>
    </w:p>
    <w:p>
      <w:pPr>
        <w:jc w:val="center"/>
      </w:pPr>
      <w:r>
        <w:drawing>
          <wp:inline xmlns:a="http://schemas.openxmlformats.org/drawingml/2006/main" xmlns:pic="http://schemas.openxmlformats.org/drawingml/2006/picture">
            <wp:extent cx="5760720" cy="3425398"/>
            <wp:docPr id="12" name="Picture 12"/>
            <wp:cNvGraphicFramePr>
              <a:graphicFrameLocks noChangeAspect="1"/>
            </wp:cNvGraphicFramePr>
            <a:graphic>
              <a:graphicData uri="http://schemas.openxmlformats.org/drawingml/2006/picture">
                <pic:pic>
                  <pic:nvPicPr>
                    <pic:cNvPr id="0" name="15_residuos_regresion_valor_pts_local.png"/>
                    <pic:cNvPicPr/>
                  </pic:nvPicPr>
                  <pic:blipFill>
                    <a:blip r:embed="rId20"/>
                    <a:stretch>
                      <a:fillRect/>
                    </a:stretch>
                  </pic:blipFill>
                  <pic:spPr>
                    <a:xfrm>
                      <a:off x="0" y="0"/>
                      <a:ext cx="5760720" cy="3425398"/>
                    </a:xfrm>
                    <a:prstGeom prst="rect"/>
                  </pic:spPr>
                </pic:pic>
              </a:graphicData>
            </a:graphic>
          </wp:inline>
        </w:drawing>
      </w:r>
    </w:p>
    <w:p>
      <w:pPr>
        <w:spacing w:after="160"/>
        <w:jc w:val="center"/>
      </w:pPr>
      <w:r>
        <w:rPr>
          <w:b/>
          <w:sz w:val="22"/>
        </w:rPr>
        <w:t>Residuo = valor observado - valor estimado</w:t>
      </w:r>
    </w:p>
    <w:p>
      <w:pPr>
        <w:spacing w:after="140" w:line="259" w:lineRule="auto"/>
        <w:jc w:val="both"/>
      </w:pPr>
      <w:r>
        <w:t>El gráfico de residuos permite evaluar si el modelo lineal presenta patrones sistemáticos. Si los residuos se distribuyen alrededor de cero sin un patrón claro, el ajuste lineal es razonable como primera aproximación.</w:t>
      </w:r>
    </w:p>
    <w:p>
      <w:pPr>
        <w:pStyle w:val="Heading3"/>
      </w:pPr>
      <w:r>
        <w:t>Figura 13. Ajuste polinómico</w:t>
      </w:r>
    </w:p>
    <w:p>
      <w:pPr>
        <w:jc w:val="center"/>
      </w:pPr>
      <w:r>
        <w:drawing>
          <wp:inline xmlns:a="http://schemas.openxmlformats.org/drawingml/2006/main" xmlns:pic="http://schemas.openxmlformats.org/drawingml/2006/picture">
            <wp:extent cx="5760720" cy="3430017"/>
            <wp:docPr id="13" name="Picture 13"/>
            <wp:cNvGraphicFramePr>
              <a:graphicFrameLocks noChangeAspect="1"/>
            </wp:cNvGraphicFramePr>
            <a:graphic>
              <a:graphicData uri="http://schemas.openxmlformats.org/drawingml/2006/picture">
                <pic:pic>
                  <pic:nvPicPr>
                    <pic:cNvPr id="0" name="16_ajuste_polinomico_valor_pts_local.png"/>
                    <pic:cNvPicPr/>
                  </pic:nvPicPr>
                  <pic:blipFill>
                    <a:blip r:embed="rId21"/>
                    <a:stretch>
                      <a:fillRect/>
                    </a:stretch>
                  </pic:blipFill>
                  <pic:spPr>
                    <a:xfrm>
                      <a:off x="0" y="0"/>
                      <a:ext cx="5760720" cy="3430017"/>
                    </a:xfrm>
                    <a:prstGeom prst="rect"/>
                  </pic:spPr>
                </pic:pic>
              </a:graphicData>
            </a:graphic>
          </wp:inline>
        </w:drawing>
      </w:r>
    </w:p>
    <w:p>
      <w:pPr>
        <w:spacing w:after="160"/>
        <w:jc w:val="center"/>
      </w:pPr>
      <w:r>
        <w:rPr>
          <w:b/>
          <w:sz w:val="22"/>
        </w:rPr>
        <w:t>y = a*x² + b*x + c</w:t>
      </w:r>
    </w:p>
    <w:p>
      <w:pPr>
        <w:spacing w:after="140" w:line="259" w:lineRule="auto"/>
        <w:jc w:val="both"/>
      </w:pPr>
      <w:r>
        <w:t>El ajuste polinómico se incluye como ejemplo de regresión curvilínea. Permite observar si una curva de segundo grado describe mejor la relación entre valor de plantilla y puntos como local. Su uso es complementario y no reemplaza la interpretación principal de la regresión lineal.</w:t>
      </w:r>
    </w:p>
    <w:p>
      <w:pPr>
        <w:pStyle w:val="Heading1"/>
      </w:pPr>
      <w:r>
        <w:t>12. ANOVA por grupos económicos</w:t>
      </w:r>
    </w:p>
    <w:p>
      <w:pPr>
        <w:spacing w:after="140" w:line="259" w:lineRule="auto"/>
        <w:jc w:val="both"/>
      </w:pPr>
      <w:r>
        <w:t>Para analizar si la ventaja de localía cambia según el grupo económico se aplicó un ANOVA de un factor. El factor es el grupo económico y la variable de respuesta es Delta Pts/PJ.</w:t>
      </w:r>
    </w:p>
    <w:p>
      <w:pPr>
        <w:spacing w:after="160"/>
        <w:jc w:val="center"/>
      </w:pPr>
      <w:r>
        <w:rPr>
          <w:b/>
          <w:sz w:val="22"/>
        </w:rPr>
        <w:t>H0: media_bajo = media_medio = media_alto</w:t>
      </w:r>
    </w:p>
    <w:p>
      <w:pPr>
        <w:pStyle w:val="Heading3"/>
      </w:pPr>
      <w:r>
        <w:t>Resumen por grupo económico</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pPr>
              <w:jc w:val="center"/>
            </w:pPr>
            <w:r>
              <w:rPr>
                <w:b/>
                <w:sz w:val="14"/>
              </w:rPr>
              <w:t>GrupoEconomico</w:t>
            </w:r>
          </w:p>
        </w:tc>
        <w:tc>
          <w:tcPr>
            <w:tcW w:type="dxa" w:w="1278"/>
            <w:vAlign w:val="center"/>
          </w:tcPr>
          <w:p>
            <w:pPr>
              <w:jc w:val="center"/>
            </w:pPr>
            <w:r>
              <w:rPr>
                <w:b/>
                <w:sz w:val="14"/>
              </w:rPr>
              <w:t>Equipos</w:t>
            </w:r>
          </w:p>
        </w:tc>
        <w:tc>
          <w:tcPr>
            <w:tcW w:type="dxa" w:w="1278"/>
            <w:vAlign w:val="center"/>
          </w:tcPr>
          <w:p>
            <w:pPr>
              <w:jc w:val="center"/>
            </w:pPr>
            <w:r>
              <w:rPr>
                <w:b/>
                <w:sz w:val="14"/>
              </w:rPr>
              <w:t>ValorPromedioM</w:t>
            </w:r>
          </w:p>
        </w:tc>
        <w:tc>
          <w:tcPr>
            <w:tcW w:type="dxa" w:w="1278"/>
            <w:vAlign w:val="center"/>
          </w:tcPr>
          <w:p>
            <w:pPr>
              <w:jc w:val="center"/>
            </w:pPr>
            <w:r>
              <w:rPr>
                <w:b/>
                <w:sz w:val="14"/>
              </w:rPr>
              <w:t>PtsLocalPromedio</w:t>
            </w:r>
          </w:p>
        </w:tc>
        <w:tc>
          <w:tcPr>
            <w:tcW w:type="dxa" w:w="1278"/>
            <w:vAlign w:val="center"/>
          </w:tcPr>
          <w:p>
            <w:pPr>
              <w:jc w:val="center"/>
            </w:pPr>
            <w:r>
              <w:rPr>
                <w:b/>
                <w:sz w:val="14"/>
              </w:rPr>
              <w:t>PtsVisitantePromedio</w:t>
            </w:r>
          </w:p>
        </w:tc>
        <w:tc>
          <w:tcPr>
            <w:tcW w:type="dxa" w:w="1278"/>
            <w:vAlign w:val="center"/>
          </w:tcPr>
          <w:p>
            <w:pPr>
              <w:jc w:val="center"/>
            </w:pPr>
            <w:r>
              <w:rPr>
                <w:b/>
                <w:sz w:val="14"/>
              </w:rPr>
              <w:t>DeltaPtsPromedio</w:t>
            </w:r>
          </w:p>
        </w:tc>
        <w:tc>
          <w:tcPr>
            <w:tcW w:type="dxa" w:w="1278"/>
            <w:vAlign w:val="center"/>
          </w:tcPr>
          <w:p>
            <w:pPr>
              <w:jc w:val="center"/>
            </w:pPr>
            <w:r>
              <w:rPr>
                <w:b/>
                <w:sz w:val="14"/>
              </w:rPr>
              <w:t>GolesLocalPromedio</w:t>
            </w:r>
          </w:p>
        </w:tc>
        <w:tc>
          <w:tcPr>
            <w:tcW w:type="dxa" w:w="1278"/>
            <w:vAlign w:val="center"/>
          </w:tcPr>
          <w:p>
            <w:pPr>
              <w:jc w:val="center"/>
            </w:pPr>
            <w:r>
              <w:rPr>
                <w:b/>
                <w:sz w:val="14"/>
              </w:rPr>
              <w:t>EficaciaLocalPromedio</w:t>
            </w:r>
          </w:p>
        </w:tc>
      </w:tr>
      <w:tr>
        <w:tc>
          <w:tcPr>
            <w:tcW w:type="dxa" w:w="1278"/>
            <w:vAlign w:val="center"/>
          </w:tcPr>
          <w:p>
            <w:pPr>
              <w:jc w:val="center"/>
            </w:pPr>
            <w:r>
              <w:rPr>
                <w:sz w:val="14"/>
              </w:rPr>
              <w:t>Bajo</w:t>
            </w:r>
          </w:p>
        </w:tc>
        <w:tc>
          <w:tcPr>
            <w:tcW w:type="dxa" w:w="1278"/>
            <w:vAlign w:val="center"/>
          </w:tcPr>
          <w:p>
            <w:pPr>
              <w:jc w:val="center"/>
            </w:pPr>
            <w:r>
              <w:rPr>
                <w:sz w:val="14"/>
              </w:rPr>
              <w:t>10.0000</w:t>
            </w:r>
          </w:p>
        </w:tc>
        <w:tc>
          <w:tcPr>
            <w:tcW w:type="dxa" w:w="1278"/>
            <w:vAlign w:val="center"/>
          </w:tcPr>
          <w:p>
            <w:pPr>
              <w:jc w:val="center"/>
            </w:pPr>
            <w:r>
              <w:rPr>
                <w:sz w:val="14"/>
              </w:rPr>
              <w:t>11.4550</w:t>
            </w:r>
          </w:p>
        </w:tc>
        <w:tc>
          <w:tcPr>
            <w:tcW w:type="dxa" w:w="1278"/>
            <w:vAlign w:val="center"/>
          </w:tcPr>
          <w:p>
            <w:pPr>
              <w:jc w:val="center"/>
            </w:pPr>
            <w:r>
              <w:rPr>
                <w:sz w:val="14"/>
              </w:rPr>
              <w:t>1.5401</w:t>
            </w:r>
          </w:p>
        </w:tc>
        <w:tc>
          <w:tcPr>
            <w:tcW w:type="dxa" w:w="1278"/>
            <w:vAlign w:val="center"/>
          </w:tcPr>
          <w:p>
            <w:pPr>
              <w:jc w:val="center"/>
            </w:pPr>
            <w:r>
              <w:rPr>
                <w:sz w:val="14"/>
              </w:rPr>
              <w:t>0.8841</w:t>
            </w:r>
          </w:p>
        </w:tc>
        <w:tc>
          <w:tcPr>
            <w:tcW w:type="dxa" w:w="1278"/>
            <w:vAlign w:val="center"/>
          </w:tcPr>
          <w:p>
            <w:pPr>
              <w:jc w:val="center"/>
            </w:pPr>
            <w:r>
              <w:rPr>
                <w:sz w:val="14"/>
              </w:rPr>
              <w:t>0.6560</w:t>
            </w:r>
          </w:p>
        </w:tc>
        <w:tc>
          <w:tcPr>
            <w:tcW w:type="dxa" w:w="1278"/>
            <w:vAlign w:val="center"/>
          </w:tcPr>
          <w:p>
            <w:pPr>
              <w:jc w:val="center"/>
            </w:pPr>
            <w:r>
              <w:rPr>
                <w:sz w:val="14"/>
              </w:rPr>
              <w:t>1.0434</w:t>
            </w:r>
          </w:p>
        </w:tc>
        <w:tc>
          <w:tcPr>
            <w:tcW w:type="dxa" w:w="1278"/>
            <w:vAlign w:val="center"/>
          </w:tcPr>
          <w:p>
            <w:pPr>
              <w:jc w:val="center"/>
            </w:pPr>
            <w:r>
              <w:rPr>
                <w:sz w:val="14"/>
              </w:rPr>
              <w:t>51.3370</w:t>
            </w:r>
          </w:p>
        </w:tc>
      </w:tr>
      <w:tr>
        <w:tc>
          <w:tcPr>
            <w:tcW w:type="dxa" w:w="1278"/>
            <w:vAlign w:val="center"/>
          </w:tcPr>
          <w:p>
            <w:pPr>
              <w:jc w:val="center"/>
            </w:pPr>
            <w:r>
              <w:rPr>
                <w:sz w:val="14"/>
              </w:rPr>
              <w:t>Medio</w:t>
            </w:r>
          </w:p>
        </w:tc>
        <w:tc>
          <w:tcPr>
            <w:tcW w:type="dxa" w:w="1278"/>
            <w:vAlign w:val="center"/>
          </w:tcPr>
          <w:p>
            <w:pPr>
              <w:jc w:val="center"/>
            </w:pPr>
            <w:r>
              <w:rPr>
                <w:sz w:val="14"/>
              </w:rPr>
              <w:t>9.0000</w:t>
            </w:r>
          </w:p>
        </w:tc>
        <w:tc>
          <w:tcPr>
            <w:tcW w:type="dxa" w:w="1278"/>
            <w:vAlign w:val="center"/>
          </w:tcPr>
          <w:p>
            <w:pPr>
              <w:jc w:val="center"/>
            </w:pPr>
            <w:r>
              <w:rPr>
                <w:sz w:val="14"/>
              </w:rPr>
              <w:t>25.8656</w:t>
            </w:r>
          </w:p>
        </w:tc>
        <w:tc>
          <w:tcPr>
            <w:tcW w:type="dxa" w:w="1278"/>
            <w:vAlign w:val="center"/>
          </w:tcPr>
          <w:p>
            <w:pPr>
              <w:jc w:val="center"/>
            </w:pPr>
            <w:r>
              <w:rPr>
                <w:sz w:val="14"/>
              </w:rPr>
              <w:t>1.6020</w:t>
            </w:r>
          </w:p>
        </w:tc>
        <w:tc>
          <w:tcPr>
            <w:tcW w:type="dxa" w:w="1278"/>
            <w:vAlign w:val="center"/>
          </w:tcPr>
          <w:p>
            <w:pPr>
              <w:jc w:val="center"/>
            </w:pPr>
            <w:r>
              <w:rPr>
                <w:sz w:val="14"/>
              </w:rPr>
              <w:t>0.9359</w:t>
            </w:r>
          </w:p>
        </w:tc>
        <w:tc>
          <w:tcPr>
            <w:tcW w:type="dxa" w:w="1278"/>
            <w:vAlign w:val="center"/>
          </w:tcPr>
          <w:p>
            <w:pPr>
              <w:jc w:val="center"/>
            </w:pPr>
            <w:r>
              <w:rPr>
                <w:sz w:val="14"/>
              </w:rPr>
              <w:t>0.6661</w:t>
            </w:r>
          </w:p>
        </w:tc>
        <w:tc>
          <w:tcPr>
            <w:tcW w:type="dxa" w:w="1278"/>
            <w:vAlign w:val="center"/>
          </w:tcPr>
          <w:p>
            <w:pPr>
              <w:jc w:val="center"/>
            </w:pPr>
            <w:r>
              <w:rPr>
                <w:sz w:val="14"/>
              </w:rPr>
              <w:t>1.2387</w:t>
            </w:r>
          </w:p>
        </w:tc>
        <w:tc>
          <w:tcPr>
            <w:tcW w:type="dxa" w:w="1278"/>
            <w:vAlign w:val="center"/>
          </w:tcPr>
          <w:p>
            <w:pPr>
              <w:jc w:val="center"/>
            </w:pPr>
            <w:r>
              <w:rPr>
                <w:sz w:val="14"/>
              </w:rPr>
              <w:t>53.3985</w:t>
            </w:r>
          </w:p>
        </w:tc>
      </w:tr>
      <w:tr>
        <w:tc>
          <w:tcPr>
            <w:tcW w:type="dxa" w:w="1278"/>
            <w:vAlign w:val="center"/>
          </w:tcPr>
          <w:p>
            <w:pPr>
              <w:jc w:val="center"/>
            </w:pPr>
            <w:r>
              <w:rPr>
                <w:sz w:val="14"/>
              </w:rPr>
              <w:t>Alto</w:t>
            </w:r>
          </w:p>
        </w:tc>
        <w:tc>
          <w:tcPr>
            <w:tcW w:type="dxa" w:w="1278"/>
            <w:vAlign w:val="center"/>
          </w:tcPr>
          <w:p>
            <w:pPr>
              <w:jc w:val="center"/>
            </w:pPr>
            <w:r>
              <w:rPr>
                <w:sz w:val="14"/>
              </w:rPr>
              <w:t>9.0000</w:t>
            </w:r>
          </w:p>
        </w:tc>
        <w:tc>
          <w:tcPr>
            <w:tcW w:type="dxa" w:w="1278"/>
            <w:vAlign w:val="center"/>
          </w:tcPr>
          <w:p>
            <w:pPr>
              <w:jc w:val="center"/>
            </w:pPr>
            <w:r>
              <w:rPr>
                <w:sz w:val="14"/>
              </w:rPr>
              <w:t>61.6556</w:t>
            </w:r>
          </w:p>
        </w:tc>
        <w:tc>
          <w:tcPr>
            <w:tcW w:type="dxa" w:w="1278"/>
            <w:vAlign w:val="center"/>
          </w:tcPr>
          <w:p>
            <w:pPr>
              <w:jc w:val="center"/>
            </w:pPr>
            <w:r>
              <w:rPr>
                <w:sz w:val="14"/>
              </w:rPr>
              <w:t>1.8571</w:t>
            </w:r>
          </w:p>
        </w:tc>
        <w:tc>
          <w:tcPr>
            <w:tcW w:type="dxa" w:w="1278"/>
            <w:vAlign w:val="center"/>
          </w:tcPr>
          <w:p>
            <w:pPr>
              <w:jc w:val="center"/>
            </w:pPr>
            <w:r>
              <w:rPr>
                <w:sz w:val="14"/>
              </w:rPr>
              <w:t>1.2570</w:t>
            </w:r>
          </w:p>
        </w:tc>
        <w:tc>
          <w:tcPr>
            <w:tcW w:type="dxa" w:w="1278"/>
            <w:vAlign w:val="center"/>
          </w:tcPr>
          <w:p>
            <w:pPr>
              <w:jc w:val="center"/>
            </w:pPr>
            <w:r>
              <w:rPr>
                <w:sz w:val="14"/>
              </w:rPr>
              <w:t>0.6001</w:t>
            </w:r>
          </w:p>
        </w:tc>
        <w:tc>
          <w:tcPr>
            <w:tcW w:type="dxa" w:w="1278"/>
            <w:vAlign w:val="center"/>
          </w:tcPr>
          <w:p>
            <w:pPr>
              <w:jc w:val="center"/>
            </w:pPr>
            <w:r>
              <w:rPr>
                <w:sz w:val="14"/>
              </w:rPr>
              <w:t>1.3535</w:t>
            </w:r>
          </w:p>
        </w:tc>
        <w:tc>
          <w:tcPr>
            <w:tcW w:type="dxa" w:w="1278"/>
            <w:vAlign w:val="center"/>
          </w:tcPr>
          <w:p>
            <w:pPr>
              <w:jc w:val="center"/>
            </w:pPr>
            <w:r>
              <w:rPr>
                <w:sz w:val="14"/>
              </w:rPr>
              <w:t>61.9048</w:t>
            </w:r>
          </w:p>
        </w:tc>
      </w:tr>
    </w:tbl>
    <w:p/>
    <w:p>
      <w:pPr>
        <w:pStyle w:val="Heading3"/>
      </w:pPr>
      <w:r>
        <w:t>Figura 14. Boxplot de Delta Pts/PJ por grupo económico</w:t>
      </w:r>
    </w:p>
    <w:p>
      <w:pPr>
        <w:jc w:val="center"/>
      </w:pPr>
      <w:r>
        <w:drawing>
          <wp:inline xmlns:a="http://schemas.openxmlformats.org/drawingml/2006/main" xmlns:pic="http://schemas.openxmlformats.org/drawingml/2006/picture">
            <wp:extent cx="5760720" cy="3810274"/>
            <wp:docPr id="14" name="Picture 14"/>
            <wp:cNvGraphicFramePr>
              <a:graphicFrameLocks noChangeAspect="1"/>
            </wp:cNvGraphicFramePr>
            <a:graphic>
              <a:graphicData uri="http://schemas.openxmlformats.org/drawingml/2006/picture">
                <pic:pic>
                  <pic:nvPicPr>
                    <pic:cNvPr id="0" name="09_boxplot_delta_grupo_economico.png"/>
                    <pic:cNvPicPr/>
                  </pic:nvPicPr>
                  <pic:blipFill>
                    <a:blip r:embed="rId22"/>
                    <a:stretch>
                      <a:fillRect/>
                    </a:stretch>
                  </pic:blipFill>
                  <pic:spPr>
                    <a:xfrm>
                      <a:off x="0" y="0"/>
                      <a:ext cx="5760720" cy="3810274"/>
                    </a:xfrm>
                    <a:prstGeom prst="rect"/>
                  </pic:spPr>
                </pic:pic>
              </a:graphicData>
            </a:graphic>
          </wp:inline>
        </w:drawing>
      </w:r>
    </w:p>
    <w:p>
      <w:pPr>
        <w:spacing w:after="160"/>
        <w:jc w:val="center"/>
      </w:pPr>
      <w:r>
        <w:rPr>
          <w:b/>
          <w:sz w:val="22"/>
        </w:rPr>
        <w:t>ANOVA compara medias entre grupos</w:t>
      </w:r>
    </w:p>
    <w:p>
      <w:pPr>
        <w:spacing w:after="140" w:line="259" w:lineRule="auto"/>
        <w:jc w:val="both"/>
      </w:pPr>
      <w:r>
        <w:t>El boxplot compara la distribución de la ventaja de localía entre equipos de bajo, medio y alto valor de plantilla. Visualmente las diferencias no son marcadas, lo que coincide con el resultado no significativo del ANOVA.</w:t>
      </w:r>
    </w:p>
    <w:p>
      <w:pPr>
        <w:pStyle w:val="Heading3"/>
      </w:pPr>
      <w:r>
        <w:t>Figura 15. Media de Delta Pts/PJ por grupo económico</w:t>
      </w:r>
    </w:p>
    <w:p>
      <w:pPr>
        <w:jc w:val="center"/>
      </w:pPr>
      <w:r>
        <w:drawing>
          <wp:inline xmlns:a="http://schemas.openxmlformats.org/drawingml/2006/main" xmlns:pic="http://schemas.openxmlformats.org/drawingml/2006/picture">
            <wp:extent cx="5760720" cy="3810274"/>
            <wp:docPr id="15" name="Picture 15"/>
            <wp:cNvGraphicFramePr>
              <a:graphicFrameLocks noChangeAspect="1"/>
            </wp:cNvGraphicFramePr>
            <a:graphic>
              <a:graphicData uri="http://schemas.openxmlformats.org/drawingml/2006/picture">
                <pic:pic>
                  <pic:nvPicPr>
                    <pic:cNvPr id="0" name="17_media_delta_por_grupo_economico.png"/>
                    <pic:cNvPicPr/>
                  </pic:nvPicPr>
                  <pic:blipFill>
                    <a:blip r:embed="rId23"/>
                    <a:stretch>
                      <a:fillRect/>
                    </a:stretch>
                  </pic:blipFill>
                  <pic:spPr>
                    <a:xfrm>
                      <a:off x="0" y="0"/>
                      <a:ext cx="5760720" cy="3810274"/>
                    </a:xfrm>
                    <a:prstGeom prst="rect"/>
                  </pic:spPr>
                </pic:pic>
              </a:graphicData>
            </a:graphic>
          </wp:inline>
        </w:drawing>
      </w:r>
    </w:p>
    <w:p>
      <w:pPr>
        <w:spacing w:after="160"/>
        <w:jc w:val="center"/>
      </w:pPr>
      <w:r>
        <w:rPr>
          <w:b/>
          <w:sz w:val="22"/>
        </w:rPr>
        <w:t>Media del grupo = suma de Delta Pts/PJ del grupo / cantidad de equipos del grupo</w:t>
      </w:r>
    </w:p>
    <w:p>
      <w:pPr>
        <w:spacing w:after="140" w:line="259" w:lineRule="auto"/>
        <w:jc w:val="both"/>
      </w:pPr>
      <w:r>
        <w:t>Este gráfico muestra la media de la ventaja de localía para cada grupo económico. Aunque hay pequeñas diferencias entre grupos, las pruebas estadísticas no mostraron evidencia suficiente para afirmar que esas diferencias sean significativas.</w:t>
      </w:r>
    </w:p>
    <w:p>
      <w:pPr>
        <w:pStyle w:val="Heading1"/>
      </w:pPr>
      <w:r>
        <w:t>13. Relación con los capítulos de la materia</w:t>
      </w:r>
    </w:p>
    <w:p>
      <w:pPr>
        <w:pStyle w:val="Heading3"/>
      </w:pPr>
      <w:r>
        <w:t>Relación entre el trabajo y los capítulos del programa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center"/>
            </w:pPr>
            <w:r>
              <w:rPr>
                <w:b/>
                <w:sz w:val="14"/>
              </w:rPr>
              <w:t>Capítulo</w:t>
            </w:r>
          </w:p>
        </w:tc>
        <w:tc>
          <w:tcPr>
            <w:tcW w:type="dxa" w:w="3408"/>
            <w:vAlign w:val="center"/>
          </w:tcPr>
          <w:p>
            <w:pPr>
              <w:jc w:val="center"/>
            </w:pPr>
            <w:r>
              <w:rPr>
                <w:b/>
                <w:sz w:val="14"/>
              </w:rPr>
              <w:t>Tema</w:t>
            </w:r>
          </w:p>
        </w:tc>
        <w:tc>
          <w:tcPr>
            <w:tcW w:type="dxa" w:w="3408"/>
            <w:vAlign w:val="center"/>
          </w:tcPr>
          <w:p>
            <w:pPr>
              <w:jc w:val="center"/>
            </w:pPr>
            <w:r>
              <w:rPr>
                <w:b/>
                <w:sz w:val="14"/>
              </w:rPr>
              <w:t>Aplicación en el trabajo</w:t>
            </w:r>
          </w:p>
        </w:tc>
      </w:tr>
      <w:tr>
        <w:tc>
          <w:tcPr>
            <w:tcW w:type="dxa" w:w="3408"/>
            <w:vAlign w:val="center"/>
          </w:tcPr>
          <w:p>
            <w:pPr>
              <w:jc w:val="center"/>
            </w:pPr>
            <w:r>
              <w:rPr>
                <w:sz w:val="14"/>
              </w:rPr>
              <w:t>Capítulo 1</w:t>
            </w:r>
          </w:p>
        </w:tc>
        <w:tc>
          <w:tcPr>
            <w:tcW w:type="dxa" w:w="3408"/>
            <w:vAlign w:val="center"/>
          </w:tcPr>
          <w:p>
            <w:pPr>
              <w:jc w:val="center"/>
            </w:pPr>
            <w:r>
              <w:rPr>
                <w:sz w:val="14"/>
              </w:rPr>
              <w:t>Media, varianza, desvío, Chebyshev, percentiles</w:t>
            </w:r>
          </w:p>
        </w:tc>
        <w:tc>
          <w:tcPr>
            <w:tcW w:type="dxa" w:w="3408"/>
            <w:vAlign w:val="center"/>
          </w:tcPr>
          <w:p>
            <w:pPr>
              <w:jc w:val="center"/>
            </w:pPr>
            <w:r>
              <w:rPr>
                <w:sz w:val="14"/>
              </w:rPr>
              <w:t>Resumen descriptivo de Delta Pts/PJ, boxplot, percentiles y Chebyshev.</w:t>
            </w:r>
          </w:p>
        </w:tc>
      </w:tr>
      <w:tr>
        <w:tc>
          <w:tcPr>
            <w:tcW w:type="dxa" w:w="3408"/>
            <w:vAlign w:val="center"/>
          </w:tcPr>
          <w:p>
            <w:pPr>
              <w:jc w:val="center"/>
            </w:pPr>
            <w:r>
              <w:rPr>
                <w:sz w:val="14"/>
              </w:rPr>
              <w:t>Capítulo 2</w:t>
            </w:r>
          </w:p>
        </w:tc>
        <w:tc>
          <w:tcPr>
            <w:tcW w:type="dxa" w:w="3408"/>
            <w:vAlign w:val="center"/>
          </w:tcPr>
          <w:p>
            <w:pPr>
              <w:jc w:val="center"/>
            </w:pPr>
            <w:r>
              <w:rPr>
                <w:sz w:val="14"/>
              </w:rPr>
              <w:t>Hipótesis, significancia, medias, intervalos</w:t>
            </w:r>
          </w:p>
        </w:tc>
        <w:tc>
          <w:tcPr>
            <w:tcW w:type="dxa" w:w="3408"/>
            <w:vAlign w:val="center"/>
          </w:tcPr>
          <w:p>
            <w:pPr>
              <w:jc w:val="center"/>
            </w:pPr>
            <w:r>
              <w:rPr>
                <w:sz w:val="14"/>
              </w:rPr>
              <w:t>IC 95% y prueba t pareada para puntos y goles.</w:t>
            </w:r>
          </w:p>
        </w:tc>
      </w:tr>
      <w:tr>
        <w:tc>
          <w:tcPr>
            <w:tcW w:type="dxa" w:w="3408"/>
            <w:vAlign w:val="center"/>
          </w:tcPr>
          <w:p>
            <w:pPr>
              <w:jc w:val="center"/>
            </w:pPr>
            <w:r>
              <w:rPr>
                <w:sz w:val="14"/>
              </w:rPr>
              <w:t>Capítulo 3</w:t>
            </w:r>
          </w:p>
        </w:tc>
        <w:tc>
          <w:tcPr>
            <w:tcW w:type="dxa" w:w="3408"/>
            <w:vAlign w:val="center"/>
          </w:tcPr>
          <w:p>
            <w:pPr>
              <w:jc w:val="center"/>
            </w:pPr>
            <w:r>
              <w:rPr>
                <w:sz w:val="14"/>
              </w:rPr>
              <w:t>Varianza, proporciones, tablas r x c, bondad de ajuste</w:t>
            </w:r>
          </w:p>
        </w:tc>
        <w:tc>
          <w:tcPr>
            <w:tcW w:type="dxa" w:w="3408"/>
            <w:vAlign w:val="center"/>
          </w:tcPr>
          <w:p>
            <w:pPr>
              <w:jc w:val="center"/>
            </w:pPr>
            <w:r>
              <w:rPr>
                <w:sz w:val="14"/>
              </w:rPr>
              <w:t>Prueba de varianza, binomial, chi-cuadrado y bondad de ajuste.</w:t>
            </w:r>
          </w:p>
        </w:tc>
      </w:tr>
      <w:tr>
        <w:tc>
          <w:tcPr>
            <w:tcW w:type="dxa" w:w="3408"/>
            <w:vAlign w:val="center"/>
          </w:tcPr>
          <w:p>
            <w:pPr>
              <w:jc w:val="center"/>
            </w:pPr>
            <w:r>
              <w:rPr>
                <w:sz w:val="14"/>
              </w:rPr>
              <w:t>Capítulo 4</w:t>
            </w:r>
          </w:p>
        </w:tc>
        <w:tc>
          <w:tcPr>
            <w:tcW w:type="dxa" w:w="3408"/>
            <w:vAlign w:val="center"/>
          </w:tcPr>
          <w:p>
            <w:pPr>
              <w:jc w:val="center"/>
            </w:pPr>
            <w:r>
              <w:rPr>
                <w:sz w:val="14"/>
              </w:rPr>
              <w:t>No paramétricas, signo, Wilcoxon, Kruskal-Wallis, KS</w:t>
            </w:r>
          </w:p>
        </w:tc>
        <w:tc>
          <w:tcPr>
            <w:tcW w:type="dxa" w:w="3408"/>
            <w:vAlign w:val="center"/>
          </w:tcPr>
          <w:p>
            <w:pPr>
              <w:jc w:val="center"/>
            </w:pPr>
            <w:r>
              <w:rPr>
                <w:sz w:val="14"/>
              </w:rPr>
              <w:t>Prueba del signo, Wilcoxon, Kruskal-Wallis y Kolmogorov-Smirnov.</w:t>
            </w:r>
          </w:p>
        </w:tc>
      </w:tr>
      <w:tr>
        <w:tc>
          <w:tcPr>
            <w:tcW w:type="dxa" w:w="3408"/>
            <w:vAlign w:val="center"/>
          </w:tcPr>
          <w:p>
            <w:pPr>
              <w:jc w:val="center"/>
            </w:pPr>
            <w:r>
              <w:rPr>
                <w:sz w:val="14"/>
              </w:rPr>
              <w:t>Capítulo 5</w:t>
            </w:r>
          </w:p>
        </w:tc>
        <w:tc>
          <w:tcPr>
            <w:tcW w:type="dxa" w:w="3408"/>
            <w:vAlign w:val="center"/>
          </w:tcPr>
          <w:p>
            <w:pPr>
              <w:jc w:val="center"/>
            </w:pPr>
            <w:r>
              <w:rPr>
                <w:sz w:val="14"/>
              </w:rPr>
              <w:t>Regresión simple, mínimos cuadrados, residuos, curvilínea</w:t>
            </w:r>
          </w:p>
        </w:tc>
        <w:tc>
          <w:tcPr>
            <w:tcW w:type="dxa" w:w="3408"/>
            <w:vAlign w:val="center"/>
          </w:tcPr>
          <w:p>
            <w:pPr>
              <w:jc w:val="center"/>
            </w:pPr>
            <w:r>
              <w:rPr>
                <w:sz w:val="14"/>
              </w:rPr>
              <w:t>Valor de plantilla vs puntos locales, residuos y ajuste polinómico.</w:t>
            </w:r>
          </w:p>
        </w:tc>
      </w:tr>
      <w:tr>
        <w:tc>
          <w:tcPr>
            <w:tcW w:type="dxa" w:w="3408"/>
            <w:vAlign w:val="center"/>
          </w:tcPr>
          <w:p>
            <w:pPr>
              <w:jc w:val="center"/>
            </w:pPr>
            <w:r>
              <w:rPr>
                <w:sz w:val="14"/>
              </w:rPr>
              <w:t>Capítulo 6</w:t>
            </w:r>
          </w:p>
        </w:tc>
        <w:tc>
          <w:tcPr>
            <w:tcW w:type="dxa" w:w="3408"/>
            <w:vAlign w:val="center"/>
          </w:tcPr>
          <w:p>
            <w:pPr>
              <w:jc w:val="center"/>
            </w:pPr>
            <w:r>
              <w:rPr>
                <w:sz w:val="14"/>
              </w:rPr>
              <w:t>ANOVA y comparación de grupos</w:t>
            </w:r>
          </w:p>
        </w:tc>
        <w:tc>
          <w:tcPr>
            <w:tcW w:type="dxa" w:w="3408"/>
            <w:vAlign w:val="center"/>
          </w:tcPr>
          <w:p>
            <w:pPr>
              <w:jc w:val="center"/>
            </w:pPr>
            <w:r>
              <w:rPr>
                <w:sz w:val="14"/>
              </w:rPr>
              <w:t>Comparación de Delta Pts/PJ entre grupos económicos bajo, medio y alto.</w:t>
            </w:r>
          </w:p>
        </w:tc>
      </w:tr>
      <w:tr>
        <w:tc>
          <w:tcPr>
            <w:tcW w:type="dxa" w:w="3408"/>
            <w:vAlign w:val="center"/>
          </w:tcPr>
          <w:p>
            <w:pPr>
              <w:jc w:val="center"/>
            </w:pPr>
            <w:r>
              <w:rPr>
                <w:sz w:val="14"/>
              </w:rPr>
              <w:t>Capítulo 7</w:t>
            </w:r>
          </w:p>
        </w:tc>
        <w:tc>
          <w:tcPr>
            <w:tcW w:type="dxa" w:w="3408"/>
            <w:vAlign w:val="center"/>
          </w:tcPr>
          <w:p>
            <w:pPr>
              <w:jc w:val="center"/>
            </w:pPr>
            <w:r>
              <w:rPr>
                <w:sz w:val="14"/>
              </w:rPr>
              <w:t>Procesos estocásticos y estacionariedad</w:t>
            </w:r>
          </w:p>
        </w:tc>
        <w:tc>
          <w:tcPr>
            <w:tcW w:type="dxa" w:w="3408"/>
            <w:vAlign w:val="center"/>
          </w:tcPr>
          <w:p>
            <w:pPr>
              <w:jc w:val="center"/>
            </w:pPr>
            <w:r>
              <w:rPr>
                <w:sz w:val="14"/>
              </w:rPr>
              <w:t>Se plantea como extensión futura usando varias temporadas como serie temporal.</w:t>
            </w:r>
          </w:p>
        </w:tc>
      </w:tr>
    </w:tbl>
    <w:p/>
    <w:p>
      <w:pPr>
        <w:spacing w:after="140" w:line="259" w:lineRule="auto"/>
        <w:jc w:val="both"/>
      </w:pPr>
      <w:r>
        <w:t>El Capítulo 7 no se desarrolla como análisis central porque el dataset corresponde a una sola temporada. Para aplicar procesos estocásticos y estacionariedad de manera más sólida sería necesario trabajar con varias temporadas y construir una serie temporal de la ventaja de localía.</w:t>
      </w:r>
    </w:p>
    <w:p>
      <w:pPr>
        <w:pStyle w:val="Heading1"/>
      </w:pPr>
      <w:r>
        <w:t>14. Conclusiones</w:t>
      </w:r>
    </w:p>
    <w:p>
      <w:pPr>
        <w:spacing w:after="140" w:line="259" w:lineRule="auto"/>
        <w:jc w:val="both"/>
      </w:pPr>
      <w:r>
        <w:t>El análisis realizado permite concluir que existe una ventaja de localía significativa en la Liga Profesional Argentina 2023. Los equipos obtuvieron más puntos por partido, más goles por partido y mayor proporción de victorias cuando jugaron como locales.</w:t>
      </w:r>
    </w:p>
    <w:p>
      <w:pPr>
        <w:spacing w:after="140" w:line="259" w:lineRule="auto"/>
        <w:jc w:val="both"/>
      </w:pPr>
      <w:r>
        <w:t>Las pruebas estadísticas respaldan esta conclusión. El intervalo de confianza para la diferencia media de puntos por partido fue positivo; la prueba t pareada rechazó la hipótesis nula de igualdad de medias; Wilcoxon confirmó el resultado sin depender de normalidad estricta; la prueba del signo mostró mayoría de diferencias positivas; la binomial evidenció más victorias locales que visitantes; y chi-cuadrado mostró asociación entre condición de localía y resultado del partido.</w:t>
      </w:r>
    </w:p>
    <w:p>
      <w:pPr>
        <w:spacing w:after="140" w:line="259" w:lineRule="auto"/>
        <w:jc w:val="both"/>
      </w:pPr>
      <w:r>
        <w:t>Respecto del análisis económico, el valor de plantilla se relacionó positivamente con el rendimiento local absoluto, pero no con la ventaja de localía diferencial. Por lo tanto, los equipos más caros tienden a rendir mejor, pero no necesariamente aprovechan más la localía en términos relativos.</w:t>
      </w:r>
    </w:p>
    <w:p>
      <w:pPr>
        <w:pStyle w:val="Heading1"/>
      </w:pPr>
      <w:r>
        <w:t>15. Limitaciones y futuras líneas de análisis</w:t>
      </w:r>
    </w:p>
    <w:p>
      <w:pPr>
        <w:spacing w:after="140" w:line="259" w:lineRule="auto"/>
        <w:jc w:val="both"/>
      </w:pPr>
      <w:r>
        <w:t>Una limitación del trabajo es que se analiza una sola temporada. Para obtener conclusiones más generales sería conveniente incorporar más años de competencia. También podrían agregarse variables como asistencia al estadio, distancia recorrida por los equipos visitantes, capacidad del estadio, altura geográfica o importancia del partido.</w:t>
      </w:r>
    </w:p>
    <w:p>
      <w:pPr>
        <w:spacing w:after="140" w:line="259" w:lineRule="auto"/>
        <w:jc w:val="both"/>
      </w:pPr>
      <w:r>
        <w:t>Como extensión relacionada con procesos estocásticos, podría estudiarse la evolución de la ventaja de localía a lo largo de varias temporadas y analizar si el fenómeno es estacionario o si cambia con el tiempo.</w:t>
      </w:r>
    </w:p>
    <w:p>
      <w:pPr>
        <w:pStyle w:val="Heading1"/>
      </w:pPr>
      <w:r>
        <w:t>16. Anexos gráficos</w:t>
      </w:r>
    </w:p>
    <w:p>
      <w:pPr>
        <w:pStyle w:val="Heading3"/>
      </w:pPr>
      <w:r>
        <w:t>Anexo 1. Dispersión local vs visitante</w:t>
      </w:r>
    </w:p>
    <w:p>
      <w:pPr>
        <w:jc w:val="center"/>
      </w:pPr>
      <w:r>
        <w:drawing>
          <wp:inline xmlns:a="http://schemas.openxmlformats.org/drawingml/2006/main" xmlns:pic="http://schemas.openxmlformats.org/drawingml/2006/picture">
            <wp:extent cx="5760720" cy="5750997"/>
            <wp:docPr id="16" name="Picture 16"/>
            <wp:cNvGraphicFramePr>
              <a:graphicFrameLocks noChangeAspect="1"/>
            </wp:cNvGraphicFramePr>
            <a:graphic>
              <a:graphicData uri="http://schemas.openxmlformats.org/drawingml/2006/picture">
                <pic:pic>
                  <pic:nvPicPr>
                    <pic:cNvPr id="0" name="04_dispersion_local_visitante.png"/>
                    <pic:cNvPicPr/>
                  </pic:nvPicPr>
                  <pic:blipFill>
                    <a:blip r:embed="rId24"/>
                    <a:stretch>
                      <a:fillRect/>
                    </a:stretch>
                  </pic:blipFill>
                  <pic:spPr>
                    <a:xfrm>
                      <a:off x="0" y="0"/>
                      <a:ext cx="5760720" cy="5750997"/>
                    </a:xfrm>
                    <a:prstGeom prst="rect"/>
                  </pic:spPr>
                </pic:pic>
              </a:graphicData>
            </a:graphic>
          </wp:inline>
        </w:drawing>
      </w:r>
    </w:p>
    <w:p>
      <w:pPr>
        <w:spacing w:after="160"/>
        <w:jc w:val="center"/>
      </w:pPr>
      <w:r>
        <w:rPr>
          <w:b/>
          <w:sz w:val="22"/>
        </w:rPr>
        <w:t>Cada punto representa un equipo</w:t>
      </w:r>
    </w:p>
    <w:p>
      <w:pPr>
        <w:spacing w:after="140" w:line="259" w:lineRule="auto"/>
        <w:jc w:val="both"/>
      </w:pPr>
      <w:r>
        <w:t>La dispersión permite comparar visualmente el rendimiento local y visitante de cada equipo. Los puntos por encima de la diagonal representan equipos con mejor rendimiento local.</w:t>
      </w:r>
    </w:p>
    <w:p>
      <w:pPr>
        <w:pStyle w:val="Heading3"/>
      </w:pPr>
      <w:r>
        <w:t>Anexo 2. Goles local vs visitante</w:t>
      </w:r>
    </w:p>
    <w:p>
      <w:pPr>
        <w:jc w:val="center"/>
      </w:pPr>
      <w:r>
        <w:drawing>
          <wp:inline xmlns:a="http://schemas.openxmlformats.org/drawingml/2006/main" xmlns:pic="http://schemas.openxmlformats.org/drawingml/2006/picture">
            <wp:extent cx="5760720" cy="2438290"/>
            <wp:docPr id="17" name="Picture 17"/>
            <wp:cNvGraphicFramePr>
              <a:graphicFrameLocks noChangeAspect="1"/>
            </wp:cNvGraphicFramePr>
            <a:graphic>
              <a:graphicData uri="http://schemas.openxmlformats.org/drawingml/2006/picture">
                <pic:pic>
                  <pic:nvPicPr>
                    <pic:cNvPr id="0" name="05_goles_local_visitante.png"/>
                    <pic:cNvPicPr/>
                  </pic:nvPicPr>
                  <pic:blipFill>
                    <a:blip r:embed="rId25"/>
                    <a:stretch>
                      <a:fillRect/>
                    </a:stretch>
                  </pic:blipFill>
                  <pic:spPr>
                    <a:xfrm>
                      <a:off x="0" y="0"/>
                      <a:ext cx="5760720" cy="2438290"/>
                    </a:xfrm>
                    <a:prstGeom prst="rect"/>
                  </pic:spPr>
                </pic:pic>
              </a:graphicData>
            </a:graphic>
          </wp:inline>
        </w:drawing>
      </w:r>
    </w:p>
    <w:p>
      <w:pPr>
        <w:spacing w:after="160"/>
        <w:jc w:val="center"/>
      </w:pPr>
      <w:r>
        <w:rPr>
          <w:b/>
          <w:sz w:val="22"/>
        </w:rPr>
        <w:t>GF/PJ = goles a favor / partidos jugados</w:t>
      </w:r>
    </w:p>
    <w:p>
      <w:pPr>
        <w:spacing w:after="140" w:line="259" w:lineRule="auto"/>
        <w:jc w:val="both"/>
      </w:pPr>
      <w:r>
        <w:t>Este gráfico compara la producción ofensiva como local y visitante. Sirve para complementar el análisis de puntos con una variable deportiva distinta.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