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0A1B" w14:textId="52F9D96B" w:rsidR="00780F07" w:rsidRDefault="00703E5E" w:rsidP="00703E5E">
      <w:pPr>
        <w:keepNext/>
        <w:spacing w:after="60"/>
        <w:rPr>
          <w:rFonts w:ascii="Aptos Display" w:hAnsi="Aptos Display"/>
          <w:b/>
          <w:color w:val="111827"/>
          <w:sz w:val="44"/>
        </w:rPr>
      </w:pPr>
      <w:r>
        <w:rPr>
          <w:rFonts w:ascii="Aptos Display" w:hAnsi="Aptos Display"/>
          <w:b/>
          <w:color w:val="111827"/>
          <w:sz w:val="44"/>
        </w:rPr>
        <w:t>Dicionário da classificação logística</w:t>
      </w:r>
    </w:p>
    <w:p w14:paraId="42363FE8" w14:textId="363E8CCF" w:rsidR="00703E5E" w:rsidRDefault="00703E5E" w:rsidP="00703E5E">
      <w:pPr>
        <w:keepNext/>
        <w:spacing w:after="40"/>
        <w:rPr>
          <w:color w:val="1F4E78"/>
          <w:sz w:val="24"/>
        </w:rPr>
      </w:pPr>
      <w:r>
        <w:rPr>
          <w:color w:val="1F4E78"/>
          <w:sz w:val="24"/>
        </w:rPr>
        <w:t>Add-on Vínculo de frete x venda</w:t>
      </w:r>
    </w:p>
    <w:p w14:paraId="36455828" w14:textId="1D53D8D7" w:rsidR="00703E5E" w:rsidRDefault="00703E5E" w:rsidP="00703E5E">
      <w:pPr>
        <w:spacing w:after="300"/>
        <w:rPr>
          <w:color w:val="6B7280"/>
          <w:sz w:val="19"/>
        </w:rPr>
      </w:pPr>
      <w:r>
        <w:rPr>
          <w:color w:val="6B7280"/>
          <w:sz w:val="19"/>
        </w:rPr>
        <w:t>Referência técnica e funcional da estrutura criada na versão 1.0.39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551"/>
        <w:gridCol w:w="6860"/>
      </w:tblGrid>
      <w:tr w:rsidR="00703E5E" w14:paraId="2788EA83" w14:textId="77777777" w:rsidTr="00703E5E">
        <w:trPr>
          <w:cantSplit/>
          <w:tblHeader/>
        </w:trPr>
        <w:tc>
          <w:tcPr>
            <w:tcW w:w="2551" w:type="dxa"/>
            <w:shd w:val="clear" w:color="auto" w:fill="1F4E78"/>
            <w:vAlign w:val="center"/>
          </w:tcPr>
          <w:p w14:paraId="45AF2962" w14:textId="1F8EFE46" w:rsidR="00703E5E" w:rsidRPr="00703E5E" w:rsidRDefault="00703E5E" w:rsidP="00703E5E">
            <w:pPr>
              <w:spacing w:after="3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860" w:type="dxa"/>
            <w:shd w:val="clear" w:color="auto" w:fill="1F4E78"/>
            <w:vAlign w:val="center"/>
          </w:tcPr>
          <w:p w14:paraId="6BD362F9" w14:textId="4BBD8D62" w:rsidR="00703E5E" w:rsidRPr="00703E5E" w:rsidRDefault="00703E5E" w:rsidP="00703E5E">
            <w:pPr>
              <w:spacing w:after="3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Correspondência</w:t>
            </w:r>
          </w:p>
        </w:tc>
      </w:tr>
      <w:tr w:rsidR="00703E5E" w14:paraId="5026A263" w14:textId="77777777" w:rsidTr="00703E5E">
        <w:trPr>
          <w:cantSplit/>
        </w:trPr>
        <w:tc>
          <w:tcPr>
            <w:tcW w:w="2551" w:type="dxa"/>
            <w:shd w:val="clear" w:color="auto" w:fill="F4F7FA"/>
            <w:vAlign w:val="center"/>
          </w:tcPr>
          <w:p w14:paraId="4A996766" w14:textId="41E5CD28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Versão documentada</w:t>
            </w:r>
          </w:p>
        </w:tc>
        <w:tc>
          <w:tcPr>
            <w:tcW w:w="6860" w:type="dxa"/>
            <w:shd w:val="clear" w:color="auto" w:fill="F4F7FA"/>
            <w:vAlign w:val="center"/>
          </w:tcPr>
          <w:p w14:paraId="7A209CA7" w14:textId="27FC483B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1.0.39</w:t>
            </w:r>
          </w:p>
        </w:tc>
      </w:tr>
      <w:tr w:rsidR="00703E5E" w14:paraId="1D2B6F64" w14:textId="77777777" w:rsidTr="00703E5E">
        <w:trPr>
          <w:cantSplit/>
        </w:trPr>
        <w:tc>
          <w:tcPr>
            <w:tcW w:w="2551" w:type="dxa"/>
            <w:vAlign w:val="center"/>
          </w:tcPr>
          <w:p w14:paraId="75308335" w14:textId="146BCAF7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Data de referência</w:t>
            </w:r>
          </w:p>
        </w:tc>
        <w:tc>
          <w:tcPr>
            <w:tcW w:w="6860" w:type="dxa"/>
            <w:vAlign w:val="center"/>
          </w:tcPr>
          <w:p w14:paraId="612680E3" w14:textId="06561CCE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15/09/2026</w:t>
            </w:r>
          </w:p>
        </w:tc>
      </w:tr>
      <w:tr w:rsidR="00703E5E" w14:paraId="1BF4715B" w14:textId="77777777" w:rsidTr="00703E5E">
        <w:trPr>
          <w:cantSplit/>
        </w:trPr>
        <w:tc>
          <w:tcPr>
            <w:tcW w:w="2551" w:type="dxa"/>
            <w:shd w:val="clear" w:color="auto" w:fill="F4F7FA"/>
            <w:vAlign w:val="center"/>
          </w:tcPr>
          <w:p w14:paraId="265D0A86" w14:textId="309BD1B8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Objeto principal</w:t>
            </w:r>
          </w:p>
        </w:tc>
        <w:tc>
          <w:tcPr>
            <w:tcW w:w="6860" w:type="dxa"/>
            <w:shd w:val="clear" w:color="auto" w:fill="F4F7FA"/>
            <w:vAlign w:val="center"/>
          </w:tcPr>
          <w:p w14:paraId="5A697D30" w14:textId="64C9533D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SANKHYA.TFV_CLASSIFICACAO_LOGISTICA</w:t>
            </w:r>
          </w:p>
        </w:tc>
      </w:tr>
      <w:tr w:rsidR="00703E5E" w14:paraId="06AFC115" w14:textId="77777777" w:rsidTr="00703E5E">
        <w:trPr>
          <w:cantSplit/>
        </w:trPr>
        <w:tc>
          <w:tcPr>
            <w:tcW w:w="2551" w:type="dxa"/>
            <w:vAlign w:val="center"/>
          </w:tcPr>
          <w:p w14:paraId="0BAD7E83" w14:textId="1A8B2B5F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Finalidade</w:t>
            </w:r>
          </w:p>
        </w:tc>
        <w:tc>
          <w:tcPr>
            <w:tcW w:w="6860" w:type="dxa"/>
            <w:vAlign w:val="center"/>
          </w:tcPr>
          <w:p w14:paraId="19DB21E3" w14:textId="680B97AD" w:rsidR="00703E5E" w:rsidRPr="00703E5E" w:rsidRDefault="00703E5E" w:rsidP="00703E5E">
            <w:pPr>
              <w:spacing w:after="3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Classificar individualmente cada nota de venda quanto ao tipo de carregamento</w:t>
            </w:r>
          </w:p>
        </w:tc>
      </w:tr>
    </w:tbl>
    <w:p w14:paraId="3C6F081C" w14:textId="77777777" w:rsidR="00703E5E" w:rsidRDefault="00703E5E" w:rsidP="00703E5E">
      <w:pPr>
        <w:spacing w:after="80"/>
        <w:rPr>
          <w:color w:val="6B7280"/>
          <w:sz w:val="19"/>
        </w:rPr>
      </w:pPr>
    </w:p>
    <w:p w14:paraId="272395D6" w14:textId="1B380611" w:rsidR="00703E5E" w:rsidRDefault="00703E5E" w:rsidP="00703E5E">
      <w:pPr>
        <w:keepNext/>
        <w:spacing w:before="20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Visão geral</w:t>
      </w:r>
    </w:p>
    <w:p w14:paraId="685D725F" w14:textId="7A9D563D" w:rsidR="00703E5E" w:rsidRDefault="00703E5E" w:rsidP="00703E5E">
      <w:pPr>
        <w:rPr>
          <w:color w:val="222222"/>
        </w:rPr>
      </w:pPr>
      <w:r>
        <w:rPr>
          <w:color w:val="222222"/>
        </w:rPr>
        <w:t>A nova estrutura registra, por Número Único da nota de venda, se a mercadoria seguiu movimentação normal ou foi carregada diretamente na indústria. No projeto, a “biblioteca” mencionada corresponde tecnicamente a uma nova entidade de dados, formada pela tabela Oracle, pelo metadado do add-on e pelos serviços que a consultam e atualizam.</w:t>
      </w:r>
    </w:p>
    <w:p w14:paraId="4FE1056F" w14:textId="069A4C32" w:rsidR="00703E5E" w:rsidRDefault="00703E5E" w:rsidP="00703E5E">
      <w:pPr>
        <w:spacing w:after="200"/>
        <w:rPr>
          <w:b/>
          <w:color w:val="1F4E78"/>
        </w:rPr>
      </w:pPr>
      <w:r>
        <w:rPr>
          <w:b/>
          <w:color w:val="1F4E78"/>
        </w:rPr>
        <w:t>A classificação é independente do vínculo de frete. Ela não zera frete ou CT-e, não remove vínculos e não altera o cálculo do rateio.</w:t>
      </w:r>
    </w:p>
    <w:p w14:paraId="3C6D907C" w14:textId="524CC40E" w:rsidR="00703E5E" w:rsidRDefault="00703E5E" w:rsidP="00703E5E">
      <w:pPr>
        <w:keepNext/>
        <w:spacing w:before="16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lastRenderedPageBreak/>
        <w:t>Estrutura criada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928"/>
        <w:gridCol w:w="3118"/>
        <w:gridCol w:w="4365"/>
      </w:tblGrid>
      <w:tr w:rsidR="00703E5E" w14:paraId="022D6E53" w14:textId="77777777" w:rsidTr="00703E5E">
        <w:trPr>
          <w:cantSplit/>
          <w:tblHeader/>
        </w:trPr>
        <w:tc>
          <w:tcPr>
            <w:tcW w:w="1928" w:type="dxa"/>
            <w:shd w:val="clear" w:color="auto" w:fill="1F4E78"/>
            <w:vAlign w:val="center"/>
          </w:tcPr>
          <w:p w14:paraId="4CF0E712" w14:textId="2E982159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50DD7EB8" w14:textId="1D441F63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Nome técnico</w:t>
            </w:r>
          </w:p>
        </w:tc>
        <w:tc>
          <w:tcPr>
            <w:tcW w:w="4365" w:type="dxa"/>
            <w:shd w:val="clear" w:color="auto" w:fill="1F4E78"/>
            <w:vAlign w:val="center"/>
          </w:tcPr>
          <w:p w14:paraId="5C53493C" w14:textId="5974DA73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O que corresponde</w:t>
            </w:r>
          </w:p>
        </w:tc>
      </w:tr>
      <w:tr w:rsidR="00703E5E" w14:paraId="753B8839" w14:textId="77777777" w:rsidTr="00703E5E">
        <w:trPr>
          <w:cantSplit/>
        </w:trPr>
        <w:tc>
          <w:tcPr>
            <w:tcW w:w="1928" w:type="dxa"/>
            <w:shd w:val="clear" w:color="auto" w:fill="F4F7FA"/>
            <w:vAlign w:val="center"/>
          </w:tcPr>
          <w:p w14:paraId="23EE0C5E" w14:textId="72ED648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Tabela Oracle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7E5D3E0D" w14:textId="1836D827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TFV_CLASSIFICACAO_LOGISTICA</w:t>
            </w:r>
          </w:p>
        </w:tc>
        <w:tc>
          <w:tcPr>
            <w:tcW w:w="4365" w:type="dxa"/>
            <w:shd w:val="clear" w:color="auto" w:fill="F4F7FA"/>
            <w:vAlign w:val="center"/>
          </w:tcPr>
          <w:p w14:paraId="5A2269A3" w14:textId="0B0F17BA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Armazena uma única classificação logística por nota de venda.</w:t>
            </w:r>
          </w:p>
        </w:tc>
      </w:tr>
      <w:tr w:rsidR="00703E5E" w14:paraId="2FDA4EA7" w14:textId="77777777" w:rsidTr="00703E5E">
        <w:trPr>
          <w:cantSplit/>
        </w:trPr>
        <w:tc>
          <w:tcPr>
            <w:tcW w:w="1928" w:type="dxa"/>
            <w:vAlign w:val="center"/>
          </w:tcPr>
          <w:p w14:paraId="07E5F623" w14:textId="5D0DFFF4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Entidade do add-on</w:t>
            </w:r>
          </w:p>
        </w:tc>
        <w:tc>
          <w:tcPr>
            <w:tcW w:w="3118" w:type="dxa"/>
            <w:vAlign w:val="center"/>
          </w:tcPr>
          <w:p w14:paraId="1C2040E8" w14:textId="7D21151E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TFV_CLASSIFICACAO_LOGISTICA</w:t>
            </w:r>
          </w:p>
        </w:tc>
        <w:tc>
          <w:tcPr>
            <w:tcW w:w="4365" w:type="dxa"/>
            <w:vAlign w:val="center"/>
          </w:tcPr>
          <w:p w14:paraId="1C66D3DC" w14:textId="79342C2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Permite leitura pelo serviço de dados do Sankhya.</w:t>
            </w:r>
          </w:p>
        </w:tc>
      </w:tr>
      <w:tr w:rsidR="00703E5E" w14:paraId="4D0E8D85" w14:textId="77777777" w:rsidTr="00703E5E">
        <w:trPr>
          <w:cantSplit/>
        </w:trPr>
        <w:tc>
          <w:tcPr>
            <w:tcW w:w="1928" w:type="dxa"/>
            <w:shd w:val="clear" w:color="auto" w:fill="F4F7FA"/>
            <w:vAlign w:val="center"/>
          </w:tcPr>
          <w:p w14:paraId="65082B31" w14:textId="618F224B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Chave primária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056DDE6E" w14:textId="4B238BC2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PK_TFV_CLASSIFICACAO_LOGISTICA</w:t>
            </w:r>
          </w:p>
        </w:tc>
        <w:tc>
          <w:tcPr>
            <w:tcW w:w="4365" w:type="dxa"/>
            <w:shd w:val="clear" w:color="auto" w:fill="F4F7FA"/>
            <w:vAlign w:val="center"/>
          </w:tcPr>
          <w:p w14:paraId="62FADD74" w14:textId="2DB57CA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Garante no máximo um registro para cada NUNOTA.</w:t>
            </w:r>
          </w:p>
        </w:tc>
      </w:tr>
      <w:tr w:rsidR="00703E5E" w14:paraId="792FC4AE" w14:textId="77777777" w:rsidTr="00703E5E">
        <w:trPr>
          <w:cantSplit/>
        </w:trPr>
        <w:tc>
          <w:tcPr>
            <w:tcW w:w="1928" w:type="dxa"/>
            <w:vAlign w:val="center"/>
          </w:tcPr>
          <w:p w14:paraId="4258141D" w14:textId="267AD63A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Validação</w:t>
            </w:r>
          </w:p>
        </w:tc>
        <w:tc>
          <w:tcPr>
            <w:tcW w:w="3118" w:type="dxa"/>
            <w:vAlign w:val="center"/>
          </w:tcPr>
          <w:p w14:paraId="48086C7C" w14:textId="51792937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CK_TFV_CLASS_LOG_TIPO</w:t>
            </w:r>
          </w:p>
        </w:tc>
        <w:tc>
          <w:tcPr>
            <w:tcW w:w="4365" w:type="dxa"/>
            <w:vAlign w:val="center"/>
          </w:tcPr>
          <w:p w14:paraId="0636A39F" w14:textId="302EFB06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Aceita somente os códigos N ou I.</w:t>
            </w:r>
          </w:p>
        </w:tc>
      </w:tr>
      <w:tr w:rsidR="00703E5E" w14:paraId="1E01833C" w14:textId="77777777" w:rsidTr="00703E5E">
        <w:trPr>
          <w:cantSplit/>
        </w:trPr>
        <w:tc>
          <w:tcPr>
            <w:tcW w:w="1928" w:type="dxa"/>
            <w:shd w:val="clear" w:color="auto" w:fill="F4F7FA"/>
            <w:vAlign w:val="center"/>
          </w:tcPr>
          <w:p w14:paraId="389930B6" w14:textId="1560D911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DDL manual</w:t>
            </w:r>
          </w:p>
        </w:tc>
        <w:tc>
          <w:tcPr>
            <w:tcW w:w="3118" w:type="dxa"/>
            <w:shd w:val="clear" w:color="auto" w:fill="F4F7FA"/>
            <w:vAlign w:val="center"/>
          </w:tcPr>
          <w:p w14:paraId="67EE865D" w14:textId="3F742A62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001_TFV_CLASSIFICACAO_LOGISTICA.sql</w:t>
            </w:r>
          </w:p>
        </w:tc>
        <w:tc>
          <w:tcPr>
            <w:tcW w:w="4365" w:type="dxa"/>
            <w:shd w:val="clear" w:color="auto" w:fill="F4F7FA"/>
            <w:vAlign w:val="center"/>
          </w:tcPr>
          <w:p w14:paraId="44A58C3B" w14:textId="668AB6D5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Documenta a criação da tabela e suas restrições.</w:t>
            </w:r>
          </w:p>
        </w:tc>
      </w:tr>
      <w:tr w:rsidR="00703E5E" w14:paraId="22FF1367" w14:textId="77777777" w:rsidTr="00703E5E">
        <w:trPr>
          <w:cantSplit/>
        </w:trPr>
        <w:tc>
          <w:tcPr>
            <w:tcW w:w="1928" w:type="dxa"/>
            <w:vAlign w:val="center"/>
          </w:tcPr>
          <w:p w14:paraId="3B14596F" w14:textId="7295034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Metadado</w:t>
            </w:r>
          </w:p>
        </w:tc>
        <w:tc>
          <w:tcPr>
            <w:tcW w:w="3118" w:type="dxa"/>
            <w:vAlign w:val="center"/>
          </w:tcPr>
          <w:p w14:paraId="16B7B97D" w14:textId="59ABF5AA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TFV_CLASSIFICACAO_LOGISTICA.xml</w:t>
            </w:r>
          </w:p>
        </w:tc>
        <w:tc>
          <w:tcPr>
            <w:tcW w:w="4365" w:type="dxa"/>
            <w:vAlign w:val="center"/>
          </w:tcPr>
          <w:p w14:paraId="2153B2CC" w14:textId="34FC5532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Declara a tabela, os campos e as opções no pacote do add-on.</w:t>
            </w:r>
          </w:p>
        </w:tc>
      </w:tr>
    </w:tbl>
    <w:p w14:paraId="305B8E90" w14:textId="77777777" w:rsidR="00703E5E" w:rsidRDefault="00703E5E" w:rsidP="00703E5E">
      <w:pPr>
        <w:keepNext/>
        <w:spacing w:before="160" w:after="80"/>
        <w:rPr>
          <w:rFonts w:ascii="Aptos Display" w:hAnsi="Aptos Display"/>
          <w:b/>
          <w:color w:val="111827"/>
          <w:sz w:val="30"/>
        </w:rPr>
      </w:pPr>
    </w:p>
    <w:p w14:paraId="47C23D21" w14:textId="01AFEC37" w:rsidR="00703E5E" w:rsidRDefault="00703E5E" w:rsidP="00703E5E">
      <w:pPr>
        <w:keepNext/>
        <w:spacing w:before="16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Campos e correspondências</w:t>
      </w:r>
    </w:p>
    <w:tbl>
      <w:tblPr>
        <w:tblW w:w="9411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551"/>
        <w:gridCol w:w="1587"/>
        <w:gridCol w:w="1361"/>
        <w:gridCol w:w="3912"/>
      </w:tblGrid>
      <w:tr w:rsidR="00703E5E" w14:paraId="010EFE71" w14:textId="77777777" w:rsidTr="00703E5E">
        <w:trPr>
          <w:cantSplit/>
          <w:tblHeader/>
        </w:trPr>
        <w:tc>
          <w:tcPr>
            <w:tcW w:w="2551" w:type="dxa"/>
            <w:shd w:val="clear" w:color="auto" w:fill="1F4E78"/>
            <w:vAlign w:val="center"/>
          </w:tcPr>
          <w:p w14:paraId="62C446EB" w14:textId="793B2EBA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87" w:type="dxa"/>
            <w:shd w:val="clear" w:color="auto" w:fill="1F4E78"/>
            <w:vAlign w:val="center"/>
          </w:tcPr>
          <w:p w14:paraId="1EE19F48" w14:textId="6E7C9FA9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361" w:type="dxa"/>
            <w:shd w:val="clear" w:color="auto" w:fill="1F4E78"/>
            <w:vAlign w:val="center"/>
          </w:tcPr>
          <w:p w14:paraId="50A854F0" w14:textId="3E060D9B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Obrigatório</w:t>
            </w:r>
          </w:p>
        </w:tc>
        <w:tc>
          <w:tcPr>
            <w:tcW w:w="3912" w:type="dxa"/>
            <w:shd w:val="clear" w:color="auto" w:fill="1F4E78"/>
            <w:vAlign w:val="center"/>
          </w:tcPr>
          <w:p w14:paraId="64CF5579" w14:textId="0944CCDA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Correspondência funcional</w:t>
            </w:r>
          </w:p>
        </w:tc>
      </w:tr>
      <w:tr w:rsidR="00703E5E" w14:paraId="045CD022" w14:textId="77777777" w:rsidTr="00703E5E">
        <w:trPr>
          <w:cantSplit/>
        </w:trPr>
        <w:tc>
          <w:tcPr>
            <w:tcW w:w="2551" w:type="dxa"/>
            <w:shd w:val="clear" w:color="auto" w:fill="F4F7FA"/>
            <w:vAlign w:val="center"/>
          </w:tcPr>
          <w:p w14:paraId="3743F5B7" w14:textId="2F737CFF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TFV_NUNOTA</w:t>
            </w:r>
          </w:p>
        </w:tc>
        <w:tc>
          <w:tcPr>
            <w:tcW w:w="1587" w:type="dxa"/>
            <w:shd w:val="clear" w:color="auto" w:fill="F4F7FA"/>
            <w:vAlign w:val="center"/>
          </w:tcPr>
          <w:p w14:paraId="45363DF4" w14:textId="7C8F0625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NUMBER</w:t>
            </w:r>
          </w:p>
        </w:tc>
        <w:tc>
          <w:tcPr>
            <w:tcW w:w="1361" w:type="dxa"/>
            <w:shd w:val="clear" w:color="auto" w:fill="F4F7FA"/>
            <w:vAlign w:val="center"/>
          </w:tcPr>
          <w:p w14:paraId="4CF3A217" w14:textId="15EBAC8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Sim</w:t>
            </w:r>
          </w:p>
        </w:tc>
        <w:tc>
          <w:tcPr>
            <w:tcW w:w="3912" w:type="dxa"/>
            <w:shd w:val="clear" w:color="auto" w:fill="F4F7FA"/>
            <w:vAlign w:val="center"/>
          </w:tcPr>
          <w:p w14:paraId="399E2E23" w14:textId="0D46B74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Número Único da nota de venda em TGFCAB.NUNOTA; é a chave primária.</w:t>
            </w:r>
          </w:p>
        </w:tc>
      </w:tr>
      <w:tr w:rsidR="00703E5E" w14:paraId="4E6BC748" w14:textId="77777777" w:rsidTr="00703E5E">
        <w:trPr>
          <w:cantSplit/>
        </w:trPr>
        <w:tc>
          <w:tcPr>
            <w:tcW w:w="2551" w:type="dxa"/>
            <w:vAlign w:val="center"/>
          </w:tcPr>
          <w:p w14:paraId="77A94C8A" w14:textId="6CF0BD8E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TFV_TIPO_CARREGAMENTO</w:t>
            </w:r>
          </w:p>
        </w:tc>
        <w:tc>
          <w:tcPr>
            <w:tcW w:w="1587" w:type="dxa"/>
            <w:vAlign w:val="center"/>
          </w:tcPr>
          <w:p w14:paraId="34EA4012" w14:textId="6AA4F056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VARCHAR2(1)</w:t>
            </w:r>
          </w:p>
        </w:tc>
        <w:tc>
          <w:tcPr>
            <w:tcW w:w="1361" w:type="dxa"/>
            <w:vAlign w:val="center"/>
          </w:tcPr>
          <w:p w14:paraId="19A8C8C9" w14:textId="54A507E8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Sim</w:t>
            </w:r>
          </w:p>
        </w:tc>
        <w:tc>
          <w:tcPr>
            <w:tcW w:w="3912" w:type="dxa"/>
            <w:vAlign w:val="center"/>
          </w:tcPr>
          <w:p w14:paraId="7B2B7D1D" w14:textId="5A2D220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 = Movimentação normal; I = Direto da indústria.</w:t>
            </w:r>
          </w:p>
        </w:tc>
      </w:tr>
      <w:tr w:rsidR="00703E5E" w14:paraId="390B4B93" w14:textId="77777777" w:rsidTr="00703E5E">
        <w:trPr>
          <w:cantSplit/>
        </w:trPr>
        <w:tc>
          <w:tcPr>
            <w:tcW w:w="2551" w:type="dxa"/>
            <w:shd w:val="clear" w:color="auto" w:fill="F4F7FA"/>
            <w:vAlign w:val="center"/>
          </w:tcPr>
          <w:p w14:paraId="17C8F7D7" w14:textId="107E483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TFV_CODUSU</w:t>
            </w:r>
          </w:p>
        </w:tc>
        <w:tc>
          <w:tcPr>
            <w:tcW w:w="1587" w:type="dxa"/>
            <w:shd w:val="clear" w:color="auto" w:fill="F4F7FA"/>
            <w:vAlign w:val="center"/>
          </w:tcPr>
          <w:p w14:paraId="13D8AF0D" w14:textId="57A56D9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NUMBER</w:t>
            </w:r>
          </w:p>
        </w:tc>
        <w:tc>
          <w:tcPr>
            <w:tcW w:w="1361" w:type="dxa"/>
            <w:shd w:val="clear" w:color="auto" w:fill="F4F7FA"/>
            <w:vAlign w:val="center"/>
          </w:tcPr>
          <w:p w14:paraId="7AC0452F" w14:textId="006A7DF2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Sim</w:t>
            </w:r>
          </w:p>
        </w:tc>
        <w:tc>
          <w:tcPr>
            <w:tcW w:w="3912" w:type="dxa"/>
            <w:shd w:val="clear" w:color="auto" w:fill="F4F7FA"/>
            <w:vAlign w:val="center"/>
          </w:tcPr>
          <w:p w14:paraId="3D2B1682" w14:textId="106E6DF4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Código do usuário responsável pela última gravação.</w:t>
            </w:r>
          </w:p>
        </w:tc>
      </w:tr>
      <w:tr w:rsidR="00703E5E" w14:paraId="7E2C014F" w14:textId="77777777" w:rsidTr="00703E5E">
        <w:trPr>
          <w:cantSplit/>
        </w:trPr>
        <w:tc>
          <w:tcPr>
            <w:tcW w:w="2551" w:type="dxa"/>
            <w:vAlign w:val="center"/>
          </w:tcPr>
          <w:p w14:paraId="015F11C9" w14:textId="777CF697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TFV_DHALTER</w:t>
            </w:r>
          </w:p>
        </w:tc>
        <w:tc>
          <w:tcPr>
            <w:tcW w:w="1587" w:type="dxa"/>
            <w:vAlign w:val="center"/>
          </w:tcPr>
          <w:p w14:paraId="3739F528" w14:textId="100CF91B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DATE</w:t>
            </w:r>
          </w:p>
        </w:tc>
        <w:tc>
          <w:tcPr>
            <w:tcW w:w="1361" w:type="dxa"/>
            <w:vAlign w:val="center"/>
          </w:tcPr>
          <w:p w14:paraId="457ECEA8" w14:textId="5CBD2E7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Sim</w:t>
            </w:r>
          </w:p>
        </w:tc>
        <w:tc>
          <w:tcPr>
            <w:tcW w:w="3912" w:type="dxa"/>
            <w:vAlign w:val="center"/>
          </w:tcPr>
          <w:p w14:paraId="2CCAE125" w14:textId="60AB7047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Data e hora da última alteração, gravada com SYSDATE.</w:t>
            </w:r>
          </w:p>
        </w:tc>
      </w:tr>
    </w:tbl>
    <w:p w14:paraId="5546B9E7" w14:textId="77777777" w:rsidR="00703E5E" w:rsidRDefault="00703E5E" w:rsidP="00703E5E">
      <w:pPr>
        <w:keepNext/>
        <w:spacing w:before="160" w:after="80"/>
        <w:rPr>
          <w:rFonts w:ascii="Aptos Display" w:hAnsi="Aptos Display"/>
          <w:b/>
          <w:color w:val="111827"/>
          <w:sz w:val="30"/>
        </w:rPr>
      </w:pPr>
    </w:p>
    <w:p w14:paraId="79A2D935" w14:textId="7773BE83" w:rsidR="00703E5E" w:rsidRDefault="00703E5E">
      <w:pPr>
        <w:spacing w:after="160" w:line="278" w:lineRule="auto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br w:type="page"/>
      </w:r>
    </w:p>
    <w:p w14:paraId="2E6095F6" w14:textId="4A65C746" w:rsidR="00703E5E" w:rsidRDefault="00703E5E" w:rsidP="00703E5E">
      <w:pPr>
        <w:keepNext/>
        <w:spacing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lastRenderedPageBreak/>
        <w:t>Valores permitidos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34"/>
        <w:gridCol w:w="3005"/>
        <w:gridCol w:w="5272"/>
      </w:tblGrid>
      <w:tr w:rsidR="00703E5E" w14:paraId="220160ED" w14:textId="77777777" w:rsidTr="00703E5E">
        <w:trPr>
          <w:cantSplit/>
          <w:tblHeader/>
        </w:trPr>
        <w:tc>
          <w:tcPr>
            <w:tcW w:w="1134" w:type="dxa"/>
            <w:shd w:val="clear" w:color="auto" w:fill="1F4E78"/>
            <w:vAlign w:val="center"/>
          </w:tcPr>
          <w:p w14:paraId="7334664B" w14:textId="53CAAA81" w:rsidR="00703E5E" w:rsidRPr="00703E5E" w:rsidRDefault="00703E5E" w:rsidP="00703E5E">
            <w:pPr>
              <w:keepNext/>
              <w:spacing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005" w:type="dxa"/>
            <w:shd w:val="clear" w:color="auto" w:fill="1F4E78"/>
            <w:vAlign w:val="center"/>
          </w:tcPr>
          <w:p w14:paraId="3C453C8A" w14:textId="20FBE936" w:rsidR="00703E5E" w:rsidRPr="00703E5E" w:rsidRDefault="00703E5E" w:rsidP="00703E5E">
            <w:pPr>
              <w:keepNext/>
              <w:spacing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Descrição exibida</w:t>
            </w:r>
          </w:p>
        </w:tc>
        <w:tc>
          <w:tcPr>
            <w:tcW w:w="5272" w:type="dxa"/>
            <w:shd w:val="clear" w:color="auto" w:fill="1F4E78"/>
            <w:vAlign w:val="center"/>
          </w:tcPr>
          <w:p w14:paraId="4730462F" w14:textId="7B2E87FE" w:rsidR="00703E5E" w:rsidRPr="00703E5E" w:rsidRDefault="00703E5E" w:rsidP="00703E5E">
            <w:pPr>
              <w:keepNext/>
              <w:spacing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Efeito futuro no relatório de margem</w:t>
            </w:r>
          </w:p>
        </w:tc>
      </w:tr>
      <w:tr w:rsidR="00703E5E" w14:paraId="058277D1" w14:textId="77777777" w:rsidTr="00703E5E">
        <w:trPr>
          <w:cantSplit/>
        </w:trPr>
        <w:tc>
          <w:tcPr>
            <w:tcW w:w="1134" w:type="dxa"/>
            <w:shd w:val="clear" w:color="auto" w:fill="F4F7FA"/>
            <w:vAlign w:val="center"/>
          </w:tcPr>
          <w:p w14:paraId="29F0347F" w14:textId="43241123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</w:t>
            </w:r>
          </w:p>
        </w:tc>
        <w:tc>
          <w:tcPr>
            <w:tcW w:w="3005" w:type="dxa"/>
            <w:shd w:val="clear" w:color="auto" w:fill="F4F7FA"/>
            <w:vAlign w:val="center"/>
          </w:tcPr>
          <w:p w14:paraId="7F1AC227" w14:textId="59B23AEA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Movimentação normal</w:t>
            </w:r>
          </w:p>
        </w:tc>
        <w:tc>
          <w:tcPr>
            <w:tcW w:w="5272" w:type="dxa"/>
            <w:shd w:val="clear" w:color="auto" w:fill="F4F7FA"/>
            <w:vAlign w:val="center"/>
          </w:tcPr>
          <w:p w14:paraId="40974017" w14:textId="258AFCA0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Aplica o custo de movimentação/armazenagem previsto na regra do relatório.</w:t>
            </w:r>
          </w:p>
        </w:tc>
      </w:tr>
      <w:tr w:rsidR="00703E5E" w14:paraId="6AAEED18" w14:textId="77777777" w:rsidTr="00703E5E">
        <w:trPr>
          <w:cantSplit/>
        </w:trPr>
        <w:tc>
          <w:tcPr>
            <w:tcW w:w="1134" w:type="dxa"/>
            <w:vAlign w:val="center"/>
          </w:tcPr>
          <w:p w14:paraId="793B4F02" w14:textId="600A42E4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I</w:t>
            </w:r>
          </w:p>
        </w:tc>
        <w:tc>
          <w:tcPr>
            <w:tcW w:w="3005" w:type="dxa"/>
            <w:vAlign w:val="center"/>
          </w:tcPr>
          <w:p w14:paraId="735307DE" w14:textId="04B50A96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Direto da indústria</w:t>
            </w:r>
          </w:p>
        </w:tc>
        <w:tc>
          <w:tcPr>
            <w:tcW w:w="5272" w:type="dxa"/>
            <w:vAlign w:val="center"/>
          </w:tcPr>
          <w:p w14:paraId="5361D180" w14:textId="3063C33B" w:rsidR="00703E5E" w:rsidRPr="00703E5E" w:rsidRDefault="00703E5E" w:rsidP="00703E5E">
            <w:pPr>
              <w:keepNext/>
              <w:spacing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O custo de movimentação/armazenagem será zero; frete e CT-e permanecem normais.</w:t>
            </w:r>
          </w:p>
        </w:tc>
      </w:tr>
    </w:tbl>
    <w:p w14:paraId="6ECBF432" w14:textId="77777777" w:rsidR="00703E5E" w:rsidRDefault="00703E5E" w:rsidP="00703E5E">
      <w:pPr>
        <w:keepNext/>
        <w:spacing w:after="80"/>
        <w:rPr>
          <w:rFonts w:ascii="Aptos Display" w:hAnsi="Aptos Display"/>
          <w:b/>
          <w:color w:val="111827"/>
          <w:sz w:val="30"/>
        </w:rPr>
      </w:pPr>
    </w:p>
    <w:p w14:paraId="4C029D2E" w14:textId="1B54C90D" w:rsidR="00703E5E" w:rsidRDefault="00703E5E" w:rsidP="00703E5E">
      <w:pPr>
        <w:spacing w:after="160"/>
        <w:rPr>
          <w:color w:val="4B5563"/>
          <w:sz w:val="20"/>
        </w:rPr>
      </w:pPr>
      <w:r>
        <w:rPr>
          <w:color w:val="4B5563"/>
          <w:sz w:val="20"/>
        </w:rPr>
        <w:t>Para notas antigas sem registro, a tela assume N em memória. A tabela somente é atualizada quando o usuário salvar ou concluir o rateio.</w:t>
      </w:r>
    </w:p>
    <w:p w14:paraId="236B9965" w14:textId="71E88D68" w:rsidR="00703E5E" w:rsidRDefault="00703E5E" w:rsidP="00703E5E">
      <w:pPr>
        <w:keepNext/>
        <w:spacing w:before="16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Correspondência na interface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94"/>
        <w:gridCol w:w="6917"/>
      </w:tblGrid>
      <w:tr w:rsidR="00703E5E" w14:paraId="1F7884E7" w14:textId="77777777" w:rsidTr="00703E5E">
        <w:trPr>
          <w:cantSplit/>
          <w:tblHeader/>
        </w:trPr>
        <w:tc>
          <w:tcPr>
            <w:tcW w:w="2494" w:type="dxa"/>
            <w:shd w:val="clear" w:color="auto" w:fill="1F4E78"/>
            <w:vAlign w:val="center"/>
          </w:tcPr>
          <w:p w14:paraId="06078E71" w14:textId="2D23B95E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Local da tela</w:t>
            </w:r>
          </w:p>
        </w:tc>
        <w:tc>
          <w:tcPr>
            <w:tcW w:w="6917" w:type="dxa"/>
            <w:shd w:val="clear" w:color="auto" w:fill="1F4E78"/>
            <w:vAlign w:val="center"/>
          </w:tcPr>
          <w:p w14:paraId="6AF04AF5" w14:textId="4E8B22D0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Comportamento</w:t>
            </w:r>
          </w:p>
        </w:tc>
      </w:tr>
      <w:tr w:rsidR="00703E5E" w14:paraId="701FBAD5" w14:textId="77777777" w:rsidTr="00703E5E">
        <w:trPr>
          <w:cantSplit/>
        </w:trPr>
        <w:tc>
          <w:tcPr>
            <w:tcW w:w="2494" w:type="dxa"/>
            <w:shd w:val="clear" w:color="auto" w:fill="F4F7FA"/>
            <w:vAlign w:val="center"/>
          </w:tcPr>
          <w:p w14:paraId="6D8F5AF8" w14:textId="4AC37355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Seleção das notas</w:t>
            </w:r>
          </w:p>
        </w:tc>
        <w:tc>
          <w:tcPr>
            <w:tcW w:w="6917" w:type="dxa"/>
            <w:shd w:val="clear" w:color="auto" w:fill="F4F7FA"/>
            <w:vAlign w:val="center"/>
          </w:tcPr>
          <w:p w14:paraId="2FA1E01E" w14:textId="472C61B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 coluna “Tipo de carregamento” permite escolher Movimentação normal ou Direto da indústria para cada nota.</w:t>
            </w:r>
          </w:p>
        </w:tc>
      </w:tr>
      <w:tr w:rsidR="00703E5E" w14:paraId="4B4504B6" w14:textId="77777777" w:rsidTr="00703E5E">
        <w:trPr>
          <w:cantSplit/>
        </w:trPr>
        <w:tc>
          <w:tcPr>
            <w:tcW w:w="2494" w:type="dxa"/>
            <w:vAlign w:val="center"/>
          </w:tcPr>
          <w:p w14:paraId="0C4F78B7" w14:textId="0CAC86AA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Rateio calculado</w:t>
            </w:r>
          </w:p>
        </w:tc>
        <w:tc>
          <w:tcPr>
            <w:tcW w:w="6917" w:type="dxa"/>
            <w:vAlign w:val="center"/>
          </w:tcPr>
          <w:p w14:paraId="5FD6B75B" w14:textId="51B6E68C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 classificação acompanha cada linha sem alterar peso, percentual ou valor alocado.</w:t>
            </w:r>
          </w:p>
        </w:tc>
      </w:tr>
      <w:tr w:rsidR="00703E5E" w14:paraId="7EBD55C3" w14:textId="77777777" w:rsidTr="00703E5E">
        <w:trPr>
          <w:cantSplit/>
        </w:trPr>
        <w:tc>
          <w:tcPr>
            <w:tcW w:w="2494" w:type="dxa"/>
            <w:shd w:val="clear" w:color="auto" w:fill="F4F7FA"/>
            <w:vAlign w:val="center"/>
          </w:tcPr>
          <w:p w14:paraId="31D28E1D" w14:textId="70B76AF0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Vendas vinculadas</w:t>
            </w:r>
          </w:p>
        </w:tc>
        <w:tc>
          <w:tcPr>
            <w:tcW w:w="6917" w:type="dxa"/>
            <w:shd w:val="clear" w:color="auto" w:fill="F4F7FA"/>
            <w:vAlign w:val="center"/>
          </w:tcPr>
          <w:p w14:paraId="75A2B9C3" w14:textId="478E7079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Ao reabrir o rateio, o valor salvo é recuperado e pode ser alterado.</w:t>
            </w:r>
          </w:p>
        </w:tc>
      </w:tr>
      <w:tr w:rsidR="00703E5E" w14:paraId="469DC1E1" w14:textId="77777777" w:rsidTr="00703E5E">
        <w:trPr>
          <w:cantSplit/>
        </w:trPr>
        <w:tc>
          <w:tcPr>
            <w:tcW w:w="2494" w:type="dxa"/>
            <w:vAlign w:val="center"/>
          </w:tcPr>
          <w:p w14:paraId="409017A5" w14:textId="3E7DB264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Indicador visual</w:t>
            </w:r>
          </w:p>
        </w:tc>
        <w:tc>
          <w:tcPr>
            <w:tcW w:w="6917" w:type="dxa"/>
            <w:vAlign w:val="center"/>
          </w:tcPr>
          <w:p w14:paraId="72E7EDE1" w14:textId="77317766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Ao selecionar Direto da indústria, é exibido: “Carga direta: esta nota não gerará custo de movimentação/armazenagem.”</w:t>
            </w:r>
          </w:p>
        </w:tc>
      </w:tr>
    </w:tbl>
    <w:p w14:paraId="043778BF" w14:textId="77777777" w:rsidR="00703E5E" w:rsidRDefault="00703E5E" w:rsidP="00703E5E">
      <w:pPr>
        <w:keepNext/>
        <w:spacing w:before="160" w:after="80"/>
        <w:rPr>
          <w:rFonts w:ascii="Aptos Display" w:hAnsi="Aptos Display"/>
          <w:b/>
          <w:color w:val="111827"/>
          <w:sz w:val="30"/>
        </w:rPr>
      </w:pPr>
    </w:p>
    <w:p w14:paraId="08388882" w14:textId="7BD98C95" w:rsidR="00703E5E" w:rsidRDefault="00703E5E" w:rsidP="00703E5E">
      <w:pPr>
        <w:keepNext/>
        <w:spacing w:before="16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Serviços de gravação e leitura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742"/>
        <w:gridCol w:w="5669"/>
      </w:tblGrid>
      <w:tr w:rsidR="00703E5E" w14:paraId="096D2876" w14:textId="77777777" w:rsidTr="00703E5E">
        <w:trPr>
          <w:cantSplit/>
          <w:tblHeader/>
        </w:trPr>
        <w:tc>
          <w:tcPr>
            <w:tcW w:w="3742" w:type="dxa"/>
            <w:shd w:val="clear" w:color="auto" w:fill="1F4E78"/>
            <w:vAlign w:val="center"/>
          </w:tcPr>
          <w:p w14:paraId="482FB17A" w14:textId="4983B092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Serviço ou método</w:t>
            </w:r>
          </w:p>
        </w:tc>
        <w:tc>
          <w:tcPr>
            <w:tcW w:w="5669" w:type="dxa"/>
            <w:shd w:val="clear" w:color="auto" w:fill="1F4E78"/>
            <w:vAlign w:val="center"/>
          </w:tcPr>
          <w:p w14:paraId="68B88257" w14:textId="5C19BC56" w:rsidR="00703E5E" w:rsidRPr="00703E5E" w:rsidRDefault="00703E5E" w:rsidP="00703E5E">
            <w:pPr>
              <w:keepNext/>
              <w:spacing w:before="160" w:after="100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Responsabilidade</w:t>
            </w:r>
          </w:p>
        </w:tc>
      </w:tr>
      <w:tr w:rsidR="00703E5E" w14:paraId="4617ECA2" w14:textId="77777777" w:rsidTr="00703E5E">
        <w:trPr>
          <w:cantSplit/>
        </w:trPr>
        <w:tc>
          <w:tcPr>
            <w:tcW w:w="3742" w:type="dxa"/>
            <w:shd w:val="clear" w:color="auto" w:fill="F4F7FA"/>
            <w:vAlign w:val="center"/>
          </w:tcPr>
          <w:p w14:paraId="3BB5FD13" w14:textId="625B0D47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TFVRateioFreteSP.salvarRateio</w:t>
            </w:r>
          </w:p>
        </w:tc>
        <w:tc>
          <w:tcPr>
            <w:tcW w:w="5669" w:type="dxa"/>
            <w:shd w:val="clear" w:color="auto" w:fill="F4F7FA"/>
            <w:vAlign w:val="center"/>
          </w:tcPr>
          <w:p w14:paraId="4FBAA34F" w14:textId="5A19350F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Grava vínculos de frete e classificações na mesma transação.</w:t>
            </w:r>
          </w:p>
        </w:tc>
      </w:tr>
      <w:tr w:rsidR="00703E5E" w14:paraId="108BDF16" w14:textId="77777777" w:rsidTr="00703E5E">
        <w:trPr>
          <w:cantSplit/>
        </w:trPr>
        <w:tc>
          <w:tcPr>
            <w:tcW w:w="3742" w:type="dxa"/>
            <w:vAlign w:val="center"/>
          </w:tcPr>
          <w:p w14:paraId="1EDDE203" w14:textId="1415593E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TFVRateioFreteSP.salvarClassificacoes</w:t>
            </w:r>
          </w:p>
        </w:tc>
        <w:tc>
          <w:tcPr>
            <w:tcW w:w="5669" w:type="dxa"/>
            <w:vAlign w:val="center"/>
          </w:tcPr>
          <w:p w14:paraId="41345ACA" w14:textId="120D5C5E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Atualiza somente as classificações de notas cujo rateio já foi concluído.</w:t>
            </w:r>
          </w:p>
        </w:tc>
      </w:tr>
      <w:tr w:rsidR="00703E5E" w14:paraId="647DCF39" w14:textId="77777777" w:rsidTr="00703E5E">
        <w:trPr>
          <w:cantSplit/>
        </w:trPr>
        <w:tc>
          <w:tcPr>
            <w:tcW w:w="3742" w:type="dxa"/>
            <w:shd w:val="clear" w:color="auto" w:fill="F4F7FA"/>
            <w:vAlign w:val="center"/>
          </w:tcPr>
          <w:p w14:paraId="60FA1174" w14:textId="259D4882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CRUDServiceProvider.loadRecords</w:t>
            </w:r>
          </w:p>
        </w:tc>
        <w:tc>
          <w:tcPr>
            <w:tcW w:w="5669" w:type="dxa"/>
            <w:shd w:val="clear" w:color="auto" w:fill="F4F7FA"/>
            <w:vAlign w:val="center"/>
          </w:tcPr>
          <w:p w14:paraId="747C6D66" w14:textId="1DF36C36" w:rsidR="00703E5E" w:rsidRPr="00703E5E" w:rsidRDefault="00703E5E" w:rsidP="00703E5E">
            <w:pPr>
              <w:keepNext/>
              <w:spacing w:before="160" w:after="100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Lê a entidade TFV_CLASSIFICACAO_LOGISTICA ao carregar a tela.</w:t>
            </w:r>
          </w:p>
        </w:tc>
      </w:tr>
    </w:tbl>
    <w:p w14:paraId="0518ED0B" w14:textId="77777777" w:rsidR="00703E5E" w:rsidRDefault="00703E5E" w:rsidP="00703E5E">
      <w:pPr>
        <w:keepNext/>
        <w:spacing w:before="160" w:after="80"/>
        <w:rPr>
          <w:rFonts w:ascii="Aptos Display" w:hAnsi="Aptos Display"/>
          <w:b/>
          <w:color w:val="111827"/>
          <w:sz w:val="30"/>
        </w:rPr>
      </w:pPr>
    </w:p>
    <w:p w14:paraId="56233AD2" w14:textId="20947750" w:rsidR="00703E5E" w:rsidRDefault="00703E5E" w:rsidP="00703E5E">
      <w:pPr>
        <w:spacing w:after="160"/>
        <w:rPr>
          <w:color w:val="222222"/>
        </w:rPr>
      </w:pPr>
      <w:r>
        <w:rPr>
          <w:color w:val="222222"/>
        </w:rPr>
        <w:t>A gravação usa MERGE por TFV_NUNOTA. Chamadas repetidas atualizam o mesmo registro e não criam duplicidade. O usuário é obtido da sessão autenticada e a data é gravada pelo banco.</w:t>
      </w:r>
    </w:p>
    <w:p w14:paraId="184C6BCC" w14:textId="46D02C3A" w:rsidR="00703E5E" w:rsidRDefault="00703E5E" w:rsidP="00703E5E">
      <w:pPr>
        <w:keepNext/>
        <w:spacing w:before="160" w:after="100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Contrato para o relatório de margem</w:t>
      </w:r>
    </w:p>
    <w:p w14:paraId="443C357F" w14:textId="54DD1736" w:rsidR="00703E5E" w:rsidRDefault="00703E5E" w:rsidP="00703E5E">
      <w:pPr>
        <w:spacing w:after="100"/>
        <w:rPr>
          <w:color w:val="222222"/>
        </w:rPr>
      </w:pPr>
      <w:r>
        <w:rPr>
          <w:color w:val="222222"/>
        </w:rPr>
        <w:t>O relatório deverá relacionar a classificação à nota por NUNOTA. A ausência de registro deve ser tratada como Movimentação normal.</w:t>
      </w:r>
    </w:p>
    <w:p w14:paraId="1D8C5DDF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lastRenderedPageBreak/>
        <w:t>LEFT JOIN SANKHYA.TFV_CLASSIFICACAO_LOGISTICA CL</w:t>
      </w:r>
    </w:p>
    <w:p w14:paraId="09FEBA6A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   ON CL.TFV_NUNOTA = CAB.NUNOTA</w:t>
      </w:r>
    </w:p>
    <w:p w14:paraId="6091C564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</w:p>
    <w:p w14:paraId="037C5B6A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>CASE</w:t>
      </w:r>
    </w:p>
    <w:p w14:paraId="2545950C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WHEN NVL(CL.TFV_TIPO_CARREGAMENTO, 'N') = 'I' THEN 0</w:t>
      </w:r>
    </w:p>
    <w:p w14:paraId="65413427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ELSE PESO_TOTAL_NOTA * 0.35</w:t>
      </w:r>
    </w:p>
    <w:p w14:paraId="139EA455" w14:textId="117AA200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>END</w:t>
      </w:r>
    </w:p>
    <w:p w14:paraId="7153FCF3" w14:textId="3E1BDA15" w:rsidR="00703E5E" w:rsidRDefault="00703E5E" w:rsidP="00703E5E">
      <w:pPr>
        <w:keepNext/>
        <w:spacing w:before="100" w:after="60"/>
        <w:ind w:left="255" w:right="142"/>
        <w:rPr>
          <w:b/>
          <w:color w:val="111827"/>
          <w:sz w:val="24"/>
        </w:rPr>
      </w:pPr>
      <w:r>
        <w:rPr>
          <w:b/>
          <w:color w:val="111827"/>
          <w:sz w:val="24"/>
        </w:rPr>
        <w:t>Consulta de validação</w:t>
      </w:r>
    </w:p>
    <w:p w14:paraId="5A152D44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>SELECT</w:t>
      </w:r>
    </w:p>
    <w:p w14:paraId="4F008FB8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TFV_NUNOTA,</w:t>
      </w:r>
    </w:p>
    <w:p w14:paraId="19D91A26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TFV_TIPO_CARREGAMENTO,</w:t>
      </w:r>
    </w:p>
    <w:p w14:paraId="24ADFF5E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TFV_CODUSU,</w:t>
      </w:r>
    </w:p>
    <w:p w14:paraId="7109029F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 xml:space="preserve">    TFV_DHALTER</w:t>
      </w:r>
    </w:p>
    <w:p w14:paraId="51AAE2E9" w14:textId="77777777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>FROM SANKHYA.TFV_CLASSIFICACAO_LOGISTICA</w:t>
      </w:r>
    </w:p>
    <w:p w14:paraId="49481DE3" w14:textId="23CFE3F5" w:rsidR="00703E5E" w:rsidRDefault="00703E5E" w:rsidP="00703E5E">
      <w:pPr>
        <w:spacing w:before="60" w:after="160"/>
        <w:ind w:left="255" w:right="142"/>
        <w:rPr>
          <w:rFonts w:ascii="Consolas" w:hAnsi="Consolas"/>
          <w:color w:val="25364A"/>
          <w:sz w:val="17"/>
        </w:rPr>
      </w:pPr>
      <w:r>
        <w:rPr>
          <w:rFonts w:ascii="Consolas" w:hAnsi="Consolas"/>
          <w:color w:val="25364A"/>
          <w:sz w:val="17"/>
        </w:rPr>
        <w:t>WHERE TFV_NUNOTA = :NUNOTA;</w:t>
      </w:r>
    </w:p>
    <w:p w14:paraId="4B56728C" w14:textId="4E754F55" w:rsidR="00703E5E" w:rsidRDefault="00703E5E" w:rsidP="00703E5E">
      <w:pPr>
        <w:keepNext/>
        <w:spacing w:before="160" w:after="100"/>
        <w:ind w:left="255" w:right="142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t>Arquivos correspondentes no projeto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68"/>
        <w:gridCol w:w="7143"/>
      </w:tblGrid>
      <w:tr w:rsidR="00703E5E" w14:paraId="13FF8419" w14:textId="77777777" w:rsidTr="00703E5E">
        <w:trPr>
          <w:cantSplit/>
          <w:tblHeader/>
        </w:trPr>
        <w:tc>
          <w:tcPr>
            <w:tcW w:w="2268" w:type="dxa"/>
            <w:shd w:val="clear" w:color="auto" w:fill="1F4E78"/>
            <w:vAlign w:val="center"/>
          </w:tcPr>
          <w:p w14:paraId="734A79F2" w14:textId="23D64368" w:rsidR="00703E5E" w:rsidRPr="00703E5E" w:rsidRDefault="00703E5E" w:rsidP="00703E5E">
            <w:pPr>
              <w:keepNext/>
              <w:spacing w:before="160" w:after="100"/>
              <w:ind w:right="142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7143" w:type="dxa"/>
            <w:shd w:val="clear" w:color="auto" w:fill="1F4E78"/>
            <w:vAlign w:val="center"/>
          </w:tcPr>
          <w:p w14:paraId="0B353A05" w14:textId="6DE4C259" w:rsidR="00703E5E" w:rsidRPr="00703E5E" w:rsidRDefault="00703E5E" w:rsidP="00703E5E">
            <w:pPr>
              <w:keepNext/>
              <w:spacing w:before="160" w:after="100"/>
              <w:ind w:right="142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Arquivo ou pasta</w:t>
            </w:r>
          </w:p>
        </w:tc>
      </w:tr>
      <w:tr w:rsidR="00703E5E" w14:paraId="06596AD3" w14:textId="77777777" w:rsidTr="00703E5E">
        <w:trPr>
          <w:cantSplit/>
        </w:trPr>
        <w:tc>
          <w:tcPr>
            <w:tcW w:w="2268" w:type="dxa"/>
            <w:shd w:val="clear" w:color="auto" w:fill="F4F7FA"/>
            <w:vAlign w:val="center"/>
          </w:tcPr>
          <w:p w14:paraId="4C7B61FD" w14:textId="7C00BACD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DDL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346AF583" w14:textId="430B4F05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template/dbscripts/manual/001_TFV_CLASSIFICACAO_LOGISTICA.sql</w:t>
            </w:r>
          </w:p>
        </w:tc>
      </w:tr>
      <w:tr w:rsidR="00703E5E" w14:paraId="0EBEFA1A" w14:textId="77777777" w:rsidTr="00703E5E">
        <w:trPr>
          <w:cantSplit/>
        </w:trPr>
        <w:tc>
          <w:tcPr>
            <w:tcW w:w="2268" w:type="dxa"/>
            <w:vAlign w:val="center"/>
          </w:tcPr>
          <w:p w14:paraId="2F63D807" w14:textId="23E35918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Dicionário de dados</w:t>
            </w:r>
          </w:p>
        </w:tc>
        <w:tc>
          <w:tcPr>
            <w:tcW w:w="7143" w:type="dxa"/>
            <w:vAlign w:val="center"/>
          </w:tcPr>
          <w:p w14:paraId="246340F0" w14:textId="63DDC53C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template/datadictionary/TFV_CLASSIFICACAO_LOGISTICA.xml</w:t>
            </w:r>
          </w:p>
        </w:tc>
      </w:tr>
      <w:tr w:rsidR="00703E5E" w14:paraId="50C32AB1" w14:textId="77777777" w:rsidTr="00703E5E">
        <w:trPr>
          <w:cantSplit/>
        </w:trPr>
        <w:tc>
          <w:tcPr>
            <w:tcW w:w="2268" w:type="dxa"/>
            <w:shd w:val="clear" w:color="auto" w:fill="F4F7FA"/>
            <w:vAlign w:val="center"/>
          </w:tcPr>
          <w:p w14:paraId="4F8D72CA" w14:textId="4DE46EA1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Backend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007983D5" w14:textId="4F74FC8A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template/model/src/main/java/br/com/fabricante/addon/rateio/RateioFreteController.java</w:t>
            </w:r>
          </w:p>
        </w:tc>
      </w:tr>
      <w:tr w:rsidR="00703E5E" w14:paraId="29DE7EE1" w14:textId="77777777" w:rsidTr="00703E5E">
        <w:trPr>
          <w:cantSplit/>
        </w:trPr>
        <w:tc>
          <w:tcPr>
            <w:tcW w:w="2268" w:type="dxa"/>
            <w:vAlign w:val="center"/>
          </w:tcPr>
          <w:p w14:paraId="6A499780" w14:textId="5609231B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DTO do rateio</w:t>
            </w:r>
          </w:p>
        </w:tc>
        <w:tc>
          <w:tcPr>
            <w:tcW w:w="7143" w:type="dxa"/>
            <w:vAlign w:val="center"/>
          </w:tcPr>
          <w:p w14:paraId="2445EE95" w14:textId="3794AF02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template/model/src/main/java/br/com/fabricante/addon/rateio/dto/RateioFreteRequest.java</w:t>
            </w:r>
          </w:p>
        </w:tc>
      </w:tr>
      <w:tr w:rsidR="00703E5E" w14:paraId="7C791B12" w14:textId="77777777" w:rsidTr="00703E5E">
        <w:trPr>
          <w:cantSplit/>
        </w:trPr>
        <w:tc>
          <w:tcPr>
            <w:tcW w:w="2268" w:type="dxa"/>
            <w:shd w:val="clear" w:color="auto" w:fill="F4F7FA"/>
            <w:vAlign w:val="center"/>
          </w:tcPr>
          <w:p w14:paraId="57B652C8" w14:textId="5E0A9E4A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DTO da venda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0892A2B8" w14:textId="5867706C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template/model/src/main/java/br/com/fabricante/addon/rateio/dto/VendaRateioDTO.java</w:t>
            </w:r>
          </w:p>
        </w:tc>
      </w:tr>
      <w:tr w:rsidR="00703E5E" w14:paraId="7A82FF01" w14:textId="77777777" w:rsidTr="00703E5E">
        <w:trPr>
          <w:cantSplit/>
        </w:trPr>
        <w:tc>
          <w:tcPr>
            <w:tcW w:w="2268" w:type="dxa"/>
            <w:vAlign w:val="center"/>
          </w:tcPr>
          <w:p w14:paraId="4D108483" w14:textId="1350BC86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DTO da classificação</w:t>
            </w:r>
          </w:p>
        </w:tc>
        <w:tc>
          <w:tcPr>
            <w:tcW w:w="7143" w:type="dxa"/>
            <w:vAlign w:val="center"/>
          </w:tcPr>
          <w:p w14:paraId="0DB882EA" w14:textId="1B5D19A1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template/model/src/main/java/br/com/fabricante/addon/rateio/dto/ClassificacaoLogisticaRequest.java</w:t>
            </w:r>
          </w:p>
        </w:tc>
      </w:tr>
      <w:tr w:rsidR="00703E5E" w14:paraId="38DA2550" w14:textId="77777777" w:rsidTr="00703E5E">
        <w:trPr>
          <w:cantSplit/>
        </w:trPr>
        <w:tc>
          <w:tcPr>
            <w:tcW w:w="2268" w:type="dxa"/>
            <w:shd w:val="clear" w:color="auto" w:fill="F4F7FA"/>
            <w:vAlign w:val="center"/>
          </w:tcPr>
          <w:p w14:paraId="0E7DCBD1" w14:textId="5DACEAC3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Interface</w:t>
            </w:r>
          </w:p>
        </w:tc>
        <w:tc>
          <w:tcPr>
            <w:tcW w:w="7143" w:type="dxa"/>
            <w:shd w:val="clear" w:color="auto" w:fill="F4F7FA"/>
            <w:vAlign w:val="center"/>
          </w:tcPr>
          <w:p w14:paraId="0B00CD8C" w14:textId="4DB71A4C" w:rsidR="00703E5E" w:rsidRPr="00703E5E" w:rsidRDefault="00703E5E" w:rsidP="00703E5E">
            <w:pPr>
              <w:keepNext/>
              <w:spacing w:before="160" w:after="10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template/vc/src/main/webapp/html5/FreteVendaVinculoPOC</w:t>
            </w:r>
          </w:p>
        </w:tc>
      </w:tr>
    </w:tbl>
    <w:p w14:paraId="66C9C224" w14:textId="77777777" w:rsidR="00703E5E" w:rsidRDefault="00703E5E" w:rsidP="00703E5E">
      <w:pPr>
        <w:keepNext/>
        <w:spacing w:before="160" w:after="80"/>
        <w:ind w:left="255" w:right="142"/>
        <w:rPr>
          <w:rFonts w:ascii="Aptos Display" w:hAnsi="Aptos Display"/>
          <w:b/>
          <w:color w:val="111827"/>
          <w:sz w:val="30"/>
        </w:rPr>
      </w:pPr>
    </w:p>
    <w:p w14:paraId="274B454B" w14:textId="0DAE1236" w:rsidR="00703E5E" w:rsidRDefault="00703E5E">
      <w:pPr>
        <w:spacing w:after="160" w:line="278" w:lineRule="auto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br w:type="page"/>
      </w:r>
    </w:p>
    <w:p w14:paraId="69FD4B6D" w14:textId="35437C13" w:rsidR="00703E5E" w:rsidRDefault="00703E5E" w:rsidP="00703E5E">
      <w:pPr>
        <w:keepNext/>
        <w:spacing w:after="100"/>
        <w:ind w:left="255" w:right="142"/>
        <w:rPr>
          <w:rFonts w:ascii="Aptos Display" w:hAnsi="Aptos Display"/>
          <w:b/>
          <w:color w:val="111827"/>
          <w:sz w:val="30"/>
        </w:rPr>
      </w:pPr>
      <w:r>
        <w:rPr>
          <w:rFonts w:ascii="Aptos Display" w:hAnsi="Aptos Display"/>
          <w:b/>
          <w:color w:val="111827"/>
          <w:sz w:val="30"/>
        </w:rPr>
        <w:lastRenderedPageBreak/>
        <w:t>Decisões de integridade</w:t>
      </w:r>
    </w:p>
    <w:p w14:paraId="6BEE3AE9" w14:textId="7A2C853C" w:rsidR="00703E5E" w:rsidRDefault="00703E5E" w:rsidP="00703E5E">
      <w:pPr>
        <w:spacing w:after="160"/>
        <w:ind w:left="255" w:right="142"/>
        <w:rPr>
          <w:color w:val="222222"/>
        </w:rPr>
      </w:pPr>
      <w:r>
        <w:rPr>
          <w:color w:val="222222"/>
        </w:rPr>
        <w:t>A chave primária já fornece a unicidade e o índice necessários. Não foi criada chave estrangeira física para TGFCAB porque ela poderia interferir nas rotinas nativas de exclusão de notas do Sankhya; o backend valida a existência da NUNOTA antes de persistir. Nenhuma tabela existente foi alterada de forma destrutiva.</w:t>
      </w:r>
    </w:p>
    <w:p w14:paraId="3BA7278A" w14:textId="16A4A3EA" w:rsidR="00703E5E" w:rsidRDefault="00703E5E" w:rsidP="00703E5E">
      <w:pPr>
        <w:keepNext/>
        <w:spacing w:before="120" w:after="60"/>
        <w:ind w:left="255" w:right="142"/>
        <w:rPr>
          <w:b/>
          <w:color w:val="111827"/>
          <w:sz w:val="24"/>
        </w:rPr>
      </w:pPr>
      <w:r>
        <w:rPr>
          <w:b/>
          <w:color w:val="111827"/>
          <w:sz w:val="24"/>
        </w:rPr>
        <w:t>Resumo operacional</w:t>
      </w:r>
    </w:p>
    <w:tbl>
      <w:tblPr>
        <w:tblW w:w="0" w:type="auto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515"/>
        <w:gridCol w:w="5896"/>
      </w:tblGrid>
      <w:tr w:rsidR="00703E5E" w14:paraId="76DEED49" w14:textId="77777777" w:rsidTr="00703E5E">
        <w:trPr>
          <w:cantSplit/>
          <w:tblHeader/>
        </w:trPr>
        <w:tc>
          <w:tcPr>
            <w:tcW w:w="3515" w:type="dxa"/>
            <w:shd w:val="clear" w:color="auto" w:fill="1F4E78"/>
            <w:vAlign w:val="center"/>
          </w:tcPr>
          <w:p w14:paraId="4D37F954" w14:textId="44299B61" w:rsidR="00703E5E" w:rsidRPr="00703E5E" w:rsidRDefault="00703E5E" w:rsidP="00703E5E">
            <w:pPr>
              <w:keepNext/>
              <w:spacing w:before="120" w:after="60"/>
              <w:ind w:right="142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5896" w:type="dxa"/>
            <w:shd w:val="clear" w:color="auto" w:fill="1F4E78"/>
            <w:vAlign w:val="center"/>
          </w:tcPr>
          <w:p w14:paraId="7764F383" w14:textId="0B3AB202" w:rsidR="00703E5E" w:rsidRPr="00703E5E" w:rsidRDefault="00703E5E" w:rsidP="00703E5E">
            <w:pPr>
              <w:keepNext/>
              <w:spacing w:before="120" w:after="60"/>
              <w:ind w:right="142"/>
              <w:rPr>
                <w:b/>
                <w:color w:val="FFFFFF"/>
                <w:sz w:val="18"/>
              </w:rPr>
            </w:pPr>
            <w:r w:rsidRPr="00703E5E"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703E5E" w14:paraId="65E3757E" w14:textId="77777777" w:rsidTr="00703E5E">
        <w:trPr>
          <w:cantSplit/>
        </w:trPr>
        <w:tc>
          <w:tcPr>
            <w:tcW w:w="3515" w:type="dxa"/>
            <w:shd w:val="clear" w:color="auto" w:fill="F4F7FA"/>
            <w:vAlign w:val="center"/>
          </w:tcPr>
          <w:p w14:paraId="6141FDBB" w14:textId="65CB9B11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Nota sem classificação</w:t>
            </w:r>
          </w:p>
        </w:tc>
        <w:tc>
          <w:tcPr>
            <w:tcW w:w="5896" w:type="dxa"/>
            <w:shd w:val="clear" w:color="auto" w:fill="F4F7FA"/>
            <w:vAlign w:val="center"/>
          </w:tcPr>
          <w:p w14:paraId="3BAFE4A6" w14:textId="4F08B8B0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 tela apresenta Movimentação normal; não grava automaticamente.</w:t>
            </w:r>
          </w:p>
        </w:tc>
      </w:tr>
      <w:tr w:rsidR="00703E5E" w14:paraId="4217D79D" w14:textId="77777777" w:rsidTr="00703E5E">
        <w:trPr>
          <w:cantSplit/>
        </w:trPr>
        <w:tc>
          <w:tcPr>
            <w:tcW w:w="3515" w:type="dxa"/>
            <w:vAlign w:val="center"/>
          </w:tcPr>
          <w:p w14:paraId="621F3DA9" w14:textId="1CA205CA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Alteração N para I ou I para N</w:t>
            </w:r>
          </w:p>
        </w:tc>
        <w:tc>
          <w:tcPr>
            <w:tcW w:w="5896" w:type="dxa"/>
            <w:vAlign w:val="center"/>
          </w:tcPr>
          <w:p w14:paraId="638D62E5" w14:textId="0EC4E5A9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O mesmo registro é atualizado com usuário e data/hora.</w:t>
            </w:r>
          </w:p>
        </w:tc>
      </w:tr>
      <w:tr w:rsidR="00703E5E" w14:paraId="2A18070B" w14:textId="77777777" w:rsidTr="00703E5E">
        <w:trPr>
          <w:cantSplit/>
        </w:trPr>
        <w:tc>
          <w:tcPr>
            <w:tcW w:w="3515" w:type="dxa"/>
            <w:shd w:val="clear" w:color="auto" w:fill="F4F7FA"/>
            <w:vAlign w:val="center"/>
          </w:tcPr>
          <w:p w14:paraId="27B77582" w14:textId="32AB3E9D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Vínculo de frete excluído ou refeito</w:t>
            </w:r>
          </w:p>
        </w:tc>
        <w:tc>
          <w:tcPr>
            <w:tcW w:w="5896" w:type="dxa"/>
            <w:shd w:val="clear" w:color="auto" w:fill="F4F7FA"/>
            <w:vAlign w:val="center"/>
          </w:tcPr>
          <w:p w14:paraId="4423BD0A" w14:textId="6E8DEC0B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 classificação permanece porque pertence à NUNOTA.</w:t>
            </w:r>
          </w:p>
        </w:tc>
      </w:tr>
      <w:tr w:rsidR="00703E5E" w14:paraId="697DEC7B" w14:textId="77777777" w:rsidTr="00703E5E">
        <w:trPr>
          <w:cantSplit/>
        </w:trPr>
        <w:tc>
          <w:tcPr>
            <w:tcW w:w="3515" w:type="dxa"/>
            <w:vAlign w:val="center"/>
          </w:tcPr>
          <w:p w14:paraId="76D305BD" w14:textId="55A5481F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Carga direta com frete</w:t>
            </w:r>
          </w:p>
        </w:tc>
        <w:tc>
          <w:tcPr>
            <w:tcW w:w="5896" w:type="dxa"/>
            <w:vAlign w:val="center"/>
          </w:tcPr>
          <w:p w14:paraId="18900E36" w14:textId="40CCBD48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O frete e o CT-e permanecem diferentes de zero quando aplicável.</w:t>
            </w:r>
          </w:p>
        </w:tc>
      </w:tr>
      <w:tr w:rsidR="00703E5E" w14:paraId="5994FFE3" w14:textId="77777777" w:rsidTr="00703E5E">
        <w:trPr>
          <w:cantSplit/>
        </w:trPr>
        <w:tc>
          <w:tcPr>
            <w:tcW w:w="3515" w:type="dxa"/>
            <w:shd w:val="clear" w:color="auto" w:fill="F4F7FA"/>
            <w:vAlign w:val="center"/>
          </w:tcPr>
          <w:p w14:paraId="1EE613BC" w14:textId="09863BD7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Falha na conclusão</w:t>
            </w:r>
          </w:p>
        </w:tc>
        <w:tc>
          <w:tcPr>
            <w:tcW w:w="5896" w:type="dxa"/>
            <w:shd w:val="clear" w:color="auto" w:fill="F4F7FA"/>
            <w:vAlign w:val="center"/>
          </w:tcPr>
          <w:p w14:paraId="7B8FE018" w14:textId="7DB261EC" w:rsidR="00703E5E" w:rsidRPr="00703E5E" w:rsidRDefault="00703E5E" w:rsidP="00703E5E">
            <w:pPr>
              <w:keepNext/>
              <w:spacing w:before="120" w:after="60"/>
              <w:ind w:right="142"/>
              <w:rPr>
                <w:color w:val="222222"/>
                <w:sz w:val="18"/>
              </w:rPr>
            </w:pPr>
            <w:r w:rsidRPr="00703E5E">
              <w:rPr>
                <w:color w:val="222222"/>
                <w:sz w:val="18"/>
              </w:rPr>
              <w:t>A transação é revertida e a interface recebe mensagem clara de erro.</w:t>
            </w:r>
          </w:p>
        </w:tc>
      </w:tr>
    </w:tbl>
    <w:p w14:paraId="04C4C35C" w14:textId="77777777" w:rsidR="00703E5E" w:rsidRDefault="00703E5E" w:rsidP="00703E5E">
      <w:pPr>
        <w:keepNext/>
        <w:spacing w:before="120" w:after="80"/>
        <w:ind w:left="255" w:right="142"/>
        <w:rPr>
          <w:b/>
          <w:color w:val="111827"/>
          <w:sz w:val="24"/>
        </w:rPr>
      </w:pPr>
    </w:p>
    <w:p w14:paraId="68DD3625" w14:textId="77777777" w:rsidR="00703E5E" w:rsidRPr="00703E5E" w:rsidRDefault="00703E5E" w:rsidP="00703E5E">
      <w:pPr>
        <w:keepNext/>
        <w:spacing w:before="120" w:after="60"/>
        <w:ind w:left="255" w:right="142"/>
        <w:rPr>
          <w:b/>
          <w:color w:val="111827"/>
          <w:sz w:val="24"/>
        </w:rPr>
      </w:pPr>
    </w:p>
    <w:sectPr w:rsidR="00703E5E" w:rsidRPr="00703E5E" w:rsidSect="00703E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20" w:right="1077" w:bottom="964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CE31" w14:textId="77777777" w:rsidR="00BC23F1" w:rsidRDefault="00BC23F1" w:rsidP="00703E5E">
      <w:pPr>
        <w:spacing w:after="0"/>
      </w:pPr>
      <w:r>
        <w:separator/>
      </w:r>
    </w:p>
  </w:endnote>
  <w:endnote w:type="continuationSeparator" w:id="0">
    <w:p w14:paraId="568DA26D" w14:textId="77777777" w:rsidR="00BC23F1" w:rsidRDefault="00BC23F1" w:rsidP="00703E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66B8" w14:textId="77777777" w:rsidR="00703E5E" w:rsidRDefault="00703E5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92BCA" w14:textId="424E5AB0" w:rsidR="00703E5E" w:rsidRPr="00703E5E" w:rsidRDefault="00703E5E" w:rsidP="00703E5E">
    <w:pPr>
      <w:pStyle w:val="Rodap"/>
      <w:jc w:val="center"/>
      <w:rPr>
        <w:color w:val="6B7280"/>
        <w:sz w:val="16"/>
      </w:rPr>
    </w:pPr>
    <w:r w:rsidRPr="00703E5E">
      <w:rPr>
        <w:color w:val="6B7280"/>
        <w:sz w:val="16"/>
      </w:rPr>
      <w:t>Add-on Vínculo de frete x venda  |  Versão 1.0.39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A5B9" w14:textId="77777777" w:rsidR="00703E5E" w:rsidRDefault="00703E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E746D" w14:textId="77777777" w:rsidR="00BC23F1" w:rsidRDefault="00BC23F1" w:rsidP="00703E5E">
      <w:pPr>
        <w:spacing w:after="0"/>
      </w:pPr>
      <w:r>
        <w:separator/>
      </w:r>
    </w:p>
  </w:footnote>
  <w:footnote w:type="continuationSeparator" w:id="0">
    <w:p w14:paraId="162FCAAC" w14:textId="77777777" w:rsidR="00BC23F1" w:rsidRDefault="00BC23F1" w:rsidP="00703E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775B" w14:textId="77777777" w:rsidR="00703E5E" w:rsidRDefault="00703E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6C1D" w14:textId="77777777" w:rsidR="00703E5E" w:rsidRDefault="00703E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DCBF" w14:textId="77777777" w:rsidR="00703E5E" w:rsidRDefault="00703E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5E"/>
    <w:rsid w:val="001B5AF3"/>
    <w:rsid w:val="00703E5E"/>
    <w:rsid w:val="00780F07"/>
    <w:rsid w:val="00AF65D3"/>
    <w:rsid w:val="00BC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BDB2"/>
  <w15:chartTrackingRefBased/>
  <w15:docId w15:val="{C8A7CC43-9207-4B35-AA73-D237ECA9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70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E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E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E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3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E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3E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3E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E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3E5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03E5E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703E5E"/>
    <w:rPr>
      <w:rFonts w:ascii="Aptos" w:hAnsi="Aptos"/>
      <w:sz w:val="21"/>
    </w:rPr>
  </w:style>
  <w:style w:type="paragraph" w:styleId="Rodap">
    <w:name w:val="footer"/>
    <w:basedOn w:val="Normal"/>
    <w:link w:val="RodapChar"/>
    <w:uiPriority w:val="99"/>
    <w:unhideWhenUsed/>
    <w:rsid w:val="00703E5E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03E5E"/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846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Pinheiro</dc:creator>
  <cp:keywords/>
  <dc:description/>
  <cp:lastModifiedBy>Leandro Pinheiro</cp:lastModifiedBy>
  <cp:revision>1</cp:revision>
  <dcterms:created xsi:type="dcterms:W3CDTF">2026-09-15T20:11:00Z</dcterms:created>
  <dcterms:modified xsi:type="dcterms:W3CDTF">2026-09-15T20:11:00Z</dcterms:modified>
</cp:coreProperties>
</file>