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p>
    <w:p>
      <w:pPr>
        <w:spacing w:after="120"/>
        <w:jc w:val="center"/>
      </w:pPr>
    </w:p>
    <w:p>
      <w:pPr>
        <w:spacing w:after="0"/>
        <w:jc w:val="center"/>
      </w:pPr>
      <w:r>
        <w:rPr>
          <w:b/>
          <w:i w:val="0"/>
        </w:rPr>
        <w:t>INSTITUTO FEDERAL DE GOIÁS</w:t>
      </w:r>
    </w:p>
    <w:p>
      <w:pPr>
        <w:spacing w:after="0"/>
        <w:jc w:val="center"/>
      </w:pPr>
      <w:r>
        <w:rPr>
          <w:b w:val="0"/>
          <w:i w:val="0"/>
        </w:rPr>
        <w:t>TRABALHO DE CONCLUSÃO DE CURSO</w:t>
      </w:r>
    </w:p>
    <w:p>
      <w:pPr>
        <w:spacing w:after="120"/>
        <w:jc w:val="center"/>
      </w:pPr>
    </w:p>
    <w:p>
      <w:pPr>
        <w:spacing w:after="120"/>
        <w:jc w:val="center"/>
      </w:pPr>
    </w:p>
    <w:p>
      <w:pPr>
        <w:spacing w:after="120"/>
        <w:jc w:val="center"/>
      </w:pPr>
    </w:p>
    <w:p>
      <w:pPr>
        <w:spacing w:after="120"/>
        <w:jc w:val="center"/>
      </w:pPr>
    </w:p>
    <w:p>
      <w:pPr>
        <w:spacing w:after="0"/>
        <w:jc w:val="center"/>
      </w:pPr>
      <w:r>
        <w:rPr>
          <w:b/>
          <w:i w:val="0"/>
          <w:sz w:val="32"/>
        </w:rPr>
        <w:t>CLASSIFICAÇÃO AUTOMÁTICA DE NOTÍCIAS DE VIOLÊNCIA ARMADA</w:t>
      </w:r>
    </w:p>
    <w:p>
      <w:pPr>
        <w:spacing w:after="0"/>
        <w:jc w:val="center"/>
      </w:pPr>
      <w:r>
        <w:rPr>
          <w:b/>
          <w:i w:val="0"/>
          <w:sz w:val="32"/>
        </w:rPr>
        <w:t>COM MODELOS BERT EM PORTUGUÊS E VALIDAÇÃO POR MODELO DE LINGUAGEM</w:t>
      </w:r>
    </w:p>
    <w:p>
      <w:pPr>
        <w:spacing w:after="120"/>
        <w:jc w:val="center"/>
      </w:pPr>
    </w:p>
    <w:p>
      <w:pPr>
        <w:spacing w:after="120"/>
        <w:jc w:val="center"/>
      </w:pPr>
    </w:p>
    <w:p>
      <w:pPr>
        <w:spacing w:after="0"/>
        <w:jc w:val="center"/>
      </w:pPr>
      <w:r>
        <w:rPr>
          <w:b w:val="0"/>
          <w:i/>
        </w:rPr>
        <w:t>Documentação de método, implementação e avaliação</w:t>
      </w:r>
    </w:p>
    <w:p>
      <w:pPr>
        <w:spacing w:after="120"/>
        <w:jc w:val="center"/>
      </w:pPr>
    </w:p>
    <w:p>
      <w:pPr>
        <w:spacing w:after="120"/>
        <w:jc w:val="center"/>
      </w:pPr>
    </w:p>
    <w:p>
      <w:pPr>
        <w:spacing w:after="120"/>
        <w:jc w:val="center"/>
      </w:pPr>
    </w:p>
    <w:p>
      <w:pPr>
        <w:spacing w:after="120"/>
        <w:jc w:val="center"/>
      </w:pPr>
    </w:p>
    <w:p>
      <w:pPr>
        <w:spacing w:after="120"/>
        <w:jc w:val="center"/>
      </w:pPr>
    </w:p>
    <w:p>
      <w:pPr>
        <w:spacing w:after="120"/>
        <w:jc w:val="center"/>
      </w:pPr>
    </w:p>
    <w:p>
      <w:pPr>
        <w:spacing w:after="120"/>
        <w:jc w:val="center"/>
      </w:pPr>
    </w:p>
    <w:p>
      <w:pPr>
        <w:spacing w:after="120"/>
        <w:jc w:val="center"/>
      </w:pPr>
    </w:p>
    <w:p>
      <w:pPr>
        <w:spacing w:after="0"/>
        <w:jc w:val="center"/>
      </w:pPr>
      <w:r>
        <w:rPr>
          <w:b w:val="0"/>
          <w:i w:val="0"/>
        </w:rPr>
        <w:t>Goiânia</w:t>
      </w:r>
    </w:p>
    <w:p>
      <w:pPr>
        <w:spacing w:after="0"/>
        <w:jc w:val="center"/>
      </w:pPr>
      <w:r>
        <w:rPr>
          <w:b w:val="0"/>
          <w:i w:val="0"/>
        </w:rPr>
        <w:t>2026</w:t>
      </w:r>
    </w:p>
    <w:p>
      <w:r>
        <w:br w:type="page"/>
      </w:r>
    </w:p>
    <w:p>
      <w:pPr>
        <w:pStyle w:val="Heading1"/>
      </w:pPr>
      <w:r>
        <w:t>Resumo</w:t>
      </w:r>
    </w:p>
    <w:p>
      <w:pPr>
        <w:spacing w:after="120"/>
        <w:ind w:firstLine="709"/>
      </w:pPr>
      <w:r>
        <w:rPr>
          <w:b w:val="0"/>
          <w:i w:val="0"/>
        </w:rPr>
        <w:t>Este documento descreve o método, a implementação e o protocolo de avaliação de um sistema que classifica notícias de violência armada em indicadores, substituindo a triagem manual que hoje limita o volume de notícias analisadas e a velocidade de atualização dos indicadores. A classificação é uma tarefa única e multirrótulo: dado o texto, quais dos 7 indicadores a notícia sustenta — podem ser vários ao mesmo tempo, ou nenhum. Não há etapa binária de triagem antes dela: a notícia fora do escopo é justamente a que não recebe indicador algum, e esses exemplos negativos são parte do corpus, não descarte. São comparados 3 modelos pré-treinados monolíngues de português sob uma grade de 4 configurações de hiperparâmetros, em 3 estratégias de ajuste, com relato de acurácia, precisão, recall e medida F1, em versões macro, ponderada e por classe, acompanhadas da matriz de confusão. Um modelo de linguagem de grande porte opera APÓS a marcação e condicionado a ela: ele recebe somente as instruções das classes marcadas, e a sua tarefa é aprofundá-las — montar a lista de vítimas, preencher a ficha de cada uma e as tabelas complementares. O documento detalha a construção do corpus anotado manualmente, o protocolo de divisão amostral, os critérios de seleção de hiperparâmetros e as ameaças à validade dos resultados.</w:t>
      </w:r>
    </w:p>
    <w:p>
      <w:pPr>
        <w:spacing w:after="120"/>
        <w:ind w:firstLine="709"/>
      </w:pPr>
    </w:p>
    <w:p>
      <w:pPr>
        <w:spacing w:after="120"/>
      </w:pPr>
      <w:r>
        <w:rPr>
          <w:b w:val="0"/>
          <w:i w:val="0"/>
        </w:rPr>
        <w:t>Palavras-chave: processamento de linguagem natural; BERT; BERTimbau; classificação de texto; violência armada; indicadores de segurança pública.</w:t>
      </w:r>
    </w:p>
    <w:p>
      <w:r>
        <w:br w:type="page"/>
      </w:r>
    </w:p>
    <w:p>
      <w:pPr>
        <w:pStyle w:val="Heading1"/>
      </w:pPr>
      <w:r>
        <w:t>Sumário</w:t>
      </w:r>
    </w:p>
    <w:p>
      <w:fldSimple w:instr="TOC \o &quot;1-3&quot; \h \z \u">
        <w:r>
          <w:t>Atualize o sumário no Word: clique com o botão direito e escolha “Atualizar campo”.</w:t>
        </w:r>
      </w:fldSimple>
    </w:p>
    <w:p>
      <w:r>
        <w:br w:type="page"/>
      </w:r>
    </w:p>
    <w:p>
      <w:pPr>
        <w:pStyle w:val="Heading1"/>
      </w:pPr>
      <w:r>
        <w:t>1 Introdução</w:t>
      </w:r>
    </w:p>
    <w:p>
      <w:pPr>
        <w:pStyle w:val="Heading2"/>
      </w:pPr>
      <w:r>
        <w:t>1.1 Contextualização</w:t>
      </w:r>
    </w:p>
    <w:p>
      <w:pPr>
        <w:spacing w:after="120"/>
        <w:ind w:firstLine="709"/>
      </w:pPr>
      <w:r>
        <w:rPr>
          <w:b w:val="0"/>
          <w:i w:val="0"/>
        </w:rPr>
        <w:t>Instituições que monitoram violência armada constroem seus indicadores a partir da leitura de notícias. Um analista lê cada texto, decide se o caso pertence ao escopo, classifica a dinâmica do episódio e registra as vítimas. O procedimento é confiável quando conduzido por pessoas treinadas, mas o seu custo cresce linearmente com o volume de notícias, e é esse custo que fixa o teto do que se consegue monitorar.</w:t>
      </w:r>
    </w:p>
    <w:p>
      <w:pPr>
        <w:spacing w:after="120"/>
        <w:ind w:firstLine="709"/>
      </w:pPr>
      <w:r>
        <w:rPr>
          <w:b w:val="0"/>
          <w:i w:val="0"/>
        </w:rPr>
        <w:t>A consequência não é apenas de produtividade. Quando a triagem não acompanha o fluxo de publicações, os indicadores passam a descrever um recorte parcial e defasado da realidade, o que compromete o seu uso em decisões de política pública e em comunicação pública.</w:t>
      </w:r>
    </w:p>
    <w:p>
      <w:pPr>
        <w:pStyle w:val="Heading2"/>
      </w:pPr>
      <w:r>
        <w:t>1.2 Problema</w:t>
      </w:r>
    </w:p>
    <w:p>
      <w:pPr>
        <w:spacing w:after="120"/>
        <w:ind w:firstLine="709"/>
      </w:pPr>
      <w:r>
        <w:rPr>
          <w:b w:val="0"/>
          <w:i w:val="0"/>
        </w:rPr>
        <w:t>O problema tratado é o da triagem e classificação automáticas de notícias para alimentar indicadores de violência armada, preservando a qualidade da classificação manual. A dificuldade está em três pontos. Primeiro, a decisão de escopo é sutil: muitas notícias mencionam armas de fogo sem relatar disparo, e o recorte do banco é estrito — registra-se disparo de arma de fogo, e vítima é apenas quem foi atingido por disparo, não quem se feriu em queda, correria, estilhaço ou mal-estar durante o fato. Segundo, os indicadores não são mutuamente evidentes a partir de palavras isoladas, pois dependem da relação entre quem atirou, contra quem e em que circunstância: a mesma expressão aparece em notícias que recebem indicadores diferentes. Terceiro, a contagem de vítimas exige consolidar fontes diferentes sobre o mesmo fato sem somá-las indevidamente.</w:t>
      </w:r>
    </w:p>
    <w:p>
      <w:pPr>
        <w:pStyle w:val="Heading2"/>
      </w:pPr>
      <w:r>
        <w:t>1.3 Objetivos</w:t>
      </w:r>
    </w:p>
    <w:p>
      <w:pPr>
        <w:spacing w:after="120"/>
        <w:ind w:firstLine="709"/>
      </w:pPr>
      <w:r>
        <w:rPr>
          <w:b w:val="0"/>
          <w:i w:val="0"/>
        </w:rPr>
        <w:t>O objetivo geral é projetar, implementar e avaliar um sistema de classificação automática de notícias de violência armada em indicadores, no qual um classificador ajustado decide QUAIS indicadores a notícia sustenta e um modelo de linguagem de grande porte aprofunda apenas os indicadores marcados, extraindo deles a lista de vítimas e os campos estruturados.</w:t>
      </w:r>
    </w:p>
    <w:p>
      <w:pPr>
        <w:spacing w:after="120"/>
      </w:pPr>
      <w:r>
        <w:rPr>
          <w:b w:val="0"/>
          <w:i w:val="0"/>
        </w:rPr>
        <w:t>Os objetivos específicos são:</w:t>
      </w:r>
    </w:p>
    <w:p>
      <w:pPr>
        <w:pStyle w:val="ListBullet"/>
        <w:spacing w:line="360" w:lineRule="auto" w:after="80"/>
        <w:ind w:left="709"/>
      </w:pPr>
      <w:r>
        <w:t>construir um corpus de notícias anotado manualmente, com registro da fonte de cada exemplo, e disponibilizar ferramenta própria de anotação;</w:t>
      </w:r>
    </w:p>
    <w:p>
      <w:pPr>
        <w:pStyle w:val="ListBullet"/>
        <w:spacing w:line="360" w:lineRule="auto" w:after="80"/>
        <w:ind w:left="709"/>
      </w:pPr>
      <w:r>
        <w:t>comparar modelos pré-treinados monolíngues de português na atribuição multirrótulo dos 7 indicadores;</w:t>
      </w:r>
    </w:p>
    <w:p>
      <w:pPr>
        <w:pStyle w:val="ListBullet"/>
        <w:spacing w:line="360" w:lineRule="auto" w:after="80"/>
        <w:ind w:left="709"/>
      </w:pPr>
      <w:r>
        <w:t>comparar as 3 estratégias de ajuste — uma rede com uma saída por indicador, uma rede binária por indicador, e um comitê de três modelos por indicador com decisão por votação — na mesma partição de teste;</w:t>
      </w:r>
    </w:p>
    <w:p>
      <w:pPr>
        <w:pStyle w:val="ListBullet"/>
        <w:spacing w:line="360" w:lineRule="auto" w:after="80"/>
        <w:ind w:left="709"/>
      </w:pPr>
      <w:r>
        <w:t>conduzir busca de hiperparâmetros e relatar o seu efeito sobre o desempenho;</w:t>
      </w:r>
    </w:p>
    <w:p>
      <w:pPr>
        <w:pStyle w:val="ListBullet"/>
        <w:spacing w:line="360" w:lineRule="auto" w:after="80"/>
        <w:ind w:left="709"/>
      </w:pPr>
      <w:r>
        <w:t>relatar acurácia, precisão, recall, medida F1 e matriz de confusão para cada combinação de modelo e configuração;</w:t>
      </w:r>
    </w:p>
    <w:p>
      <w:pPr>
        <w:pStyle w:val="ListBullet"/>
        <w:spacing w:line="360" w:lineRule="auto" w:after="80"/>
        <w:ind w:left="709"/>
      </w:pPr>
      <w:r>
        <w:t>avaliar o ganho da camada de modelo de linguagem sobre a saída dos classificadores.</w:t>
      </w:r>
    </w:p>
    <w:p>
      <w:pPr>
        <w:pStyle w:val="Heading2"/>
      </w:pPr>
      <w:r>
        <w:t>1.4 Justificativa</w:t>
      </w:r>
    </w:p>
    <w:p>
      <w:pPr>
        <w:spacing w:after="120"/>
        <w:ind w:firstLine="709"/>
      </w:pPr>
      <w:r>
        <w:rPr>
          <w:b w:val="0"/>
          <w:i w:val="0"/>
        </w:rPr>
        <w:t>A divisão de trabalho entre o classificador e o modelo de linguagem não é um detalhe de implementação, e sim a resposta a uma restrição de custo medida em produção. Submeter toda notícia coletada a um modelo de linguagem de grande porte é caro e lento, e o limite não é teórico: o plano contratado concede 8.000 tokens por minuto, enquanto uma chamada que carrega as instruções de todos os indicadores consome cerca de 6.800 — uma classificação por minuto. Com a marcação prévia, apenas as instruções das classes marcadas viajam, e a mesma chamada cai para cerca de 4.200 tokens.</w:t>
      </w:r>
    </w:p>
    <w:p>
      <w:pPr>
        <w:spacing w:after="120"/>
        <w:ind w:firstLine="709"/>
      </w:pPr>
      <w:r>
        <w:rPr>
          <w:b w:val="0"/>
          <w:i w:val="0"/>
        </w:rPr>
        <w:t>A folga assim obtida não é só economia. Ela é o que permite elevar o esforço de raciocínio do modelo de linguagem, e esse parâmetro mostrou-se decisivo para a estabilidade da extração: com esforço baixo, a mesma notícia submetida oito vezes produziu contagens de vítimas divergentes em quatro delas, inclusive uma lista vazia para um texto que descreve duas pessoas atingidas; com esforço médio, as cinco execuções foram concordantes. O classificador, portanto, não apenas reduz o custo: ele compra a margem de que a etapa seguinte precisa para ser confiável.</w:t>
      </w:r>
    </w:p>
    <w:p>
      <w:pPr>
        <w:spacing w:after="120"/>
        <w:ind w:firstLine="709"/>
      </w:pPr>
      <w:r>
        <w:rPr>
          <w:b w:val="0"/>
          <w:i w:val="0"/>
        </w:rPr>
        <w:t>O desenho também torna o sistema auditável. A marcação é registrada com a confiança de cada classe antes de o modelo de linguagem ver o texto, de modo que um erro do classificador corrigido adiante não desaparece do registro. É esse registro que permite dizer se um erro veio da marcação ou da extração, e é dele que sai o exemplo para o treino seguinte.</w:t>
      </w:r>
    </w:p>
    <w:p>
      <w:r>
        <w:br w:type="page"/>
      </w:r>
    </w:p>
    <w:p>
      <w:pPr>
        <w:pStyle w:val="Heading1"/>
      </w:pPr>
      <w:r>
        <w:t>2 Fundamentação teórica</w:t>
      </w:r>
    </w:p>
    <w:p>
      <w:pPr>
        <w:pStyle w:val="Heading2"/>
      </w:pPr>
      <w:r>
        <w:t>2.1 Representações contextuais e a arquitetura Transformer</w:t>
      </w:r>
    </w:p>
    <w:p>
      <w:pPr>
        <w:spacing w:after="120"/>
        <w:ind w:firstLine="709"/>
      </w:pPr>
      <w:r>
        <w:rPr>
          <w:b w:val="0"/>
          <w:i w:val="0"/>
        </w:rPr>
        <w:t>Modelos de linguagem baseados na arquitetura Transformer representam cada palavra em função do contexto em que ela aparece, por meio do mecanismo de autoatenção. A diferença em relação a representações estáticas é decisiva para o problema aqui tratado: em “a polícia apreendeu a arma” e “a polícia atirou com a arma”, a palavra “arma” ocupa papéis distintos, e só uma representação sensível ao contexto distingue os dois casos.</w:t>
      </w:r>
    </w:p>
    <w:p>
      <w:pPr>
        <w:pStyle w:val="Heading2"/>
      </w:pPr>
      <w:r>
        <w:t>2.2 BERT e o pré-treinamento</w:t>
      </w:r>
    </w:p>
    <w:p>
      <w:pPr>
        <w:spacing w:after="120"/>
        <w:ind w:firstLine="709"/>
      </w:pPr>
      <w:r>
        <w:rPr>
          <w:b w:val="0"/>
          <w:i w:val="0"/>
        </w:rPr>
        <w:t>O BERT é treinado em duas tarefas não supervisionadas sobre grandes volumes de texto, entre elas a predição de palavras mascaradas, o que o obriga a modelar dependências em ambas as direções da sentença. O resultado é um conjunto de pesos que já codifica regularidades sintáticas e semânticas da língua e que pode ser especializado para uma tarefa específica com uma quantidade de exemplos anotados muito menor do que a exigida por um modelo treinado a partir do zero.</w:t>
      </w:r>
    </w:p>
    <w:p>
      <w:pPr>
        <w:pStyle w:val="Heading2"/>
      </w:pPr>
      <w:r>
        <w:t>2.3 Modelos para português</w:t>
      </w:r>
    </w:p>
    <w:p>
      <w:pPr>
        <w:spacing w:after="120"/>
        <w:ind w:firstLine="709"/>
      </w:pPr>
      <w:r>
        <w:rPr>
          <w:b w:val="0"/>
          <w:i w:val="0"/>
        </w:rPr>
        <w:t>Modelos multilíngues cobrem dezenas de idiomas com um único vocabulário de subpalavras, o que reduz a capacidade dedicada a cada língua. Modelos monolíngues de português, treinados sobre corpora da língua, tendem a segmentar melhor o vocabulário e a capturar construções próprias do português brasileiro, incluindo o registro jornalístico e os termos do campo da segurança pública.</w:t>
      </w:r>
    </w:p>
    <w:p>
      <w:pPr>
        <w:spacing w:after="120"/>
        <w:ind w:firstLine="709"/>
      </w:pPr>
      <w:r>
        <w:rPr>
          <w:b w:val="0"/>
          <w:i w:val="0"/>
        </w:rPr>
        <w:t>Este trabalho adota o pré-treinamento monolíngue como PREMISSA, e não como hipótese a testar: a comparação restringe-se a modelos de português, e nenhum modelo multilíngue é submetido. A decisão é de recorte, e tem consequência sobre o que se pode afirmar ao final — os resultados permitem dizer qual modelo de português se comporta melhor nesta tarefa, e não se o pré-treinamento em português é superior ao multilíngue. Verificar essa superioridade exigiria incluir ao menos um modelo multilíngue, e fica registrada entre os trabalhos futuros.</w:t>
      </w:r>
    </w:p>
    <w:p>
      <w:pPr>
        <w:pStyle w:val="Heading2"/>
      </w:pPr>
      <w:r>
        <w:t>2.4 Ajuste fino</w:t>
      </w:r>
    </w:p>
    <w:p>
      <w:pPr>
        <w:spacing w:after="120"/>
        <w:ind w:firstLine="709"/>
      </w:pPr>
      <w:r>
        <w:rPr>
          <w:b w:val="0"/>
          <w:i w:val="0"/>
        </w:rPr>
        <w:t>O ajuste fino acrescenta ao modelo pré-treinado uma camada de classificação inicializada aleatoriamente e atualiza todos os pesos com os exemplos anotados da tarefa. Corpora pequenos tornam o procedimento sensível: taxas de aprendizado elevadas destroem o conhecimento adquirido no pré-treinamento, e um número grande de épocas leva o modelo a memorizar o conjunto de treino em vez de generalizar. É por isso que a busca de hiperparâmetros descrita na seção 8 trabalha em uma faixa estreita e deliberadamente conservadora.</w:t>
      </w:r>
    </w:p>
    <w:p>
      <w:pPr>
        <w:pStyle w:val="Heading2"/>
      </w:pPr>
      <w:r>
        <w:t>2.5 Métricas de classificação</w:t>
      </w:r>
    </w:p>
    <w:p>
      <w:pPr>
        <w:spacing w:after="120"/>
        <w:ind w:firstLine="709"/>
      </w:pPr>
      <w:r>
        <w:rPr>
          <w:b w:val="0"/>
          <w:i w:val="0"/>
        </w:rPr>
        <w:t>Seja, para uma classe, VP o número de verdadeiros positivos, FP o de falsos positivos, VN o de verdadeiros negativos e FN o de falsos negativos. Definem-se:</w:t>
      </w:r>
    </w:p>
    <w:p>
      <w:pPr>
        <w:spacing w:after="120"/>
        <w:ind w:firstLine="709"/>
      </w:pP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shd w:val="clear" w:color="auto" w:fill="E6EAF0"/>
          </w:tcPr>
          <w:p>
            <w:pPr>
              <w:spacing w:line="240" w:lineRule="auto" w:after="40" w:before="40"/>
              <w:jc w:val="left"/>
            </w:pPr>
            <w:r/>
            <w:r>
              <w:rPr>
                <w:b/>
                <w:sz w:val="20"/>
              </w:rPr>
              <w:t>Métrica</w:t>
            </w:r>
          </w:p>
        </w:tc>
        <w:tc>
          <w:tcPr>
            <w:tcW w:type="dxa" w:w="3515"/>
            <w:shd w:val="clear" w:color="auto" w:fill="E6EAF0"/>
          </w:tcPr>
          <w:p>
            <w:pPr>
              <w:spacing w:line="240" w:lineRule="auto" w:after="40" w:before="40"/>
              <w:jc w:val="left"/>
            </w:pPr>
            <w:r/>
            <w:r>
              <w:rPr>
                <w:b/>
                <w:sz w:val="20"/>
              </w:rPr>
              <w:t>Definição</w:t>
            </w:r>
          </w:p>
        </w:tc>
        <w:tc>
          <w:tcPr>
            <w:tcW w:type="dxa" w:w="4082"/>
            <w:shd w:val="clear" w:color="auto" w:fill="E6EAF0"/>
          </w:tcPr>
          <w:p>
            <w:pPr>
              <w:spacing w:line="240" w:lineRule="auto" w:after="40" w:before="40"/>
              <w:jc w:val="left"/>
            </w:pPr>
            <w:r/>
            <w:r>
              <w:rPr>
                <w:b/>
                <w:sz w:val="20"/>
              </w:rPr>
              <w:t>O que responde</w:t>
            </w:r>
          </w:p>
        </w:tc>
      </w:tr>
      <w:tr>
        <w:tc>
          <w:tcPr>
            <w:tcW w:type="dxa" w:w="1474"/>
          </w:tcPr>
          <w:p>
            <w:pPr>
              <w:spacing w:line="240" w:lineRule="auto" w:after="40" w:before="40"/>
              <w:jc w:val="left"/>
            </w:pPr>
            <w:r/>
            <w:r>
              <w:rPr>
                <w:b w:val="0"/>
                <w:sz w:val="20"/>
              </w:rPr>
              <w:t>Acurácia</w:t>
            </w:r>
          </w:p>
        </w:tc>
        <w:tc>
          <w:tcPr>
            <w:tcW w:type="dxa" w:w="3515"/>
          </w:tcPr>
          <w:p>
            <w:pPr>
              <w:spacing w:line="240" w:lineRule="auto" w:after="40" w:before="40"/>
              <w:jc w:val="left"/>
            </w:pPr>
            <w:r/>
            <w:r>
              <w:rPr>
                <w:b w:val="0"/>
                <w:sz w:val="20"/>
              </w:rPr>
              <w:t>(VP + VN) / (VP + VN + FP + FN)</w:t>
            </w:r>
          </w:p>
        </w:tc>
        <w:tc>
          <w:tcPr>
            <w:tcW w:type="dxa" w:w="4082"/>
          </w:tcPr>
          <w:p>
            <w:pPr>
              <w:spacing w:line="240" w:lineRule="auto" w:after="40" w:before="40"/>
              <w:jc w:val="left"/>
            </w:pPr>
            <w:r/>
            <w:r>
              <w:rPr>
                <w:b w:val="0"/>
                <w:sz w:val="20"/>
              </w:rPr>
              <w:t>Que fração de todas as decisões está correta.</w:t>
            </w:r>
          </w:p>
        </w:tc>
      </w:tr>
      <w:tr>
        <w:tc>
          <w:tcPr>
            <w:tcW w:type="dxa" w:w="1474"/>
          </w:tcPr>
          <w:p>
            <w:pPr>
              <w:spacing w:line="240" w:lineRule="auto" w:after="40" w:before="40"/>
              <w:jc w:val="left"/>
            </w:pPr>
            <w:r/>
            <w:r>
              <w:rPr>
                <w:b w:val="0"/>
                <w:sz w:val="20"/>
              </w:rPr>
              <w:t>Precisão</w:t>
            </w:r>
          </w:p>
        </w:tc>
        <w:tc>
          <w:tcPr>
            <w:tcW w:type="dxa" w:w="3515"/>
          </w:tcPr>
          <w:p>
            <w:pPr>
              <w:spacing w:line="240" w:lineRule="auto" w:after="40" w:before="40"/>
              <w:jc w:val="left"/>
            </w:pPr>
            <w:r/>
            <w:r>
              <w:rPr>
                <w:b w:val="0"/>
                <w:sz w:val="20"/>
              </w:rPr>
              <w:t>VP / (VP + FP)</w:t>
            </w:r>
          </w:p>
        </w:tc>
        <w:tc>
          <w:tcPr>
            <w:tcW w:type="dxa" w:w="4082"/>
          </w:tcPr>
          <w:p>
            <w:pPr>
              <w:spacing w:line="240" w:lineRule="auto" w:after="40" w:before="40"/>
              <w:jc w:val="left"/>
            </w:pPr>
            <w:r/>
            <w:r>
              <w:rPr>
                <w:b w:val="0"/>
                <w:sz w:val="20"/>
              </w:rPr>
              <w:t>Entre os casos apontados como da classe, quantos realmente são.</w:t>
            </w:r>
          </w:p>
        </w:tc>
      </w:tr>
      <w:tr>
        <w:tc>
          <w:tcPr>
            <w:tcW w:type="dxa" w:w="1474"/>
          </w:tcPr>
          <w:p>
            <w:pPr>
              <w:spacing w:line="240" w:lineRule="auto" w:after="40" w:before="40"/>
              <w:jc w:val="left"/>
            </w:pPr>
            <w:r/>
            <w:r>
              <w:rPr>
                <w:b w:val="0"/>
                <w:sz w:val="20"/>
              </w:rPr>
              <w:t>Recall</w:t>
            </w:r>
          </w:p>
        </w:tc>
        <w:tc>
          <w:tcPr>
            <w:tcW w:type="dxa" w:w="3515"/>
          </w:tcPr>
          <w:p>
            <w:pPr>
              <w:spacing w:line="240" w:lineRule="auto" w:after="40" w:before="40"/>
              <w:jc w:val="left"/>
            </w:pPr>
            <w:r/>
            <w:r>
              <w:rPr>
                <w:b w:val="0"/>
                <w:sz w:val="20"/>
              </w:rPr>
              <w:t>VP / (VP + FN)</w:t>
            </w:r>
          </w:p>
        </w:tc>
        <w:tc>
          <w:tcPr>
            <w:tcW w:type="dxa" w:w="4082"/>
          </w:tcPr>
          <w:p>
            <w:pPr>
              <w:spacing w:line="240" w:lineRule="auto" w:after="40" w:before="40"/>
              <w:jc w:val="left"/>
            </w:pPr>
            <w:r/>
            <w:r>
              <w:rPr>
                <w:b w:val="0"/>
                <w:sz w:val="20"/>
              </w:rPr>
              <w:t>Entre os casos que são da classe, quantos o modelo encontrou.</w:t>
            </w:r>
          </w:p>
        </w:tc>
      </w:tr>
      <w:tr>
        <w:tc>
          <w:tcPr>
            <w:tcW w:type="dxa" w:w="1474"/>
          </w:tcPr>
          <w:p>
            <w:pPr>
              <w:spacing w:line="240" w:lineRule="auto" w:after="40" w:before="40"/>
              <w:jc w:val="left"/>
            </w:pPr>
            <w:r/>
            <w:r>
              <w:rPr>
                <w:b w:val="0"/>
                <w:sz w:val="20"/>
              </w:rPr>
              <w:t>Medida F1</w:t>
            </w:r>
          </w:p>
        </w:tc>
        <w:tc>
          <w:tcPr>
            <w:tcW w:type="dxa" w:w="3515"/>
          </w:tcPr>
          <w:p>
            <w:pPr>
              <w:spacing w:line="240" w:lineRule="auto" w:after="40" w:before="40"/>
              <w:jc w:val="left"/>
            </w:pPr>
            <w:r/>
            <w:r>
              <w:rPr>
                <w:b w:val="0"/>
                <w:sz w:val="20"/>
              </w:rPr>
              <w:t>2 · (precisão · recall) / (precisão + recall)</w:t>
            </w:r>
          </w:p>
        </w:tc>
        <w:tc>
          <w:tcPr>
            <w:tcW w:type="dxa" w:w="4082"/>
          </w:tcPr>
          <w:p>
            <w:pPr>
              <w:spacing w:line="240" w:lineRule="auto" w:after="40" w:before="40"/>
              <w:jc w:val="left"/>
            </w:pPr>
            <w:r/>
            <w:r>
              <w:rPr>
                <w:b w:val="0"/>
                <w:sz w:val="20"/>
              </w:rPr>
              <w:t>Média harmônica entre precisão e recall, penalizando desequilíbrio.</w:t>
            </w:r>
          </w:p>
        </w:tc>
      </w:tr>
    </w:tbl>
    <w:p>
      <w:pPr>
        <w:spacing w:before="40" w:after="240" w:line="240" w:lineRule="auto"/>
        <w:jc w:val="left"/>
      </w:pPr>
      <w:r>
        <w:rPr>
          <w:color w:val="444444"/>
          <w:sz w:val="20"/>
        </w:rPr>
        <w:t>Tabela 1 — Métricas de classificação adotadas.</w:t>
      </w:r>
    </w:p>
    <w:p>
      <w:pPr>
        <w:spacing w:after="120"/>
        <w:ind w:firstLine="709"/>
      </w:pPr>
      <w:r>
        <w:rPr>
          <w:b w:val="0"/>
          <w:i w:val="0"/>
        </w:rPr>
        <w:t>A escolha da forma de agregação entre classes é metodologicamente relevante. A média macro calcula a métrica para cada classe e tira a média simples, atribuindo o mesmo peso a todas; a média ponderada pesa cada classe pelo seu número de exemplos. Em um corpus desbalanceado, a acurácia e as médias ponderadas podem ser altas enquanto as classes raras são sistematicamente erradas, porque acertar a classe majoritária já garante a maior parte do resultado. Por esse motivo, a medida F1 macro é adotada como métrica principal de comparação, e as demais são reportadas como complemento.</w:t>
      </w:r>
    </w:p>
    <w:p>
      <w:pPr>
        <w:pStyle w:val="Heading2"/>
      </w:pPr>
      <w:r>
        <w:t>2.6 Matriz de confusão</w:t>
      </w:r>
    </w:p>
    <w:p>
      <w:pPr>
        <w:spacing w:after="120"/>
        <w:ind w:firstLine="709"/>
      </w:pPr>
      <w:r>
        <w:rPr>
          <w:b w:val="0"/>
          <w:i w:val="0"/>
        </w:rPr>
        <w:t>A matriz de confusão dispõe os rótulos verdadeiros nas linhas e as predições nas colunas. A diagonal principal contém os acertos; cada célula fora dela indica com qual classe o modelo confundiu a classe da linha. Seu valor diagnóstico está justamente fora da diagonal: ela mostra se os erros se concentram em pares de classes semanticamente próximas, o que sugere revisão dos critérios de anotação, ou se estão dispersos, o que sugere insuficiência de exemplos.</w:t>
      </w:r>
    </w:p>
    <w:p>
      <w:pPr>
        <w:spacing w:after="120"/>
        <w:ind w:firstLine="709"/>
      </w:pPr>
      <w:r>
        <w:rPr>
          <w:b w:val="0"/>
          <w:i w:val="0"/>
        </w:rPr>
        <w:t>Para tarefas multirrótulo, em que uma notícia pode receber mais de um indicador simultaneamente, não existe matriz única. Reporta-se então uma matriz 2×2 por indicador, cada uma tratando a presença daquele indicador como problema binário independente.</w:t>
      </w:r>
    </w:p>
    <w:p>
      <w:r>
        <w:br w:type="page"/>
      </w:r>
    </w:p>
    <w:p>
      <w:pPr>
        <w:pStyle w:val="Heading1"/>
      </w:pPr>
      <w:r>
        <w:t>3 Arquitetura da solução</w:t>
      </w:r>
    </w:p>
    <w:p>
      <w:pPr>
        <w:pStyle w:val="Heading2"/>
      </w:pPr>
      <w:r>
        <w:t>3.1 Visão geral</w:t>
      </w:r>
    </w:p>
    <w:p>
      <w:pPr>
        <w:spacing w:after="120"/>
        <w:ind w:firstLine="709"/>
      </w:pPr>
      <w:r>
        <w:rPr>
          <w:b w:val="0"/>
          <w:i w:val="0"/>
        </w:rPr>
        <w:t>A notícia entra por uma fila de recebidas, com o endereço eletrônico, a data informada e o texto integral. O classificador a lê e atribui, a cada indicador, uma decisão que não é binária: na estratégia de comitê, conta-se quantos dos três modelos marcaram aquele indicador, e a notícia é encaminhada conforme a concordância — nenhum voto exige revisão humana, voto isolado gera alerta a ser verificado, e dois ou três seguem adiante. Somente o que segue chega ao modelo de linguagem, e ele recebe apenas as instruções dos indicadores marcados. Sua tarefa é aprofundá-los: montar a lista de pessoas atingidas, preencher a ficha de cada uma e as tabelas complementares. O resultado é gravado com situação “não aprovado” e segue para revisão humana; ao ser aprovado, cada notícia da ocorrência retorna ao corpus como exemplo rotulado, fechando o ciclo de treino.</w:t>
      </w:r>
    </w:p>
    <w:p>
      <w:pPr>
        <w:spacing w:after="120"/>
        <w:ind w:firstLine="709"/>
      </w:pP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928"/>
            <w:shd w:val="clear" w:color="auto" w:fill="E6EAF0"/>
          </w:tcPr>
          <w:p>
            <w:pPr>
              <w:spacing w:line="240" w:lineRule="auto" w:after="40" w:before="40"/>
              <w:jc w:val="left"/>
            </w:pPr>
            <w:r/>
            <w:r>
              <w:rPr>
                <w:b/>
                <w:sz w:val="20"/>
              </w:rPr>
              <w:t>Etapa</w:t>
            </w:r>
          </w:p>
        </w:tc>
        <w:tc>
          <w:tcPr>
            <w:tcW w:type="dxa" w:w="1361"/>
            <w:shd w:val="clear" w:color="auto" w:fill="E6EAF0"/>
          </w:tcPr>
          <w:p>
            <w:pPr>
              <w:spacing w:line="240" w:lineRule="auto" w:after="40" w:before="40"/>
              <w:jc w:val="left"/>
            </w:pPr>
            <w:r/>
            <w:r>
              <w:rPr>
                <w:b/>
                <w:sz w:val="20"/>
              </w:rPr>
              <w:t>Natureza</w:t>
            </w:r>
          </w:p>
        </w:tc>
        <w:tc>
          <w:tcPr>
            <w:tcW w:type="dxa" w:w="5783"/>
            <w:shd w:val="clear" w:color="auto" w:fill="E6EAF0"/>
          </w:tcPr>
          <w:p>
            <w:pPr>
              <w:spacing w:line="240" w:lineRule="auto" w:after="40" w:before="40"/>
              <w:jc w:val="left"/>
            </w:pPr>
            <w:r/>
            <w:r>
              <w:rPr>
                <w:b/>
                <w:sz w:val="20"/>
              </w:rPr>
              <w:t>Descrição</w:t>
            </w:r>
          </w:p>
        </w:tc>
      </w:tr>
      <w:tr>
        <w:tc>
          <w:tcPr>
            <w:tcW w:type="dxa" w:w="1928"/>
          </w:tcPr>
          <w:p>
            <w:pPr>
              <w:spacing w:line="240" w:lineRule="auto" w:after="40" w:before="40"/>
              <w:jc w:val="left"/>
            </w:pPr>
            <w:r/>
            <w:r>
              <w:rPr>
                <w:b w:val="0"/>
                <w:sz w:val="20"/>
              </w:rPr>
              <w:t>1. Recebimento</w:t>
            </w:r>
          </w:p>
        </w:tc>
        <w:tc>
          <w:tcPr>
            <w:tcW w:type="dxa" w:w="1361"/>
          </w:tcPr>
          <w:p>
            <w:pPr>
              <w:spacing w:line="240" w:lineRule="auto" w:after="40" w:before="40"/>
              <w:jc w:val="left"/>
            </w:pPr>
            <w:r/>
            <w:r>
              <w:rPr>
                <w:b w:val="0"/>
                <w:sz w:val="20"/>
              </w:rPr>
              <w:t>humana</w:t>
            </w:r>
          </w:p>
        </w:tc>
        <w:tc>
          <w:tcPr>
            <w:tcW w:type="dxa" w:w="5783"/>
          </w:tcPr>
          <w:p>
            <w:pPr>
              <w:spacing w:line="240" w:lineRule="auto" w:after="40" w:before="40"/>
              <w:jc w:val="left"/>
            </w:pPr>
            <w:r/>
            <w:r>
              <w:rPr>
                <w:b w:val="0"/>
                <w:sz w:val="20"/>
              </w:rPr>
              <w:t>Analista informa endereço eletrônico, data e texto.</w:t>
            </w:r>
          </w:p>
        </w:tc>
      </w:tr>
      <w:tr>
        <w:tc>
          <w:tcPr>
            <w:tcW w:type="dxa" w:w="1928"/>
          </w:tcPr>
          <w:p>
            <w:pPr>
              <w:spacing w:line="240" w:lineRule="auto" w:after="40" w:before="40"/>
              <w:jc w:val="left"/>
            </w:pPr>
            <w:r/>
            <w:r>
              <w:rPr>
                <w:b w:val="0"/>
                <w:sz w:val="20"/>
              </w:rPr>
              <w:t>2. Marcação</w:t>
            </w:r>
          </w:p>
        </w:tc>
        <w:tc>
          <w:tcPr>
            <w:tcW w:type="dxa" w:w="1361"/>
          </w:tcPr>
          <w:p>
            <w:pPr>
              <w:spacing w:line="240" w:lineRule="auto" w:after="40" w:before="40"/>
              <w:jc w:val="left"/>
            </w:pPr>
            <w:r/>
            <w:r>
              <w:rPr>
                <w:b w:val="0"/>
                <w:sz w:val="20"/>
              </w:rPr>
              <w:t>automática</w:t>
            </w:r>
          </w:p>
        </w:tc>
        <w:tc>
          <w:tcPr>
            <w:tcW w:type="dxa" w:w="5783"/>
          </w:tcPr>
          <w:p>
            <w:pPr>
              <w:spacing w:line="240" w:lineRule="auto" w:after="40" w:before="40"/>
              <w:jc w:val="left"/>
            </w:pPr>
            <w:r/>
            <w:r>
              <w:rPr>
                <w:b w:val="0"/>
                <w:sz w:val="20"/>
              </w:rPr>
              <w:t>Classificador multirrótulo atribui indicadores.</w:t>
            </w:r>
          </w:p>
        </w:tc>
      </w:tr>
      <w:tr>
        <w:tc>
          <w:tcPr>
            <w:tcW w:type="dxa" w:w="1928"/>
          </w:tcPr>
          <w:p>
            <w:pPr>
              <w:spacing w:line="240" w:lineRule="auto" w:after="40" w:before="40"/>
              <w:jc w:val="left"/>
            </w:pPr>
            <w:r/>
            <w:r>
              <w:rPr>
                <w:b w:val="0"/>
                <w:sz w:val="20"/>
              </w:rPr>
              <w:t>3. Triagem</w:t>
            </w:r>
          </w:p>
        </w:tc>
        <w:tc>
          <w:tcPr>
            <w:tcW w:type="dxa" w:w="1361"/>
          </w:tcPr>
          <w:p>
            <w:pPr>
              <w:spacing w:line="240" w:lineRule="auto" w:after="40" w:before="40"/>
              <w:jc w:val="left"/>
            </w:pPr>
            <w:r/>
            <w:r>
              <w:rPr>
                <w:b w:val="0"/>
                <w:sz w:val="20"/>
              </w:rPr>
              <w:t>automática</w:t>
            </w:r>
          </w:p>
        </w:tc>
        <w:tc>
          <w:tcPr>
            <w:tcW w:type="dxa" w:w="5783"/>
          </w:tcPr>
          <w:p>
            <w:pPr>
              <w:spacing w:line="240" w:lineRule="auto" w:after="40" w:before="40"/>
              <w:jc w:val="left"/>
            </w:pPr>
            <w:r/>
            <w:r>
              <w:rPr>
                <w:b w:val="0"/>
                <w:sz w:val="20"/>
              </w:rPr>
              <w:t>Encaminhamento por faixa de concordância.</w:t>
            </w:r>
          </w:p>
        </w:tc>
      </w:tr>
      <w:tr>
        <w:tc>
          <w:tcPr>
            <w:tcW w:type="dxa" w:w="1928"/>
          </w:tcPr>
          <w:p>
            <w:pPr>
              <w:spacing w:line="240" w:lineRule="auto" w:after="40" w:before="40"/>
              <w:jc w:val="left"/>
            </w:pPr>
            <w:r/>
            <w:r>
              <w:rPr>
                <w:b w:val="0"/>
                <w:sz w:val="20"/>
              </w:rPr>
              <w:t>4. Revisão da faixa</w:t>
            </w:r>
          </w:p>
        </w:tc>
        <w:tc>
          <w:tcPr>
            <w:tcW w:type="dxa" w:w="1361"/>
          </w:tcPr>
          <w:p>
            <w:pPr>
              <w:spacing w:line="240" w:lineRule="auto" w:after="40" w:before="40"/>
              <w:jc w:val="left"/>
            </w:pPr>
            <w:r/>
            <w:r>
              <w:rPr>
                <w:b w:val="0"/>
                <w:sz w:val="20"/>
              </w:rPr>
              <w:t>humana</w:t>
            </w:r>
          </w:p>
        </w:tc>
        <w:tc>
          <w:tcPr>
            <w:tcW w:type="dxa" w:w="5783"/>
          </w:tcPr>
          <w:p>
            <w:pPr>
              <w:spacing w:line="240" w:lineRule="auto" w:after="40" w:before="40"/>
              <w:jc w:val="left"/>
            </w:pPr>
            <w:r/>
            <w:r>
              <w:rPr>
                <w:b w:val="0"/>
                <w:sz w:val="20"/>
              </w:rPr>
              <w:t>Confirmação do que ficou sem voto ou com voto isolado.</w:t>
            </w:r>
          </w:p>
        </w:tc>
      </w:tr>
      <w:tr>
        <w:tc>
          <w:tcPr>
            <w:tcW w:type="dxa" w:w="1928"/>
          </w:tcPr>
          <w:p>
            <w:pPr>
              <w:spacing w:line="240" w:lineRule="auto" w:after="40" w:before="40"/>
              <w:jc w:val="left"/>
            </w:pPr>
            <w:r/>
            <w:r>
              <w:rPr>
                <w:b w:val="0"/>
                <w:sz w:val="20"/>
              </w:rPr>
              <w:t>5. Abertura</w:t>
            </w:r>
          </w:p>
        </w:tc>
        <w:tc>
          <w:tcPr>
            <w:tcW w:type="dxa" w:w="1361"/>
          </w:tcPr>
          <w:p>
            <w:pPr>
              <w:spacing w:line="240" w:lineRule="auto" w:after="40" w:before="40"/>
              <w:jc w:val="left"/>
            </w:pPr>
            <w:r/>
            <w:r>
              <w:rPr>
                <w:b w:val="0"/>
                <w:sz w:val="20"/>
              </w:rPr>
              <w:t>humana</w:t>
            </w:r>
          </w:p>
        </w:tc>
        <w:tc>
          <w:tcPr>
            <w:tcW w:type="dxa" w:w="5783"/>
          </w:tcPr>
          <w:p>
            <w:pPr>
              <w:spacing w:line="240" w:lineRule="auto" w:after="40" w:before="40"/>
              <w:jc w:val="left"/>
            </w:pPr>
            <w:r/>
            <w:r>
              <w:rPr>
                <w:b w:val="0"/>
                <w:sz w:val="20"/>
              </w:rPr>
              <w:t>Analista informa data e endereço da ocorrência.</w:t>
            </w:r>
          </w:p>
        </w:tc>
      </w:tr>
      <w:tr>
        <w:tc>
          <w:tcPr>
            <w:tcW w:type="dxa" w:w="1928"/>
          </w:tcPr>
          <w:p>
            <w:pPr>
              <w:spacing w:line="240" w:lineRule="auto" w:after="40" w:before="40"/>
              <w:jc w:val="left"/>
            </w:pPr>
            <w:r/>
            <w:r>
              <w:rPr>
                <w:b w:val="0"/>
                <w:sz w:val="20"/>
              </w:rPr>
              <w:t>6. Aprofundamento</w:t>
            </w:r>
          </w:p>
        </w:tc>
        <w:tc>
          <w:tcPr>
            <w:tcW w:type="dxa" w:w="1361"/>
          </w:tcPr>
          <w:p>
            <w:pPr>
              <w:spacing w:line="240" w:lineRule="auto" w:after="40" w:before="40"/>
              <w:jc w:val="left"/>
            </w:pPr>
            <w:r/>
            <w:r>
              <w:rPr>
                <w:b w:val="0"/>
                <w:sz w:val="20"/>
              </w:rPr>
              <w:t>automática</w:t>
            </w:r>
          </w:p>
        </w:tc>
        <w:tc>
          <w:tcPr>
            <w:tcW w:type="dxa" w:w="5783"/>
          </w:tcPr>
          <w:p>
            <w:pPr>
              <w:spacing w:line="240" w:lineRule="auto" w:after="40" w:before="40"/>
              <w:jc w:val="left"/>
            </w:pPr>
            <w:r/>
            <w:r>
              <w:rPr>
                <w:b w:val="0"/>
                <w:sz w:val="20"/>
              </w:rPr>
              <w:t>Modelo de linguagem extrai vítimas e campos estruturados.</w:t>
            </w:r>
          </w:p>
        </w:tc>
      </w:tr>
      <w:tr>
        <w:tc>
          <w:tcPr>
            <w:tcW w:type="dxa" w:w="1928"/>
          </w:tcPr>
          <w:p>
            <w:pPr>
              <w:spacing w:line="240" w:lineRule="auto" w:after="40" w:before="40"/>
              <w:jc w:val="left"/>
            </w:pPr>
            <w:r/>
            <w:r>
              <w:rPr>
                <w:b w:val="0"/>
                <w:sz w:val="20"/>
              </w:rPr>
              <w:t>7. Verificação</w:t>
            </w:r>
          </w:p>
        </w:tc>
        <w:tc>
          <w:tcPr>
            <w:tcW w:type="dxa" w:w="1361"/>
          </w:tcPr>
          <w:p>
            <w:pPr>
              <w:spacing w:line="240" w:lineRule="auto" w:after="40" w:before="40"/>
              <w:jc w:val="left"/>
            </w:pPr>
            <w:r/>
            <w:r>
              <w:rPr>
                <w:b w:val="0"/>
                <w:sz w:val="20"/>
              </w:rPr>
              <w:t>humana</w:t>
            </w:r>
          </w:p>
        </w:tc>
        <w:tc>
          <w:tcPr>
            <w:tcW w:type="dxa" w:w="5783"/>
          </w:tcPr>
          <w:p>
            <w:pPr>
              <w:spacing w:line="240" w:lineRule="auto" w:after="40" w:before="40"/>
              <w:jc w:val="left"/>
            </w:pPr>
            <w:r/>
            <w:r>
              <w:rPr>
                <w:b w:val="0"/>
                <w:sz w:val="20"/>
              </w:rPr>
              <w:t>Analista confere e corrige a lista de vítimas.</w:t>
            </w:r>
          </w:p>
        </w:tc>
      </w:tr>
      <w:tr>
        <w:tc>
          <w:tcPr>
            <w:tcW w:type="dxa" w:w="1928"/>
          </w:tcPr>
          <w:p>
            <w:pPr>
              <w:spacing w:line="240" w:lineRule="auto" w:after="40" w:before="40"/>
              <w:jc w:val="left"/>
            </w:pPr>
            <w:r/>
            <w:r>
              <w:rPr>
                <w:b w:val="0"/>
                <w:sz w:val="20"/>
              </w:rPr>
              <w:t>8. Regras</w:t>
            </w:r>
          </w:p>
        </w:tc>
        <w:tc>
          <w:tcPr>
            <w:tcW w:type="dxa" w:w="1361"/>
          </w:tcPr>
          <w:p>
            <w:pPr>
              <w:spacing w:line="240" w:lineRule="auto" w:after="40" w:before="40"/>
              <w:jc w:val="left"/>
            </w:pPr>
            <w:r/>
            <w:r>
              <w:rPr>
                <w:b w:val="0"/>
                <w:sz w:val="20"/>
              </w:rPr>
              <w:t>automática</w:t>
            </w:r>
          </w:p>
        </w:tc>
        <w:tc>
          <w:tcPr>
            <w:tcW w:type="dxa" w:w="5783"/>
          </w:tcPr>
          <w:p>
            <w:pPr>
              <w:spacing w:line="240" w:lineRule="auto" w:after="40" w:before="40"/>
              <w:jc w:val="left"/>
            </w:pPr>
            <w:r/>
            <w:r>
              <w:rPr>
                <w:b w:val="0"/>
                <w:sz w:val="20"/>
              </w:rPr>
              <w:t>Indicadores dependentes das vítimas são calculados.</w:t>
            </w:r>
          </w:p>
        </w:tc>
      </w:tr>
      <w:tr>
        <w:tc>
          <w:tcPr>
            <w:tcW w:type="dxa" w:w="1928"/>
          </w:tcPr>
          <w:p>
            <w:pPr>
              <w:spacing w:line="240" w:lineRule="auto" w:after="40" w:before="40"/>
              <w:jc w:val="left"/>
            </w:pPr>
            <w:r/>
            <w:r>
              <w:rPr>
                <w:b w:val="0"/>
                <w:sz w:val="20"/>
              </w:rPr>
              <w:t>9. Registro</w:t>
            </w:r>
          </w:p>
        </w:tc>
        <w:tc>
          <w:tcPr>
            <w:tcW w:type="dxa" w:w="1361"/>
          </w:tcPr>
          <w:p>
            <w:pPr>
              <w:spacing w:line="240" w:lineRule="auto" w:after="40" w:before="40"/>
              <w:jc w:val="left"/>
            </w:pPr>
            <w:r/>
            <w:r>
              <w:rPr>
                <w:b w:val="0"/>
                <w:sz w:val="20"/>
              </w:rPr>
              <w:t>automática</w:t>
            </w:r>
          </w:p>
        </w:tc>
        <w:tc>
          <w:tcPr>
            <w:tcW w:type="dxa" w:w="5783"/>
          </w:tcPr>
          <w:p>
            <w:pPr>
              <w:spacing w:line="240" w:lineRule="auto" w:after="40" w:before="40"/>
              <w:jc w:val="left"/>
            </w:pPr>
            <w:r/>
            <w:r>
              <w:rPr>
                <w:b w:val="0"/>
                <w:sz w:val="20"/>
              </w:rPr>
              <w:t>Gravação com situação “não aprovado”.</w:t>
            </w:r>
          </w:p>
        </w:tc>
      </w:tr>
      <w:tr>
        <w:tc>
          <w:tcPr>
            <w:tcW w:type="dxa" w:w="1928"/>
          </w:tcPr>
          <w:p>
            <w:pPr>
              <w:spacing w:line="240" w:lineRule="auto" w:after="40" w:before="40"/>
              <w:jc w:val="left"/>
            </w:pPr>
            <w:r/>
            <w:r>
              <w:rPr>
                <w:b w:val="0"/>
                <w:sz w:val="20"/>
              </w:rPr>
              <w:t>10. Aprovação</w:t>
            </w:r>
          </w:p>
        </w:tc>
        <w:tc>
          <w:tcPr>
            <w:tcW w:type="dxa" w:w="1361"/>
          </w:tcPr>
          <w:p>
            <w:pPr>
              <w:spacing w:line="240" w:lineRule="auto" w:after="40" w:before="40"/>
              <w:jc w:val="left"/>
            </w:pPr>
            <w:r/>
            <w:r>
              <w:rPr>
                <w:b w:val="0"/>
                <w:sz w:val="20"/>
              </w:rPr>
              <w:t>humana</w:t>
            </w:r>
          </w:p>
        </w:tc>
        <w:tc>
          <w:tcPr>
            <w:tcW w:type="dxa" w:w="5783"/>
          </w:tcPr>
          <w:p>
            <w:pPr>
              <w:spacing w:line="240" w:lineRule="auto" w:after="40" w:before="40"/>
              <w:jc w:val="left"/>
            </w:pPr>
            <w:r/>
            <w:r>
              <w:rPr>
                <w:b w:val="0"/>
                <w:sz w:val="20"/>
              </w:rPr>
              <w:t>Responsável libera o registro; as notícias vão ao corpus.</w:t>
            </w:r>
          </w:p>
        </w:tc>
      </w:tr>
    </w:tbl>
    <w:p>
      <w:pPr>
        <w:spacing w:before="40" w:after="240" w:line="240" w:lineRule="auto"/>
        <w:jc w:val="left"/>
      </w:pPr>
      <w:r>
        <w:rPr>
          <w:color w:val="444444"/>
          <w:sz w:val="20"/>
        </w:rPr>
        <w:t>Tabela 2 — Etapas do fluxo, com indicação do agente responsável.</w:t>
      </w:r>
    </w:p>
    <w:p>
      <w:pPr>
        <w:pStyle w:val="Heading2"/>
      </w:pPr>
      <w:r>
        <w:t>3.2 Por que o classificador decide e o modelo de linguagem aprofunda</w:t>
      </w:r>
    </w:p>
    <w:p>
      <w:pPr>
        <w:spacing w:after="120"/>
        <w:ind w:firstLine="709"/>
      </w:pPr>
      <w:r>
        <w:rPr>
          <w:b w:val="0"/>
          <w:i w:val="0"/>
        </w:rPr>
        <w:t>A divisão de papéis obedece a uma regra única: o classificador decide QUAIS indicadores existem na notícia; o modelo de linguagem só aprofunda dentro dos indicadores já marcados, e não pode acrescentar nenhum. O que ele devolver fora da marcação é descartado pelo sistema — não apenas desencorajado no texto da instrução, mas filtrado em código, porque instrução de prompt não é garantia.</w:t>
      </w:r>
    </w:p>
    <w:p>
      <w:pPr>
        <w:spacing w:after="120"/>
        <w:ind w:firstLine="709"/>
      </w:pPr>
      <w:r>
        <w:rPr>
          <w:b w:val="0"/>
          <w:i w:val="0"/>
        </w:rPr>
        <w:t>A regra tem três justificativas. A primeira é de custo, e está quantificada na seção 1.4. A segunda é de consistência: dois classificadores gerais sobre o mesmo texto produzem duas respostas que podem divergir, e não haveria critério para decidir qual delas prevalece. A terceira é de mensurabilidade: a marcação é reprodutível e pode ser avaliada contra um conjunto de teste fixo, enquanto a extração do modelo de linguagem não é determinística — a mesma entrada produz saídas diferentes entre execuções. Concentrar a decisão de classe no componente mensurável é o que permite afirmar algo sobre o desempenho do sistema.</w:t>
      </w:r>
    </w:p>
    <w:p>
      <w:pPr>
        <w:spacing w:after="120"/>
        <w:ind w:firstLine="709"/>
      </w:pPr>
      <w:r>
        <w:rPr>
          <w:b w:val="0"/>
          <w:i w:val="0"/>
        </w:rPr>
        <w:t>A marcação também AUTORIZA. Determinadas circunstâncias da vítima só são avaliadas quando a classe que as destrava foi marcada: feminicídio só é avaliado quando o indicador de mulheres baleadas está presente, e a circunstância de pessoa LGBTQIAPN+ apenas quando o indicador correspondente está. A instrução de cada uma só viaja no prompt quando pode ser usada, e a resposta é filtrada pela mesma condição, de modo que a autorização vale ainda que a instrução seja ignorada.</w:t>
      </w:r>
    </w:p>
    <w:p>
      <w:pPr>
        <w:pStyle w:val="Heading2"/>
      </w:pPr>
      <w:r>
        <w:t>3.3 O papel do modelo de linguagem</w:t>
      </w:r>
    </w:p>
    <w:p>
      <w:pPr>
        <w:spacing w:after="120"/>
        <w:ind w:firstLine="709"/>
      </w:pPr>
      <w:r>
        <w:rPr>
          <w:b w:val="0"/>
          <w:i w:val="0"/>
        </w:rPr>
        <w:t>A camada de modelo de linguagem não substitui os classificadores; ela atua sobre a saída deles. Sua função é confirmar o indicador com base em instruções textuais específicas e, principalmente, consolidar a lista de vítimas relendo em conjunto todas as notícias da mesma ocorrência. Essa releitura conjunta é o que impede que pessoas citadas em fontes distintas sejam contadas mais de uma vez.</w:t>
      </w:r>
    </w:p>
    <w:p>
      <w:pPr>
        <w:spacing w:after="120"/>
        <w:ind w:firstLine="709"/>
      </w:pPr>
      <w:r>
        <w:rPr>
          <w:b w:val="0"/>
          <w:i w:val="0"/>
        </w:rPr>
        <w:t>A existência do estágio anterior permite avaliar o ganho da camada custosa. Como a aplicação expõe a resposta dos classificadores isoladamente, é possível verificar se o modelo de linguagem está corrigindo o classificador ou apenas repetindo a sua decisão — pergunta que não teria resposta se as duas camadas fossem medidas apenas em conjunto.</w:t>
      </w:r>
    </w:p>
    <w:p>
      <w:r>
        <w:br w:type="page"/>
      </w:r>
    </w:p>
    <w:p>
      <w:pPr>
        <w:pStyle w:val="Heading1"/>
      </w:pPr>
      <w:r>
        <w:t>4 Passo 1: construção do corpus</w:t>
      </w:r>
    </w:p>
    <w:p>
      <w:pPr>
        <w:pStyle w:val="Heading2"/>
      </w:pPr>
      <w:r>
        <w:t>4.1 A premissa da anotação</w:t>
      </w:r>
    </w:p>
    <w:p>
      <w:pPr>
        <w:spacing w:after="120"/>
        <w:ind w:firstLine="709"/>
      </w:pPr>
      <w:r>
        <w:rPr>
          <w:b w:val="0"/>
          <w:i w:val="0"/>
        </w:rPr>
        <w:t>A primeira tarefa tem uma premissa única e deliberadamente estreita: considera-se violência armada a notícia que relata disparo de arma de fogo. Essa definição é operacional, não conceitual — ela não afirma o que é violência armada em sentido amplo, e sim fixa o critério verificável que delimita o escopo do sistema.</w:t>
      </w:r>
    </w:p>
    <w:p>
      <w:pPr>
        <w:spacing w:after="120"/>
      </w:pPr>
      <w:r>
        <w:rPr>
          <w:b w:val="0"/>
          <w:i w:val="0"/>
        </w:rPr>
        <w:t>A consequência prática é que vários casos intuitivamente associados a armas ficam fora:</w:t>
      </w:r>
    </w:p>
    <w:p>
      <w:pPr>
        <w:pStyle w:val="ListBullet"/>
        <w:spacing w:line="360" w:lineRule="auto" w:after="80"/>
        <w:ind w:left="709"/>
      </w:pPr>
      <w:r>
        <w:t>ameaça com arma de fogo sem que tiro tenha sido efetuado;</w:t>
      </w:r>
    </w:p>
    <w:p>
      <w:pPr>
        <w:pStyle w:val="ListBullet"/>
        <w:spacing w:line="360" w:lineRule="auto" w:after="80"/>
        <w:ind w:left="709"/>
      </w:pPr>
      <w:r>
        <w:t>apreensão de armas e munições em operação, sem confronto;</w:t>
      </w:r>
    </w:p>
    <w:p>
      <w:pPr>
        <w:pStyle w:val="ListBullet"/>
        <w:spacing w:line="360" w:lineRule="auto" w:after="80"/>
        <w:ind w:left="709"/>
      </w:pPr>
      <w:r>
        <w:t>agressão, homicídio ou lesão por outro meio, como arma branca;</w:t>
      </w:r>
    </w:p>
    <w:p>
      <w:pPr>
        <w:pStyle w:val="ListBullet"/>
        <w:spacing w:line="360" w:lineRule="auto" w:after="80"/>
        <w:ind w:left="709"/>
      </w:pPr>
      <w:r>
        <w:t>porte ilegal de arma identificado em abordagem, sem disparo.</w:t>
      </w:r>
    </w:p>
    <w:p>
      <w:pPr>
        <w:spacing w:after="120"/>
        <w:ind w:firstLine="709"/>
      </w:pPr>
      <w:r>
        <w:rPr>
          <w:b w:val="0"/>
          <w:i w:val="0"/>
        </w:rPr>
        <w:t>Tratar esses casos como positivos tornaria a fronteira da classe difusa, e a métrica resultante mediria a inconsistência da anotação em vez da capacidade do modelo.</w:t>
      </w:r>
    </w:p>
    <w:p>
      <w:pPr>
        <w:pStyle w:val="Heading2"/>
      </w:pPr>
      <w:r>
        <w:t>4.2 Necessidade de exemplos negativos</w:t>
      </w:r>
    </w:p>
    <w:p>
      <w:pPr>
        <w:spacing w:after="120"/>
        <w:ind w:firstLine="709"/>
      </w:pPr>
      <w:r>
        <w:rPr>
          <w:b w:val="0"/>
          <w:i w:val="0"/>
        </w:rPr>
        <w:t>Um corpus formado apenas por notícias de violência armada não é utilizável para a primeira tarefa. Sem exemplos negativos, o modelo não tem o que aprender a recusar, e a matriz de confusão perde as colunas que registram justamente o erro relevante — a admissão de notícia fora do escopo. A ferramenta de anotação, por isso, exibe a contagem das duas classes e impede o início do treino enquanto uma delas não tiver exemplos suficientes.</w:t>
      </w:r>
    </w:p>
    <w:p>
      <w:pPr>
        <w:pStyle w:val="Heading2"/>
      </w:pPr>
      <w:r>
        <w:t>4.3 Princípios da anotação</w:t>
      </w:r>
    </w:p>
    <w:p>
      <w:pPr>
        <w:spacing w:after="120"/>
        <w:ind w:firstLine="709"/>
      </w:pPr>
      <w:r>
        <w:rPr>
          <w:b w:val="0"/>
          <w:i w:val="0"/>
        </w:rPr>
        <w:t>A anotação segue dois princípios herdados do manual de curadoria: consideram-se apenas as circunstâncias diretamente ligadas ao MOMENTO do disparo, desprezando antecedentes do envolvido e consequências posteriores que não constituam novo disparo; e o recorte é estrito quanto à natureza do ferimento, pois registra-se disparo de arma de fogo, não ferimento por queda, estilhaço, arma branca ou mal-estar ocorridos durante o mesmo fato.</w:t>
      </w:r>
    </w:p>
    <w:p>
      <w:pPr>
        <w:spacing w:after="120"/>
        <w:ind w:firstLine="709"/>
      </w:pPr>
      <w:r>
        <w:rPr>
          <w:b w:val="0"/>
          <w:i w:val="0"/>
        </w:rPr>
        <w:t>A tarefa é multirrótulo: uma mesma notícia pode receber mais de um indicador, ou nenhum. O rótulo vazio é um rótulo válido e necessário, e a sua ausência no corpus é o que faz um classificador marcar algo em todo texto.</w:t>
      </w:r>
    </w:p>
    <w:p>
      <w:pPr>
        <w:pStyle w:val="Heading2"/>
      </w:pPr>
      <w:r>
        <w:t>4.4 Rastreabilidade</w:t>
      </w:r>
    </w:p>
    <w:p>
      <w:pPr>
        <w:spacing w:after="120"/>
        <w:ind w:firstLine="709"/>
      </w:pPr>
      <w:r>
        <w:rPr>
          <w:b w:val="0"/>
          <w:i w:val="0"/>
        </w:rPr>
        <w:t>Cada exemplo do corpus guarda o endereço eletrônico e o texto integral da notícia que o originou, além da identificação do anotador, do instante da anotação e de um campo livre para a justificativa do rótulo em casos de fronteira. O registro da fonte não é conveniência: sem ele, nenhum resultado de treino é verificável por terceiros, e a afirmação de desempenho perde sustentação. O campo de justificativa cumpre função adicional, ao permitir revisitar decisões difíceis quando um erro sistemático aparece na matriz de confusão.</w:t>
      </w:r>
    </w:p>
    <w:p>
      <w:pPr>
        <w:pStyle w:val="Heading2"/>
      </w:pPr>
      <w:r>
        <w:t>4.5 Ferramenta de anotação</w:t>
      </w:r>
    </w:p>
    <w:p>
      <w:pPr>
        <w:spacing w:after="120"/>
        <w:ind w:firstLine="709"/>
      </w:pPr>
      <w:r>
        <w:rPr>
          <w:b w:val="0"/>
          <w:i w:val="0"/>
        </w:rPr>
        <w:t>A anotação é feita em interface própria, integrada à aplicação, que cumpre o papel de ambientes especializados do gênero. A notícia é inserida com endereço eletrônico, data e texto, e o anotador marca os indicadores que o texto sustenta — nenhum, um ou vários. A definição de cada indicador fica visível ao lado da respectiva caixa durante a anotação, o que reduz a dependência de memória, e a tela afirma explicitamente que não marcar nada é uma decisão válida, não uma pendência.</w:t>
      </w:r>
    </w:p>
    <w:p>
      <w:pPr>
        <w:spacing w:after="120"/>
        <w:ind w:firstLine="709"/>
      </w:pPr>
      <w:r>
        <w:rPr>
          <w:b w:val="0"/>
          <w:i w:val="0"/>
        </w:rPr>
        <w:t>A fila é ordenada por gravidade, não por data. Quando há modelo treinado, a notícia em que o classificador não marcou indicador algum aparece primeiro, sinalizada em vermelho: é o falso negativo, o erro mais custoso de não examinar, porque o indicador que o classificador não marca não chega a ser avaliado pela etapa seguinte. Em seguida vem o que recebeu voto isolado no comitê, sinalizado em laranja. A rotulagem feita nessa fila alimenta diretamente o corpus, de modo que o trabalho de conferência e o de construção do conjunto de treino são o mesmo trabalho.</w:t>
      </w:r>
    </w:p>
    <w:p>
      <w:pPr>
        <w:spacing w:after="120"/>
        <w:ind w:firstLine="709"/>
      </w:pPr>
      <w:r>
        <w:rPr>
          <w:b w:val="0"/>
          <w:i w:val="0"/>
        </w:rPr>
        <w:t>A interface informa, por tarefa, se o corpus já sustenta uma medição honesta. O limiar adotado é de 30 exemplos por classe para considerar a métrica estável, e de três exemplos como mínimo absoluto para que a classe possa ser representada nas três partições. O critério é informativo: abaixo de uma dezena de exemplos no conjunto de teste, a variação de um único acerto desloca o recall em dezenas de pontos percentuais, e relatar tal número como resultado seria enganoso.</w:t>
      </w:r>
    </w:p>
    <w:p>
      <w:pPr>
        <w:pStyle w:val="Heading2"/>
      </w:pPr>
      <w:r>
        <w:t>4.6 Dimensionamento esperado</w:t>
      </w:r>
    </w:p>
    <w:p>
      <w:pPr>
        <w:spacing w:after="120"/>
        <w:ind w:firstLine="709"/>
      </w:pPr>
      <w:r>
        <w:rPr>
          <w:b w:val="0"/>
          <w:i w:val="0"/>
        </w:rPr>
        <w:t>São 7 indicadores, e a exigência amostral se conta por indicador, não por notícia: mantendo a ordem de grandeza de algumas dezenas de exemplos positivos de cada um no conjunto de treino, e somando os exemplos sem indicador algum, chega-se à casa das centenas de notícias anotadas. Como a tarefa é multirrótulo, uma mesma notícia contribui para mais de um indicador, o que atenua o total, porém não socorre o indicador raro — que continua dependendo de encontrar notícias em que ele apareça.</w:t>
      </w:r>
    </w:p>
    <w:p>
      <w:pPr>
        <w:spacing w:after="120"/>
        <w:ind w:firstLine="709"/>
      </w:pPr>
      <w:r>
        <w:rPr>
          <w:b w:val="0"/>
          <w:i w:val="0"/>
        </w:rPr>
        <w:t>Indicadores raros na realidade — e portanto raros no corpus — devem ser reportados com o seu suporte explícito, e a discussão dos resultados precisa distinguir limitação do modelo de insuficiência amostral. O sistema não permite treinar com menos de três exemplos da classe mais rara, por não haver como representá-la nas três partições, e sinaliza como instável toda classe com menos de 30 exemplos.</w:t>
      </w:r>
    </w:p>
    <w:p>
      <w:r>
        <w:br w:type="page"/>
      </w:r>
    </w:p>
    <w:p>
      <w:pPr>
        <w:pStyle w:val="Heading1"/>
      </w:pPr>
      <w:r>
        <w:t>5 Passo 2: pré-processamento</w:t>
      </w:r>
    </w:p>
    <w:p>
      <w:pPr>
        <w:spacing w:after="120"/>
        <w:ind w:firstLine="709"/>
      </w:pPr>
      <w:r>
        <w:rPr>
          <w:b w:val="0"/>
          <w:i w:val="0"/>
        </w:rPr>
        <w:t>Textos jornalísticos coletados da web carregam material alheio ao fato: chamadas para outras matérias, créditos de fotografia, elementos de navegação e publicidade. Esse material consome espaço da janela de entrada do modelo sem contribuir para a decisão.</w:t>
      </w:r>
    </w:p>
    <w:p>
      <w:pPr>
        <w:spacing w:after="120"/>
        <w:ind w:firstLine="709"/>
      </w:pPr>
      <w:r>
        <w:rPr>
          <w:b w:val="0"/>
          <w:i w:val="0"/>
        </w:rPr>
        <w:t>O pré-processamento implementado opera no nível da sentença. Um modelo de processamento de linguagem natural segmenta o texto e preserva as sentenças que contenham pelo menos um termo do vocabulário relevante — extraído das definições dos indicadores e das listas fechadas do dicionário de dados — ou uma entidade nomeada de pessoa, local ou organização. Se o filtro for agressivo demais e restar menos de um mínimo de sentenças, o texto original é mantido, de modo que o procedimento nunca piore a entrada.</w:t>
      </w:r>
    </w:p>
    <w:p>
      <w:pPr>
        <w:spacing w:after="120"/>
        <w:ind w:firstLine="709"/>
      </w:pPr>
      <w:r>
        <w:rPr>
          <w:b w:val="0"/>
          <w:i w:val="0"/>
        </w:rPr>
        <w:t>ESSE FILTRO ESTÁ DESLIGADO POR PADRÃO, e a decisão é resultado de medição. Aplicado às notícias já coletadas, ele descartou cerca de um décimo do texto, e entre o descartado havia fato material: de uma reportagem sobre tiroteio saíram a sentença que posicionava a vítima em relação à viatura policial e a que informava o estado de saúde das pessoas atingidas. Nenhuma das duas continha termo do vocabulário nem entidade nomeada, e esse é todo o critério do filtro. A economia obtida, da ordem de algumas dezenas de tokens por notícia, não compensa o risco de suprimir a informação que sustenta a classificação; o recurso permanece disponível para o caso de o orçamento de tokens se tornar restritivo.</w:t>
      </w:r>
    </w:p>
    <w:p>
      <w:pPr>
        <w:spacing w:after="120"/>
        <w:ind w:firstLine="709"/>
      </w:pPr>
      <w:r>
        <w:rPr>
          <w:b w:val="0"/>
          <w:i w:val="0"/>
        </w:rPr>
        <w:t>Uma segunda forma de compressão, no nível da palavra, com remoção de palavras funcionais e lematização, foi implementada, testada e posteriormente removida do código. Ela remove preposições como “por” e “contra”, que são exatamente os elementos que marcam quem atirou contra quem. A supressão dessas marcas inverteu a direção atribuída ao disparo em testes conduzidos durante o desenvolvimento, produzindo classificação incorreta. O caso é registrado aqui porque ilustra um risco geral: técnicas de normalização avaliadas apenas pela economia de tokens podem destruir a informação que sustenta a tarefa.</w:t>
      </w:r>
    </w:p>
    <w:p>
      <w:r>
        <w:br w:type="page"/>
      </w:r>
    </w:p>
    <w:p>
      <w:pPr>
        <w:pStyle w:val="Heading1"/>
      </w:pPr>
      <w:r>
        <w:t>6 Passo 3: divisão amostral</w:t>
      </w:r>
    </w:p>
    <w:p>
      <w:pPr>
        <w:pStyle w:val="Heading2"/>
      </w:pPr>
      <w:r>
        <w:t>6.1 Partições e proporções</w:t>
      </w:r>
    </w:p>
    <w:p>
      <w:pPr>
        <w:spacing w:after="120"/>
        <w:ind w:firstLine="709"/>
      </w:pPr>
      <w:r>
        <w:rPr>
          <w:b w:val="0"/>
          <w:i w:val="0"/>
        </w:rPr>
        <w:t>O corpus é dividido em três partições: treino, usada para atualizar os pesos; validação, usada para escolher hiperparâmetros e observar sobreajuste; e teste, usada uma única vez por configuração, para produzir as métricas reportadas. A proporção de referência é de 70%, 15% e 15%, respectivamente.</w:t>
      </w:r>
    </w:p>
    <w:p>
      <w:pPr>
        <w:pStyle w:val="Heading2"/>
      </w:pPr>
      <w:r>
        <w:t>6.2 Estratificação</w:t>
      </w:r>
    </w:p>
    <w:p>
      <w:pPr>
        <w:spacing w:after="120"/>
        <w:ind w:firstLine="709"/>
      </w:pPr>
      <w:r>
        <w:rPr>
          <w:b w:val="0"/>
          <w:i w:val="0"/>
        </w:rPr>
        <w:t>A divisão é estratificada para que a proporção de cada indicador se mantenha nas três partições. Em tarefa multirrótulo isso não é imediato: a mesma notícia pode portar três indicadores e pertenceria a três estratos simultaneamente, de modo que o procedimento usual de fatiar cada classe separadamente não se aplica.</w:t>
      </w:r>
    </w:p>
    <w:p>
      <w:pPr>
        <w:spacing w:after="120"/>
        <w:ind w:firstLine="709"/>
      </w:pPr>
      <w:r>
        <w:rPr>
          <w:b w:val="0"/>
          <w:i w:val="0"/>
        </w:rPr>
        <w:t>Duas soluções intuitivas foram descartadas, e o registro da razão importa porque a segunda é silenciosamente defeituosa. A primeira é tratar a combinação de indicadores como estrato; com 7 indicadores existem, em princípio, dezenas de combinações observáveis, quase todas com um ou dois exemplos, e um estrato de um exemplo recai integralmente sobre uma partição. A segunda é embaralhar essas combinações e percorrê-las em paralelo, formando uma sequência em que o primeiro exemplo de cada combinação precede o segundo de qualquer outra, para então cortar a sequência nas proporções desejadas. O procedimento parece distribuir os estratos pequenos, mas produz o efeito oposto: como o início da sequência recebe um exemplo de cada combinação, o corte inicial — o treino — absorve todos os estratos pequenos por inteiro, e a cauda da sequência, de onde saem validação e teste, contém apenas os estratos grandes. O resultado observado em verificação empírica foi o esvaziamento completo dos indicadores raros nas duas partições de avaliação.</w:t>
      </w:r>
    </w:p>
    <w:p>
      <w:pPr>
        <w:spacing w:after="120"/>
        <w:ind w:firstLine="709"/>
      </w:pPr>
      <w:r>
        <w:rPr>
          <w:b w:val="0"/>
          <w:i w:val="0"/>
        </w:rPr>
        <w:t>Adota-se, em lugar disso, a estratificação iterativa para dados multirrótulo, no formato proposto por Sechidis, Tsoumakas e Vlahavas (2011). Cada partição recebe uma cota global e uma cota por indicador, ambas proporcionais ao tamanho pretendido. As notícias são distribuídas uma a uma, e a ordem de atendimento é determinada pelo indicador com menor número de exemplos ainda não distribuídos: cada notícia que o contém é encaminhada à partição com maior cota remanescente naquele indicador, descontando-se em seguida a cota de todos os indicadores que a notícia porta. Atender primeiro o indicador mais raro é o que faz os seus poucos exemplos serem repartidos entre as três partições em vez de se concentrarem na primeira. A partição que já completou a sua cota global é excluída da disputa, o que mantém os tamanhos das partições aderentes às proporções pretendidas.</w:t>
      </w:r>
    </w:p>
    <w:p>
      <w:pPr>
        <w:spacing w:after="120"/>
        <w:ind w:firstLine="709"/>
      </w:pPr>
      <w:r>
        <w:rPr>
          <w:b w:val="0"/>
          <w:i w:val="0"/>
        </w:rPr>
        <w:t>A notícia sem nenhum indicador — o exemplo negativo — é tratada como portadora de um indicador próprio, exclusivo dela. Sem esse artifício, as negativas seriam distribuídas apenas no fim do procedimento, pela cota que restasse, e poderiam concentrar-se em uma única partição; como são elas que ensinam o modelo a não atribuir indicador algum, a sua proporção precisa ser preservada igualmente.</w:t>
      </w:r>
    </w:p>
    <w:p>
      <w:pPr>
        <w:spacing w:after="120"/>
        <w:ind w:firstLine="709"/>
      </w:pPr>
      <w:r>
        <w:rPr>
          <w:b w:val="0"/>
          <w:i w:val="0"/>
        </w:rPr>
        <w:t>A consequência prática justifica o cuidado. Sem exemplo de um indicador na validação, não há como calibrar o limiar de decisão daquele indicador, e ele permanece no corte neutro, exatamente a condição em que o indicador raro deixa de ser atribuído. Sem exemplo no conjunto de teste, a medida F1 do indicador é reportada como zero com suporte zero, o que se confunde com erro do modelo. A interface de anotação exibe a contagem por indicador em cada partição justamente para que essas duas situações sejam visíveis antes do treino.</w:t>
      </w:r>
    </w:p>
    <w:p>
      <w:pPr>
        <w:pStyle w:val="Heading2"/>
      </w:pPr>
      <w:r>
        <w:t>6.3 Fixação da divisão</w:t>
      </w:r>
    </w:p>
    <w:p>
      <w:pPr>
        <w:spacing w:after="120"/>
        <w:ind w:firstLine="709"/>
      </w:pPr>
      <w:r>
        <w:rPr>
          <w:b w:val="0"/>
          <w:i w:val="0"/>
        </w:rPr>
        <w:t>A partição de cada exemplo é gravada em banco de dados, e não sorteada a cada execução. A razão é de comparabilidade: se o conjunto de teste mudasse entre execuções, as métricas de dois modelos passariam a ser medidas sobre amostras diferentes, e a diferença observada entre eles confundiria efeito do modelo com efeito da amostra. O sorteio usa semente explícita, registrada junto ao resultado, e é refeito somente quando o corpus cresce.</w:t>
      </w:r>
    </w:p>
    <w:p>
      <w:r>
        <w:br w:type="page"/>
      </w:r>
    </w:p>
    <w:p>
      <w:pPr>
        <w:pStyle w:val="Heading1"/>
      </w:pPr>
      <w:r>
        <w:t>7 Passo 4: modelos comparados e estratégias de ajuste</w:t>
      </w:r>
    </w:p>
    <w:p>
      <w:pPr>
        <w:pStyle w:val="Heading2"/>
      </w:pPr>
      <w:r>
        <w:t>7.1 Modelos pré-treinados</w:t>
      </w:r>
    </w:p>
    <w:p>
      <w:pPr>
        <w:spacing w:after="120"/>
        <w:ind w:firstLine="709"/>
      </w:pPr>
      <w:r>
        <w:rPr>
          <w:b w:val="0"/>
          <w:i w:val="0"/>
        </w:rPr>
        <w:t>A comparação abrange 3 modelos pré-treinados, todos monolíngues de português, conforme a premissa registrada na seção 2.3. A variação coberta é, portanto, o efeito do tamanho do modelo e a diferença entre as duas famílias disponíveis para o idioma.</w:t>
      </w:r>
    </w:p>
    <w:p>
      <w:pPr>
        <w:spacing w:after="120"/>
        <w:ind w:firstLine="709"/>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041"/>
            <w:shd w:val="clear" w:color="auto" w:fill="E6EAF0"/>
          </w:tcPr>
          <w:p>
            <w:pPr>
              <w:spacing w:line="240" w:lineRule="auto" w:after="40" w:before="40"/>
              <w:jc w:val="left"/>
            </w:pPr>
            <w:r/>
            <w:r>
              <w:rPr>
                <w:b/>
                <w:sz w:val="20"/>
              </w:rPr>
              <w:t>Identificação</w:t>
            </w:r>
          </w:p>
        </w:tc>
        <w:tc>
          <w:tcPr>
            <w:tcW w:type="dxa" w:w="2268"/>
            <w:shd w:val="clear" w:color="auto" w:fill="E6EAF0"/>
          </w:tcPr>
          <w:p>
            <w:pPr>
              <w:spacing w:line="240" w:lineRule="auto" w:after="40" w:before="40"/>
              <w:jc w:val="left"/>
            </w:pPr>
            <w:r/>
            <w:r>
              <w:rPr>
                <w:b/>
                <w:sz w:val="20"/>
              </w:rPr>
              <w:t>Modelo</w:t>
            </w:r>
          </w:p>
        </w:tc>
        <w:tc>
          <w:tcPr>
            <w:tcW w:type="dxa" w:w="1361"/>
            <w:shd w:val="clear" w:color="auto" w:fill="E6EAF0"/>
          </w:tcPr>
          <w:p>
            <w:pPr>
              <w:spacing w:line="240" w:lineRule="auto" w:after="40" w:before="40"/>
              <w:jc w:val="left"/>
            </w:pPr>
            <w:r/>
            <w:r>
              <w:rPr>
                <w:b/>
                <w:sz w:val="20"/>
              </w:rPr>
              <w:t>Parâmetros</w:t>
            </w:r>
          </w:p>
        </w:tc>
        <w:tc>
          <w:tcPr>
            <w:tcW w:type="dxa" w:w="3402"/>
            <w:shd w:val="clear" w:color="auto" w:fill="E6EAF0"/>
          </w:tcPr>
          <w:p>
            <w:pPr>
              <w:spacing w:line="240" w:lineRule="auto" w:after="40" w:before="40"/>
              <w:jc w:val="left"/>
            </w:pPr>
            <w:r/>
            <w:r>
              <w:rPr>
                <w:b/>
                <w:sz w:val="20"/>
              </w:rPr>
              <w:t>Família</w:t>
            </w:r>
          </w:p>
        </w:tc>
      </w:tr>
      <w:tr>
        <w:tc>
          <w:tcPr>
            <w:tcW w:type="dxa" w:w="2041"/>
          </w:tcPr>
          <w:p>
            <w:pPr>
              <w:spacing w:line="240" w:lineRule="auto" w:after="40" w:before="40"/>
              <w:jc w:val="left"/>
            </w:pPr>
            <w:r/>
            <w:r>
              <w:rPr>
                <w:b w:val="0"/>
                <w:sz w:val="20"/>
              </w:rPr>
              <w:t>bertimbau-base</w:t>
            </w:r>
          </w:p>
        </w:tc>
        <w:tc>
          <w:tcPr>
            <w:tcW w:type="dxa" w:w="2268"/>
          </w:tcPr>
          <w:p>
            <w:pPr>
              <w:spacing w:line="240" w:lineRule="auto" w:after="40" w:before="40"/>
              <w:jc w:val="left"/>
            </w:pPr>
            <w:r/>
            <w:r>
              <w:rPr>
                <w:b w:val="0"/>
                <w:sz w:val="20"/>
              </w:rPr>
              <w:t>BERTimbau base</w:t>
            </w:r>
          </w:p>
        </w:tc>
        <w:tc>
          <w:tcPr>
            <w:tcW w:type="dxa" w:w="1361"/>
          </w:tcPr>
          <w:p>
            <w:pPr>
              <w:spacing w:line="240" w:lineRule="auto" w:after="40" w:before="40"/>
              <w:jc w:val="left"/>
            </w:pPr>
            <w:r/>
            <w:r>
              <w:rPr>
                <w:b w:val="0"/>
                <w:sz w:val="20"/>
              </w:rPr>
              <w:t>110M</w:t>
            </w:r>
          </w:p>
        </w:tc>
        <w:tc>
          <w:tcPr>
            <w:tcW w:type="dxa" w:w="3402"/>
          </w:tcPr>
          <w:p>
            <w:pPr>
              <w:spacing w:line="240" w:lineRule="auto" w:after="40" w:before="40"/>
              <w:jc w:val="left"/>
            </w:pPr>
            <w:r/>
            <w:r>
              <w:rPr>
                <w:b w:val="0"/>
                <w:sz w:val="20"/>
              </w:rPr>
              <w:t>monolíngue (português)</w:t>
            </w:r>
          </w:p>
        </w:tc>
      </w:tr>
      <w:tr>
        <w:tc>
          <w:tcPr>
            <w:tcW w:type="dxa" w:w="2041"/>
          </w:tcPr>
          <w:p>
            <w:pPr>
              <w:spacing w:line="240" w:lineRule="auto" w:after="40" w:before="40"/>
              <w:jc w:val="left"/>
            </w:pPr>
            <w:r/>
            <w:r>
              <w:rPr>
                <w:b w:val="0"/>
                <w:sz w:val="20"/>
              </w:rPr>
              <w:t>bertimbau-large</w:t>
            </w:r>
          </w:p>
        </w:tc>
        <w:tc>
          <w:tcPr>
            <w:tcW w:type="dxa" w:w="2268"/>
          </w:tcPr>
          <w:p>
            <w:pPr>
              <w:spacing w:line="240" w:lineRule="auto" w:after="40" w:before="40"/>
              <w:jc w:val="left"/>
            </w:pPr>
            <w:r/>
            <w:r>
              <w:rPr>
                <w:b w:val="0"/>
                <w:sz w:val="20"/>
              </w:rPr>
              <w:t>BERTimbau large</w:t>
            </w:r>
          </w:p>
        </w:tc>
        <w:tc>
          <w:tcPr>
            <w:tcW w:type="dxa" w:w="1361"/>
          </w:tcPr>
          <w:p>
            <w:pPr>
              <w:spacing w:line="240" w:lineRule="auto" w:after="40" w:before="40"/>
              <w:jc w:val="left"/>
            </w:pPr>
            <w:r/>
            <w:r>
              <w:rPr>
                <w:b w:val="0"/>
                <w:sz w:val="20"/>
              </w:rPr>
              <w:t>335M</w:t>
            </w:r>
          </w:p>
        </w:tc>
        <w:tc>
          <w:tcPr>
            <w:tcW w:type="dxa" w:w="3402"/>
          </w:tcPr>
          <w:p>
            <w:pPr>
              <w:spacing w:line="240" w:lineRule="auto" w:after="40" w:before="40"/>
              <w:jc w:val="left"/>
            </w:pPr>
            <w:r/>
            <w:r>
              <w:rPr>
                <w:b w:val="0"/>
                <w:sz w:val="20"/>
              </w:rPr>
              <w:t>monolíngue (português)</w:t>
            </w:r>
          </w:p>
        </w:tc>
      </w:tr>
      <w:tr>
        <w:tc>
          <w:tcPr>
            <w:tcW w:type="dxa" w:w="2041"/>
          </w:tcPr>
          <w:p>
            <w:pPr>
              <w:spacing w:line="240" w:lineRule="auto" w:after="40" w:before="40"/>
              <w:jc w:val="left"/>
            </w:pPr>
            <w:r/>
            <w:r>
              <w:rPr>
                <w:b w:val="0"/>
                <w:sz w:val="20"/>
              </w:rPr>
              <w:t>albertina-100m</w:t>
            </w:r>
          </w:p>
        </w:tc>
        <w:tc>
          <w:tcPr>
            <w:tcW w:type="dxa" w:w="2268"/>
          </w:tcPr>
          <w:p>
            <w:pPr>
              <w:spacing w:line="240" w:lineRule="auto" w:after="40" w:before="40"/>
              <w:jc w:val="left"/>
            </w:pPr>
            <w:r/>
            <w:r>
              <w:rPr>
                <w:b w:val="0"/>
                <w:sz w:val="20"/>
              </w:rPr>
              <w:t>Albertina PT-BR 100M</w:t>
            </w:r>
          </w:p>
        </w:tc>
        <w:tc>
          <w:tcPr>
            <w:tcW w:type="dxa" w:w="1361"/>
          </w:tcPr>
          <w:p>
            <w:pPr>
              <w:spacing w:line="240" w:lineRule="auto" w:after="40" w:before="40"/>
              <w:jc w:val="left"/>
            </w:pPr>
            <w:r/>
            <w:r>
              <w:rPr>
                <w:b w:val="0"/>
                <w:sz w:val="20"/>
              </w:rPr>
              <w:t>100M</w:t>
            </w:r>
          </w:p>
        </w:tc>
        <w:tc>
          <w:tcPr>
            <w:tcW w:type="dxa" w:w="3402"/>
          </w:tcPr>
          <w:p>
            <w:pPr>
              <w:spacing w:line="240" w:lineRule="auto" w:after="40" w:before="40"/>
              <w:jc w:val="left"/>
            </w:pPr>
            <w:r/>
            <w:r>
              <w:rPr>
                <w:b w:val="0"/>
                <w:sz w:val="20"/>
              </w:rPr>
              <w:t>monolíngue (português do Brasil)</w:t>
            </w:r>
          </w:p>
        </w:tc>
      </w:tr>
    </w:tbl>
    <w:p>
      <w:pPr>
        <w:spacing w:before="40" w:after="240" w:line="240" w:lineRule="auto"/>
        <w:jc w:val="left"/>
      </w:pPr>
      <w:r>
        <w:rPr>
          <w:color w:val="444444"/>
          <w:sz w:val="20"/>
        </w:rPr>
        <w:t>Tabela 3 — Modelos submetidos à comparação.</w:t>
      </w:r>
    </w:p>
    <w:p>
      <w:pPr>
        <w:spacing w:after="120"/>
        <w:ind w:firstLine="709"/>
      </w:pPr>
      <w:r>
        <w:rPr>
          <w:b w:val="0"/>
          <w:i w:val="0"/>
        </w:rPr>
        <w:t>A inclusão de duas variantes de tamanho da mesma família — BERTimbau base e large — permite isolar o efeito da escala, uma vez que o corpus e o procedimento de pré-treinamento são os mesmos. A Albertina PT-BR, de porte comparável à variante base mas pré-treinada sobre corpora distintos e especificamente de português do Brasil, fornece o contraste entre famílias. Se a variante base alcançar desempenho próximo ao da variante large, a escolha de implementação passa a ser decidida por custo de inferência e memória, e não por qualidade — observação relevante porque a variante large é também a que corre maior risco de não caber na memória disponível.</w:t>
      </w:r>
    </w:p>
    <w:p>
      <w:pPr>
        <w:spacing w:after="120"/>
        <w:ind w:firstLine="709"/>
      </w:pPr>
      <w:r>
        <w:rPr>
          <w:b w:val="0"/>
          <w:i w:val="0"/>
        </w:rPr>
        <w:t>Modelos cujo treino não se complete — por exemplo, por insuficiência de memória da unidade de processamento gráfico nas configurações de maior comprimento de sequência — têm a falha registrada com a respectiva mensagem. A informação integra o resultado: um modelo que não cabe no equipamento disponível é um achado de viabilidade, e omiti-lo da tabela daria a entender que não foi avaliado.</w:t>
      </w:r>
    </w:p>
    <w:p>
      <w:pPr>
        <w:pStyle w:val="Heading2"/>
      </w:pPr>
      <w:r>
        <w:t>7.2 Natureza multirrótulo da tarefa</w:t>
      </w:r>
    </w:p>
    <w:p>
      <w:pPr>
        <w:spacing w:after="120"/>
        <w:ind w:firstLine="709"/>
      </w:pPr>
      <w:r>
        <w:rPr>
          <w:b w:val="0"/>
          <w:i w:val="0"/>
        </w:rPr>
        <w:t>A tarefa não consiste em atribuir a uma notícia o indicador que melhor a descreve, e sim em decidir, para cada indicador do catálogo, se a notícia o sustenta. Uma ocorrência em que uma adolescente é atingida durante operação policial porta simultaneamente os indicadores de criança ou adolescente baleado, de mulher baleada e de ação policial, e a atribuição de um deles não pode suprimir as demais.</w:t>
      </w:r>
    </w:p>
    <w:p>
      <w:pPr>
        <w:spacing w:after="120"/>
        <w:ind w:firstLine="709"/>
      </w:pPr>
      <w:r>
        <w:rPr>
          <w:b w:val="0"/>
          <w:i w:val="0"/>
        </w:rPr>
        <w:t>A consequência arquitetural é a escolha da função de ativação da camada de saída. Adota-se uma função logística independente por indicador, e não a função softmax. Sob softmax as pontuações somam um e as classes competem entre si, de modo que atribuir dois indicadores exigiria que um cedesse pontuação ao outro; sob a função logística independente, cada indicador é comparado ao seu próprio limiar e decide isoladamente. A ausência de indicador algum é, por construção, uma resposta válida, e corresponde à notícia fora do escopo de monitoramento. A função de perda correspondente é a entropia cruzada binária aplicada a cada saída.</w:t>
      </w:r>
    </w:p>
    <w:p>
      <w:pPr>
        <w:pStyle w:val="Heading2"/>
      </w:pPr>
      <w:r>
        <w:t>7.3 Estratégias de ajuste comparadas</w:t>
      </w:r>
    </w:p>
    <w:p>
      <w:pPr>
        <w:spacing w:after="120"/>
        <w:ind w:firstLine="709"/>
      </w:pPr>
      <w:r>
        <w:rPr>
          <w:b w:val="0"/>
          <w:i w:val="0"/>
        </w:rPr>
        <w:t>Duas estratégias produzem essa mesma forma de saída, e ambas são implementadas e submetidas à mesma partição de teste, de modo que a escolha entre elas seja resultado medido e não suposição.</w:t>
      </w:r>
    </w:p>
    <w:p>
      <w:pPr>
        <w:spacing w:after="120"/>
        <w:ind w:firstLine="709"/>
      </w:pP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928"/>
            <w:shd w:val="clear" w:color="auto" w:fill="E6EAF0"/>
          </w:tcPr>
          <w:p>
            <w:pPr>
              <w:spacing w:line="240" w:lineRule="auto" w:after="40" w:before="40"/>
              <w:jc w:val="left"/>
            </w:pPr>
            <w:r/>
            <w:r>
              <w:rPr>
                <w:b/>
                <w:sz w:val="20"/>
              </w:rPr>
              <w:t>Estratégia</w:t>
            </w:r>
          </w:p>
        </w:tc>
        <w:tc>
          <w:tcPr>
            <w:tcW w:type="dxa" w:w="4876"/>
            <w:shd w:val="clear" w:color="auto" w:fill="E6EAF0"/>
          </w:tcPr>
          <w:p>
            <w:pPr>
              <w:spacing w:line="240" w:lineRule="auto" w:after="40" w:before="40"/>
              <w:jc w:val="left"/>
            </w:pPr>
            <w:r/>
            <w:r>
              <w:rPr>
                <w:b/>
                <w:sz w:val="20"/>
              </w:rPr>
              <w:t>Descrição</w:t>
            </w:r>
          </w:p>
        </w:tc>
        <w:tc>
          <w:tcPr>
            <w:tcW w:type="dxa" w:w="1134"/>
            <w:shd w:val="clear" w:color="auto" w:fill="E6EAF0"/>
          </w:tcPr>
          <w:p>
            <w:pPr>
              <w:spacing w:line="240" w:lineRule="auto" w:after="40" w:before="40"/>
              <w:jc w:val="left"/>
            </w:pPr>
            <w:r/>
            <w:r>
              <w:rPr>
                <w:b/>
                <w:sz w:val="20"/>
              </w:rPr>
              <w:t>Redes ajustadas</w:t>
            </w:r>
          </w:p>
        </w:tc>
      </w:tr>
      <w:tr>
        <w:tc>
          <w:tcPr>
            <w:tcW w:type="dxa" w:w="1928"/>
          </w:tcPr>
          <w:p>
            <w:pPr>
              <w:spacing w:line="240" w:lineRule="auto" w:after="40" w:before="40"/>
              <w:jc w:val="left"/>
            </w:pPr>
            <w:r/>
            <w:r>
              <w:rPr>
                <w:b w:val="0"/>
                <w:sz w:val="20"/>
              </w:rPr>
              <w:t>modelo único</w:t>
            </w:r>
          </w:p>
        </w:tc>
        <w:tc>
          <w:tcPr>
            <w:tcW w:type="dxa" w:w="4876"/>
          </w:tcPr>
          <w:p>
            <w:pPr>
              <w:spacing w:line="240" w:lineRule="auto" w:after="40" w:before="40"/>
              <w:jc w:val="left"/>
            </w:pPr>
            <w:r/>
            <w:r>
              <w:rPr>
                <w:b w:val="0"/>
                <w:sz w:val="20"/>
              </w:rPr>
              <w:t>Uma rede com uma saída logística independente por indicador; o codificador é compartilhado por todos eles.</w:t>
            </w:r>
          </w:p>
        </w:tc>
        <w:tc>
          <w:tcPr>
            <w:tcW w:type="dxa" w:w="1134"/>
          </w:tcPr>
          <w:p>
            <w:pPr>
              <w:spacing w:line="240" w:lineRule="auto" w:after="40" w:before="40"/>
              <w:jc w:val="left"/>
            </w:pPr>
            <w:r/>
            <w:r>
              <w:rPr>
                <w:b w:val="0"/>
                <w:sz w:val="20"/>
              </w:rPr>
              <w:t>1</w:t>
            </w:r>
          </w:p>
        </w:tc>
      </w:tr>
      <w:tr>
        <w:tc>
          <w:tcPr>
            <w:tcW w:type="dxa" w:w="1928"/>
          </w:tcPr>
          <w:p>
            <w:pPr>
              <w:spacing w:line="240" w:lineRule="auto" w:after="40" w:before="40"/>
              <w:jc w:val="left"/>
            </w:pPr>
            <w:r/>
            <w:r>
              <w:rPr>
                <w:b w:val="0"/>
                <w:sz w:val="20"/>
              </w:rPr>
              <w:t>um por indicador</w:t>
            </w:r>
          </w:p>
        </w:tc>
        <w:tc>
          <w:tcPr>
            <w:tcW w:type="dxa" w:w="4876"/>
          </w:tcPr>
          <w:p>
            <w:pPr>
              <w:spacing w:line="240" w:lineRule="auto" w:after="40" w:before="40"/>
              <w:jc w:val="left"/>
            </w:pPr>
            <w:r/>
            <w:r>
              <w:rPr>
                <w:b w:val="0"/>
                <w:sz w:val="20"/>
              </w:rPr>
              <w:t>Uma rede binária independente por indicador, no esquema um-contra-resto; as saídas são reunidas em um vetor multirrótulo.</w:t>
            </w:r>
          </w:p>
        </w:tc>
        <w:tc>
          <w:tcPr>
            <w:tcW w:type="dxa" w:w="1134"/>
          </w:tcPr>
          <w:p>
            <w:pPr>
              <w:spacing w:line="240" w:lineRule="auto" w:after="40" w:before="40"/>
              <w:jc w:val="left"/>
            </w:pPr>
            <w:r/>
            <w:r>
              <w:rPr>
                <w:b w:val="0"/>
                <w:sz w:val="20"/>
              </w:rPr>
              <w:t>7</w:t>
            </w:r>
          </w:p>
        </w:tc>
      </w:tr>
      <w:tr>
        <w:tc>
          <w:tcPr>
            <w:tcW w:type="dxa" w:w="1928"/>
          </w:tcPr>
          <w:p>
            <w:pPr>
              <w:spacing w:line="240" w:lineRule="auto" w:after="40" w:before="40"/>
              <w:jc w:val="left"/>
            </w:pPr>
            <w:r/>
            <w:r>
              <w:rPr>
                <w:b w:val="0"/>
                <w:sz w:val="20"/>
              </w:rPr>
              <w:t>comitê por indicador</w:t>
            </w:r>
          </w:p>
        </w:tc>
        <w:tc>
          <w:tcPr>
            <w:tcW w:type="dxa" w:w="4876"/>
          </w:tcPr>
          <w:p>
            <w:pPr>
              <w:spacing w:line="240" w:lineRule="auto" w:after="40" w:before="40"/>
              <w:jc w:val="left"/>
            </w:pPr>
            <w:r/>
            <w:r>
              <w:rPr>
                <w:b w:val="0"/>
                <w:sz w:val="20"/>
              </w:rPr>
              <w:t>3 redes binárias por indicador, uma de cada arquitetura, com decisão por votação: o indicador só é atribuído automaticamente quando a concordância atinge o corte.</w:t>
            </w:r>
          </w:p>
        </w:tc>
        <w:tc>
          <w:tcPr>
            <w:tcW w:type="dxa" w:w="1134"/>
          </w:tcPr>
          <w:p>
            <w:pPr>
              <w:spacing w:line="240" w:lineRule="auto" w:after="40" w:before="40"/>
              <w:jc w:val="left"/>
            </w:pPr>
            <w:r/>
            <w:r>
              <w:rPr>
                <w:b w:val="0"/>
                <w:sz w:val="20"/>
              </w:rPr>
              <w:t>21</w:t>
            </w:r>
          </w:p>
        </w:tc>
      </w:tr>
    </w:tbl>
    <w:p>
      <w:pPr>
        <w:spacing w:before="40" w:after="240" w:line="240" w:lineRule="auto"/>
        <w:jc w:val="left"/>
      </w:pPr>
      <w:r>
        <w:rPr>
          <w:color w:val="444444"/>
          <w:sz w:val="20"/>
        </w:rPr>
        <w:t>Tabela 4 — Estratégias de ajuste submetidas à comparação.</w:t>
      </w:r>
    </w:p>
    <w:p>
      <w:pPr>
        <w:spacing w:after="120"/>
        <w:ind w:firstLine="709"/>
      </w:pPr>
      <w:r>
        <w:rPr>
          <w:b w:val="0"/>
          <w:i w:val="0"/>
        </w:rPr>
        <w:t>A estratégia de modelo único tem a seu favor o compartilhamento de representação: o que a rede aprende sobre a linguagem do noticiário policial beneficia todos os indicadores ao mesmo tempo, o que é relevante quando o corpus é pequeno. A estratégia de um modelo por indicador tem a seu favor a independência: cada indicador recebe a capacidade integral de uma rede e o seu próprio ponto de parada, e um indicador raro não disputa parâmetros com os frequentes. O custo é proporcional ao número de indicadores, em tempo de treino, em espaço de armazenamento dos pesos e em memória durante a inferência, uma vez que todas as redes precisam estar carregadas para classificar uma única notícia.</w:t>
      </w:r>
    </w:p>
    <w:p>
      <w:pPr>
        <w:spacing w:after="120"/>
        <w:ind w:firstLine="709"/>
      </w:pPr>
      <w:r>
        <w:rPr>
          <w:b w:val="0"/>
          <w:i w:val="0"/>
        </w:rPr>
        <w:t>A terceira estratégia submete a mesma notícia a três arquiteturas distintas por indicador e decide por votação, com um limiar calibrado para CADA rede separadamente. Essa separação é deliberada: um limiar comum às três faria com que discordassem menos por construção, e a discordância é o sinal procurado. A decisão resultante tem três faixas, e não duas — nenhum voto encaminha a notícia à revisão humana, voto abaixo do corte gera alerta a ser verificado, e a partir do corte o indicador segue automaticamente. O preço é explícito nas métricas, que reportam a fração de decisões não automáticas ao lado do desempenho.</w:t>
      </w:r>
    </w:p>
    <w:p>
      <w:pPr>
        <w:spacing w:after="120"/>
        <w:ind w:firstLine="709"/>
      </w:pPr>
      <w:r>
        <w:rPr>
          <w:b w:val="0"/>
          <w:i w:val="0"/>
        </w:rPr>
        <w:t>A viabilidade do comitê depende de um detalhe de implementação: as redes são treinadas e descartadas uma a uma, e na inferência carrega-se apenas o grupo de um indicador por vez. Mantidas todas em memória simultaneamente, as 21 redes excederiam a memória da unidade gráfica utilizada; carregadas em grupo, o pico medido ficou em torno de um quarto dela. O custo transferiu-se para o tempo: a classificação de uma notícia passa a exigir vários ciclos de carregamento.</w:t>
      </w:r>
    </w:p>
    <w:p>
      <w:pPr>
        <w:spacing w:after="120"/>
        <w:ind w:firstLine="709"/>
      </w:pPr>
      <w:r>
        <w:rPr>
          <w:b w:val="0"/>
          <w:i w:val="0"/>
        </w:rPr>
        <w:t>A comparação entre as estratégias multiplica o número de execuções, razão pela qual é conduzida sobre uma única configuração da grade: com 3 modelos e 4 configurações, a estratégia de modelo único ajusta 12 redes, a de um modelo por indicador ajusta 84, e a de comitê ajusta 84 — esta última uma vez por configuração, e não por modelo, pois emprega os três simultaneamente.</w:t>
      </w:r>
    </w:p>
    <w:p>
      <w:pPr>
        <w:pStyle w:val="Heading2"/>
      </w:pPr>
      <w:r>
        <w:t>7.4 Desbalanceamento: ponderação da perda</w:t>
      </w:r>
    </w:p>
    <w:p>
      <w:pPr>
        <w:spacing w:after="120"/>
        <w:ind w:firstLine="709"/>
      </w:pPr>
      <w:r>
        <w:rPr>
          <w:b w:val="0"/>
          <w:i w:val="0"/>
        </w:rPr>
        <w:t>Os indicadores têm frequências muito distintas no corpus, e o desbalanceamento afeta a classificação multirrótulo de maneira específica. Para um indicador presente em vinte de quatrocentas notícias, a perda de entropia cruzada binária é quase minimizada por um modelo que nunca o atribui: o acerto em trezentos e oitenta exemplos negativos compensa o erro em vinte positivos. O comportamento resultante — atribuir apenas os indicadores frequentes — é frequentemente interpretado como incapacidade do modelo de reconhecer mais de um indicador, quando se trata de um efeito da função de perda.</w:t>
      </w:r>
    </w:p>
    <w:p>
      <w:pPr>
        <w:spacing w:after="120"/>
        <w:ind w:firstLine="709"/>
      </w:pPr>
      <w:r>
        <w:rPr>
          <w:b w:val="0"/>
          <w:i w:val="0"/>
        </w:rPr>
        <w:t>A correção adotada é a ponderação do termo positivo da perda de cada indicador pela razão entre o número de exemplos negativos e o de positivos daquele indicador no conjunto de treino. A razão é limitada a um teto de 10, pois um indicador com dois exemplos entre quatrocentos receberia peso próximo a duzentos e passaria a responder por quase toda a atualização dos parâmetros, invertendo o problema. Os pesos efetivamente aplicados são registrados junto às métricas da execução.</w:t>
      </w:r>
    </w:p>
    <w:p>
      <w:pPr>
        <w:pStyle w:val="Heading2"/>
      </w:pPr>
      <w:r>
        <w:t>7.5 Calibração do limiar de decisão</w:t>
      </w:r>
    </w:p>
    <w:p>
      <w:pPr>
        <w:spacing w:after="120"/>
        <w:ind w:firstLine="709"/>
      </w:pPr>
      <w:r>
        <w:rPr>
          <w:b w:val="0"/>
          <w:i w:val="0"/>
        </w:rPr>
        <w:t>A segunda correção incide sobre o limiar de decisão. O valor convencional de cinco décimos é adequado quando as classes são equilibradas, mas não quando não são: a saída logística de um indicador raro tende a permanecer abaixo desse valor mesmo nos casos em que o indicador se aplica, de modo que o indicador deixa de ser atribuído ainda que as suas pontuações estejam corretamente ordenadas. Um limiar comum a todos os indicadores impõe, assim, um custo concentrado nos indicadores menos frequentes.</w:t>
      </w:r>
    </w:p>
    <w:p>
      <w:pPr>
        <w:spacing w:after="120"/>
        <w:ind w:firstLine="709"/>
      </w:pPr>
      <w:r>
        <w:rPr>
          <w:b w:val="0"/>
          <w:i w:val="0"/>
        </w:rPr>
        <w:t>Adota-se um limiar por indicador, obtido por varredura sobre o conjunto de validação, em incrementos de cinco centésimos, selecionando-se o valor que maximiza a medida F1 daquele indicador. Em caso de empate, prefere-se o limiar mais baixo, decisão justificada pela assimetria entre os dois tipos de erro nesta arquitetura: o indicador atribuído indevidamente é submetido ao modelo de linguagem da etapa seguinte, que pode descartá-lo, enquanto o indicador não atribuído não chega a ser avaliado, e a perda é definitiva.</w:t>
      </w:r>
    </w:p>
    <w:p>
      <w:pPr>
        <w:spacing w:after="120"/>
        <w:ind w:firstLine="709"/>
      </w:pPr>
      <w:r>
        <w:rPr>
          <w:b w:val="0"/>
          <w:i w:val="0"/>
        </w:rPr>
        <w:t>A calibração utiliza exclusivamente o conjunto de validação. Calibrar sobre o conjunto de teste produziria uma estimativa otimista, por selecionar o limiar com conhecimento dos dados sobre os quais o resultado é reportado. Para que o efeito da calibração seja verificável e não apenas afirmado, registra-se junto a cada execução a medida F1 que o mesmo modelo obteria, no mesmo conjunto de teste, com todos os limiares fixados em cinco décimos; a diferença entre os dois valores é o efeito medido do procedimento. O limiar de cada indicador é gravado com os pesos do modelo, pois a decisão de classificação não é reproduzível sem ele.</w:t>
      </w:r>
    </w:p>
    <w:p>
      <w:pPr>
        <w:spacing w:after="120"/>
        <w:ind w:firstLine="709"/>
      </w:pPr>
      <w:r>
        <w:rPr>
          <w:b w:val="0"/>
          <w:i w:val="0"/>
        </w:rPr>
        <w:t>Indicadores sem exemplo positivo no conjunto de validação não admitem calibração e permanecem no valor convencional, situação que é registrada explicitamente para que o valor não seja lido como resultado de seleção.</w:t>
      </w:r>
    </w:p>
    <w:p>
      <w:r>
        <w:br w:type="page"/>
      </w:r>
    </w:p>
    <w:p>
      <w:pPr>
        <w:pStyle w:val="Heading1"/>
      </w:pPr>
      <w:r>
        <w:t>8 Passo 5: busca de hiperparâmetros</w:t>
      </w:r>
    </w:p>
    <w:p>
      <w:pPr>
        <w:pStyle w:val="Heading2"/>
      </w:pPr>
      <w:r>
        <w:t>8.1 Grade</w:t>
      </w:r>
    </w:p>
    <w:p>
      <w:pPr>
        <w:spacing w:after="120"/>
        <w:ind w:firstLine="709"/>
      </w:pPr>
      <w:r>
        <w:rPr>
          <w:b w:val="0"/>
          <w:i w:val="0"/>
        </w:rPr>
        <w:t>Cada modelo é treinado sob todas as configurações da grade abaixo, totalizando 12 execuções por tarefa.</w:t>
      </w:r>
    </w:p>
    <w:p>
      <w:pPr>
        <w:spacing w:after="120"/>
        <w:ind w:firstLine="709"/>
      </w:pP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567"/>
            <w:shd w:val="clear" w:color="auto" w:fill="E6EAF0"/>
          </w:tcPr>
          <w:p>
            <w:pPr>
              <w:spacing w:line="240" w:lineRule="auto" w:after="40" w:before="40"/>
              <w:jc w:val="left"/>
            </w:pPr>
            <w:r/>
            <w:r>
              <w:rPr>
                <w:b/>
                <w:sz w:val="20"/>
              </w:rPr>
              <w:t>#</w:t>
            </w:r>
          </w:p>
        </w:tc>
        <w:tc>
          <w:tcPr>
            <w:tcW w:type="dxa" w:w="2268"/>
            <w:shd w:val="clear" w:color="auto" w:fill="E6EAF0"/>
          </w:tcPr>
          <w:p>
            <w:pPr>
              <w:spacing w:line="240" w:lineRule="auto" w:after="40" w:before="40"/>
              <w:jc w:val="left"/>
            </w:pPr>
            <w:r/>
            <w:r>
              <w:rPr>
                <w:b/>
                <w:sz w:val="20"/>
              </w:rPr>
              <w:t>Taxa de aprendizado</w:t>
            </w:r>
          </w:p>
        </w:tc>
        <w:tc>
          <w:tcPr>
            <w:tcW w:type="dxa" w:w="907"/>
            <w:shd w:val="clear" w:color="auto" w:fill="E6EAF0"/>
          </w:tcPr>
          <w:p>
            <w:pPr>
              <w:spacing w:line="240" w:lineRule="auto" w:after="40" w:before="40"/>
              <w:jc w:val="left"/>
            </w:pPr>
            <w:r/>
            <w:r>
              <w:rPr>
                <w:b/>
                <w:sz w:val="20"/>
              </w:rPr>
              <w:t>Lote</w:t>
            </w:r>
          </w:p>
        </w:tc>
        <w:tc>
          <w:tcPr>
            <w:tcW w:type="dxa" w:w="1020"/>
            <w:shd w:val="clear" w:color="auto" w:fill="E6EAF0"/>
          </w:tcPr>
          <w:p>
            <w:pPr>
              <w:spacing w:line="240" w:lineRule="auto" w:after="40" w:before="40"/>
              <w:jc w:val="left"/>
            </w:pPr>
            <w:r/>
            <w:r>
              <w:rPr>
                <w:b/>
                <w:sz w:val="20"/>
              </w:rPr>
              <w:t>Épocas</w:t>
            </w:r>
          </w:p>
        </w:tc>
        <w:tc>
          <w:tcPr>
            <w:tcW w:type="dxa" w:w="1701"/>
            <w:shd w:val="clear" w:color="auto" w:fill="E6EAF0"/>
          </w:tcPr>
          <w:p>
            <w:pPr>
              <w:spacing w:line="240" w:lineRule="auto" w:after="40" w:before="40"/>
              <w:jc w:val="left"/>
            </w:pPr>
            <w:r/>
            <w:r>
              <w:rPr>
                <w:b/>
                <w:sz w:val="20"/>
              </w:rPr>
              <w:t>Decaimento</w:t>
            </w:r>
          </w:p>
        </w:tc>
        <w:tc>
          <w:tcPr>
            <w:tcW w:type="dxa" w:w="2608"/>
            <w:shd w:val="clear" w:color="auto" w:fill="E6EAF0"/>
          </w:tcPr>
          <w:p>
            <w:pPr>
              <w:spacing w:line="240" w:lineRule="auto" w:after="40" w:before="40"/>
              <w:jc w:val="left"/>
            </w:pPr>
            <w:r/>
            <w:r>
              <w:rPr>
                <w:b/>
                <w:sz w:val="20"/>
              </w:rPr>
              <w:t>Comprimento</w:t>
            </w:r>
          </w:p>
        </w:tc>
      </w:tr>
      <w:tr>
        <w:tc>
          <w:tcPr>
            <w:tcW w:type="dxa" w:w="567"/>
          </w:tcPr>
          <w:p>
            <w:pPr>
              <w:spacing w:line="240" w:lineRule="auto" w:after="40" w:before="40"/>
              <w:jc w:val="left"/>
            </w:pPr>
            <w:r/>
            <w:r>
              <w:rPr>
                <w:b w:val="0"/>
                <w:sz w:val="20"/>
              </w:rPr>
              <w:t>1</w:t>
            </w:r>
          </w:p>
        </w:tc>
        <w:tc>
          <w:tcPr>
            <w:tcW w:type="dxa" w:w="2268"/>
          </w:tcPr>
          <w:p>
            <w:pPr>
              <w:spacing w:line="240" w:lineRule="auto" w:after="40" w:before="40"/>
              <w:jc w:val="left"/>
            </w:pPr>
            <w:r/>
            <w:r>
              <w:rPr>
                <w:b w:val="0"/>
                <w:sz w:val="20"/>
              </w:rPr>
              <w:t>2e-05</w:t>
            </w:r>
          </w:p>
        </w:tc>
        <w:tc>
          <w:tcPr>
            <w:tcW w:type="dxa" w:w="907"/>
          </w:tcPr>
          <w:p>
            <w:pPr>
              <w:spacing w:line="240" w:lineRule="auto" w:after="40" w:before="40"/>
              <w:jc w:val="left"/>
            </w:pPr>
            <w:r/>
            <w:r>
              <w:rPr>
                <w:b w:val="0"/>
                <w:sz w:val="20"/>
              </w:rPr>
              <w:t>16</w:t>
            </w:r>
          </w:p>
        </w:tc>
        <w:tc>
          <w:tcPr>
            <w:tcW w:type="dxa" w:w="1020"/>
          </w:tcPr>
          <w:p>
            <w:pPr>
              <w:spacing w:line="240" w:lineRule="auto" w:after="40" w:before="40"/>
              <w:jc w:val="left"/>
            </w:pPr>
            <w:r/>
            <w:r>
              <w:rPr>
                <w:b w:val="0"/>
                <w:sz w:val="20"/>
              </w:rPr>
              <w:t>4</w:t>
            </w:r>
          </w:p>
        </w:tc>
        <w:tc>
          <w:tcPr>
            <w:tcW w:type="dxa" w:w="1701"/>
          </w:tcPr>
          <w:p>
            <w:pPr>
              <w:spacing w:line="240" w:lineRule="auto" w:after="40" w:before="40"/>
              <w:jc w:val="left"/>
            </w:pPr>
            <w:r/>
            <w:r>
              <w:rPr>
                <w:b w:val="0"/>
                <w:sz w:val="20"/>
              </w:rPr>
              <w:t>0.01</w:t>
            </w:r>
          </w:p>
        </w:tc>
        <w:tc>
          <w:tcPr>
            <w:tcW w:type="dxa" w:w="2608"/>
          </w:tcPr>
          <w:p>
            <w:pPr>
              <w:spacing w:line="240" w:lineRule="auto" w:after="40" w:before="40"/>
              <w:jc w:val="left"/>
            </w:pPr>
            <w:r/>
            <w:r>
              <w:rPr>
                <w:b w:val="0"/>
                <w:sz w:val="20"/>
              </w:rPr>
              <w:t>256</w:t>
            </w:r>
          </w:p>
        </w:tc>
      </w:tr>
      <w:tr>
        <w:tc>
          <w:tcPr>
            <w:tcW w:type="dxa" w:w="567"/>
          </w:tcPr>
          <w:p>
            <w:pPr>
              <w:spacing w:line="240" w:lineRule="auto" w:after="40" w:before="40"/>
              <w:jc w:val="left"/>
            </w:pPr>
            <w:r/>
            <w:r>
              <w:rPr>
                <w:b w:val="0"/>
                <w:sz w:val="20"/>
              </w:rPr>
              <w:t>2</w:t>
            </w:r>
          </w:p>
        </w:tc>
        <w:tc>
          <w:tcPr>
            <w:tcW w:type="dxa" w:w="2268"/>
          </w:tcPr>
          <w:p>
            <w:pPr>
              <w:spacing w:line="240" w:lineRule="auto" w:after="40" w:before="40"/>
              <w:jc w:val="left"/>
            </w:pPr>
            <w:r/>
            <w:r>
              <w:rPr>
                <w:b w:val="0"/>
                <w:sz w:val="20"/>
              </w:rPr>
              <w:t>3e-05</w:t>
            </w:r>
          </w:p>
        </w:tc>
        <w:tc>
          <w:tcPr>
            <w:tcW w:type="dxa" w:w="907"/>
          </w:tcPr>
          <w:p>
            <w:pPr>
              <w:spacing w:line="240" w:lineRule="auto" w:after="40" w:before="40"/>
              <w:jc w:val="left"/>
            </w:pPr>
            <w:r/>
            <w:r>
              <w:rPr>
                <w:b w:val="0"/>
                <w:sz w:val="20"/>
              </w:rPr>
              <w:t>16</w:t>
            </w:r>
          </w:p>
        </w:tc>
        <w:tc>
          <w:tcPr>
            <w:tcW w:type="dxa" w:w="1020"/>
          </w:tcPr>
          <w:p>
            <w:pPr>
              <w:spacing w:line="240" w:lineRule="auto" w:after="40" w:before="40"/>
              <w:jc w:val="left"/>
            </w:pPr>
            <w:r/>
            <w:r>
              <w:rPr>
                <w:b w:val="0"/>
                <w:sz w:val="20"/>
              </w:rPr>
              <w:t>4</w:t>
            </w:r>
          </w:p>
        </w:tc>
        <w:tc>
          <w:tcPr>
            <w:tcW w:type="dxa" w:w="1701"/>
          </w:tcPr>
          <w:p>
            <w:pPr>
              <w:spacing w:line="240" w:lineRule="auto" w:after="40" w:before="40"/>
              <w:jc w:val="left"/>
            </w:pPr>
            <w:r/>
            <w:r>
              <w:rPr>
                <w:b w:val="0"/>
                <w:sz w:val="20"/>
              </w:rPr>
              <w:t>0.01</w:t>
            </w:r>
          </w:p>
        </w:tc>
        <w:tc>
          <w:tcPr>
            <w:tcW w:type="dxa" w:w="2608"/>
          </w:tcPr>
          <w:p>
            <w:pPr>
              <w:spacing w:line="240" w:lineRule="auto" w:after="40" w:before="40"/>
              <w:jc w:val="left"/>
            </w:pPr>
            <w:r/>
            <w:r>
              <w:rPr>
                <w:b w:val="0"/>
                <w:sz w:val="20"/>
              </w:rPr>
              <w:t>256</w:t>
            </w:r>
          </w:p>
        </w:tc>
      </w:tr>
      <w:tr>
        <w:tc>
          <w:tcPr>
            <w:tcW w:type="dxa" w:w="567"/>
          </w:tcPr>
          <w:p>
            <w:pPr>
              <w:spacing w:line="240" w:lineRule="auto" w:after="40" w:before="40"/>
              <w:jc w:val="left"/>
            </w:pPr>
            <w:r/>
            <w:r>
              <w:rPr>
                <w:b w:val="0"/>
                <w:sz w:val="20"/>
              </w:rPr>
              <w:t>3</w:t>
            </w:r>
          </w:p>
        </w:tc>
        <w:tc>
          <w:tcPr>
            <w:tcW w:type="dxa" w:w="2268"/>
          </w:tcPr>
          <w:p>
            <w:pPr>
              <w:spacing w:line="240" w:lineRule="auto" w:after="40" w:before="40"/>
              <w:jc w:val="left"/>
            </w:pPr>
            <w:r/>
            <w:r>
              <w:rPr>
                <w:b w:val="0"/>
                <w:sz w:val="20"/>
              </w:rPr>
              <w:t>5e-05</w:t>
            </w:r>
          </w:p>
        </w:tc>
        <w:tc>
          <w:tcPr>
            <w:tcW w:type="dxa" w:w="907"/>
          </w:tcPr>
          <w:p>
            <w:pPr>
              <w:spacing w:line="240" w:lineRule="auto" w:after="40" w:before="40"/>
              <w:jc w:val="left"/>
            </w:pPr>
            <w:r/>
            <w:r>
              <w:rPr>
                <w:b w:val="0"/>
                <w:sz w:val="20"/>
              </w:rPr>
              <w:t>16</w:t>
            </w:r>
          </w:p>
        </w:tc>
        <w:tc>
          <w:tcPr>
            <w:tcW w:type="dxa" w:w="1020"/>
          </w:tcPr>
          <w:p>
            <w:pPr>
              <w:spacing w:line="240" w:lineRule="auto" w:after="40" w:before="40"/>
              <w:jc w:val="left"/>
            </w:pPr>
            <w:r/>
            <w:r>
              <w:rPr>
                <w:b w:val="0"/>
                <w:sz w:val="20"/>
              </w:rPr>
              <w:t>3</w:t>
            </w:r>
          </w:p>
        </w:tc>
        <w:tc>
          <w:tcPr>
            <w:tcW w:type="dxa" w:w="1701"/>
          </w:tcPr>
          <w:p>
            <w:pPr>
              <w:spacing w:line="240" w:lineRule="auto" w:after="40" w:before="40"/>
              <w:jc w:val="left"/>
            </w:pPr>
            <w:r/>
            <w:r>
              <w:rPr>
                <w:b w:val="0"/>
                <w:sz w:val="20"/>
              </w:rPr>
              <w:t>0.01</w:t>
            </w:r>
          </w:p>
        </w:tc>
        <w:tc>
          <w:tcPr>
            <w:tcW w:type="dxa" w:w="2608"/>
          </w:tcPr>
          <w:p>
            <w:pPr>
              <w:spacing w:line="240" w:lineRule="auto" w:after="40" w:before="40"/>
              <w:jc w:val="left"/>
            </w:pPr>
            <w:r/>
            <w:r>
              <w:rPr>
                <w:b w:val="0"/>
                <w:sz w:val="20"/>
              </w:rPr>
              <w:t>256</w:t>
            </w:r>
          </w:p>
        </w:tc>
      </w:tr>
      <w:tr>
        <w:tc>
          <w:tcPr>
            <w:tcW w:type="dxa" w:w="567"/>
          </w:tcPr>
          <w:p>
            <w:pPr>
              <w:spacing w:line="240" w:lineRule="auto" w:after="40" w:before="40"/>
              <w:jc w:val="left"/>
            </w:pPr>
            <w:r/>
            <w:r>
              <w:rPr>
                <w:b w:val="0"/>
                <w:sz w:val="20"/>
              </w:rPr>
              <w:t>4</w:t>
            </w:r>
          </w:p>
        </w:tc>
        <w:tc>
          <w:tcPr>
            <w:tcW w:type="dxa" w:w="2268"/>
          </w:tcPr>
          <w:p>
            <w:pPr>
              <w:spacing w:line="240" w:lineRule="auto" w:after="40" w:before="40"/>
              <w:jc w:val="left"/>
            </w:pPr>
            <w:r/>
            <w:r>
              <w:rPr>
                <w:b w:val="0"/>
                <w:sz w:val="20"/>
              </w:rPr>
              <w:t>2e-05</w:t>
            </w:r>
          </w:p>
        </w:tc>
        <w:tc>
          <w:tcPr>
            <w:tcW w:type="dxa" w:w="907"/>
          </w:tcPr>
          <w:p>
            <w:pPr>
              <w:spacing w:line="240" w:lineRule="auto" w:after="40" w:before="40"/>
              <w:jc w:val="left"/>
            </w:pPr>
            <w:r/>
            <w:r>
              <w:rPr>
                <w:b w:val="0"/>
                <w:sz w:val="20"/>
              </w:rPr>
              <w:t>8</w:t>
            </w:r>
          </w:p>
        </w:tc>
        <w:tc>
          <w:tcPr>
            <w:tcW w:type="dxa" w:w="1020"/>
          </w:tcPr>
          <w:p>
            <w:pPr>
              <w:spacing w:line="240" w:lineRule="auto" w:after="40" w:before="40"/>
              <w:jc w:val="left"/>
            </w:pPr>
            <w:r/>
            <w:r>
              <w:rPr>
                <w:b w:val="0"/>
                <w:sz w:val="20"/>
              </w:rPr>
              <w:t>5</w:t>
            </w:r>
          </w:p>
        </w:tc>
        <w:tc>
          <w:tcPr>
            <w:tcW w:type="dxa" w:w="1701"/>
          </w:tcPr>
          <w:p>
            <w:pPr>
              <w:spacing w:line="240" w:lineRule="auto" w:after="40" w:before="40"/>
              <w:jc w:val="left"/>
            </w:pPr>
            <w:r/>
            <w:r>
              <w:rPr>
                <w:b w:val="0"/>
                <w:sz w:val="20"/>
              </w:rPr>
              <w:t>0.1</w:t>
            </w:r>
          </w:p>
        </w:tc>
        <w:tc>
          <w:tcPr>
            <w:tcW w:type="dxa" w:w="2608"/>
          </w:tcPr>
          <w:p>
            <w:pPr>
              <w:spacing w:line="240" w:lineRule="auto" w:after="40" w:before="40"/>
              <w:jc w:val="left"/>
            </w:pPr>
            <w:r/>
            <w:r>
              <w:rPr>
                <w:b w:val="0"/>
                <w:sz w:val="20"/>
              </w:rPr>
              <w:t>320</w:t>
            </w:r>
          </w:p>
        </w:tc>
      </w:tr>
    </w:tbl>
    <w:p>
      <w:pPr>
        <w:spacing w:before="40" w:after="240" w:line="240" w:lineRule="auto"/>
        <w:jc w:val="left"/>
      </w:pPr>
      <w:r>
        <w:rPr>
          <w:color w:val="444444"/>
          <w:sz w:val="20"/>
        </w:rPr>
        <w:t>Tabela 5 — Grade de hiperparâmetros.</w:t>
      </w:r>
    </w:p>
    <w:p>
      <w:pPr>
        <w:spacing w:after="120"/>
        <w:ind w:firstLine="709"/>
      </w:pPr>
      <w:r>
        <w:rPr>
          <w:b w:val="0"/>
          <w:i w:val="0"/>
        </w:rPr>
        <w:t>Os valores situam-se na faixa recomendada pela literatura de ajuste fino de modelos BERT, com taxas de aprendizado entre 2·10⁻⁵ e 5·10⁻⁵ e número reduzido de épocas. A grade é construída de modo que as configurações com mais épocas empreguem taxa menor, pois corpora pequenos sobreajustam rapidamente. Ao treino aplica-se ainda aquecimento linear da taxa de aprendizado em dez por cento dos passos e limitação da norma do gradiente, medidas usuais para estabilizar as primeiras atualizações.</w:t>
      </w:r>
    </w:p>
    <w:p>
      <w:pPr>
        <w:pStyle w:val="Heading2"/>
      </w:pPr>
      <w:r>
        <w:t>8.2 Critério de seleção</w:t>
      </w:r>
    </w:p>
    <w:p>
      <w:pPr>
        <w:spacing w:after="120"/>
        <w:ind w:firstLine="709"/>
      </w:pPr>
      <w:r>
        <w:rPr>
          <w:b w:val="0"/>
          <w:i w:val="0"/>
        </w:rPr>
        <w:t>A configuração vencedora de cada tarefa é escolhida pela medida F1 macro obtida no conjunto de validação, nunca no de teste. A distinção é central para a validade do resultado: o conjunto de teste estima o desempenho em dados não vistos, e essa estimativa deixa de ser válida se ele for consultado para tomar decisões de modelagem. Escolher a configuração pelo teste transformaria o número reportado em um máximo sobre a grade, sistematicamente otimista.</w:t>
      </w:r>
    </w:p>
    <w:p>
      <w:pPr>
        <w:spacing w:after="120"/>
        <w:ind w:firstLine="709"/>
      </w:pPr>
      <w:r>
        <w:rPr>
          <w:b w:val="0"/>
          <w:i w:val="0"/>
        </w:rPr>
        <w:t>Quando uma tarefa não dispõe de conjunto de validação — situação possível com classes muito raras —, o critério recai sobre o teste, e essa condição é registrada explicitamente junto ao resultado, por deixar de ser uma estimativa limpa.</w:t>
      </w:r>
    </w:p>
    <w:p>
      <w:pPr>
        <w:pStyle w:val="Heading2"/>
      </w:pPr>
      <w:r>
        <w:t>8.3 Acompanhamento do aprendizado</w:t>
      </w:r>
    </w:p>
    <w:p>
      <w:pPr>
        <w:spacing w:after="120"/>
        <w:ind w:firstLine="709"/>
      </w:pPr>
      <w:r>
        <w:rPr>
          <w:b w:val="0"/>
          <w:i w:val="0"/>
        </w:rPr>
        <w:t>Registram-se, por época, a perda média no conjunto de treino e a medida F1 macro no conjunto de validação. A leitura conjunta das duas séries é o que permite diagnosticar sobreajuste: perda decrescente acompanhada de medida F1 de validação estável ou em queda indica que o modelo está memorizando o treino em vez de generalizar, e sugere reduzir épocas ou taxa de aprendizado.</w:t>
      </w:r>
    </w:p>
    <w:p>
      <w:r>
        <w:br w:type="page"/>
      </w:r>
    </w:p>
    <w:p>
      <w:pPr>
        <w:pStyle w:val="Heading1"/>
      </w:pPr>
      <w:r>
        <w:t>9 Passo 6: protocolo de avaliação</w:t>
      </w:r>
    </w:p>
    <w:p>
      <w:pPr>
        <w:pStyle w:val="Heading2"/>
      </w:pPr>
      <w:r>
        <w:t>9.1 Métricas reportadas</w:t>
      </w:r>
    </w:p>
    <w:p>
      <w:pPr>
        <w:spacing w:after="120"/>
        <w:ind w:firstLine="709"/>
      </w:pPr>
      <w:r>
        <w:rPr>
          <w:b w:val="0"/>
          <w:i w:val="0"/>
        </w:rPr>
        <w:t>Para cada execução são registradas a acurácia; a precisão, o recall e a medida F1 em média macro e em média ponderada pelo suporte; as mesmas três métricas por classe, acompanhadas do número de exemplos daquela classe no conjunto de teste; e a matriz de confusão completa. Para a tarefa multirrótulo reportam-se, adicionalmente, as médias micro e a acurácia de subconjunto, que exige acerto simultâneo de todos os rótulos de uma notícia.</w:t>
      </w:r>
    </w:p>
    <w:p>
      <w:pPr>
        <w:spacing w:after="120"/>
        <w:ind w:firstLine="709"/>
      </w:pPr>
      <w:r>
        <w:rPr>
          <w:b w:val="0"/>
          <w:i w:val="0"/>
        </w:rPr>
        <w:t>O suporte por classe é parte obrigatória do relato. Uma classe sem exemplos no conjunto de teste recebe, por convenção, medida F1 igual a zero, o que não representa erro do modelo e sim ausência de medição. Sem o suporte ao lado, o valor é lido incorretamente.</w:t>
      </w:r>
    </w:p>
    <w:p>
      <w:pPr>
        <w:spacing w:after="120"/>
        <w:ind w:firstLine="709"/>
      </w:pPr>
      <w:r>
        <w:rPr>
          <w:b w:val="0"/>
          <w:i w:val="0"/>
        </w:rPr>
        <w:t>Duas grandezas adicionais são registradas por serem específicas desta tarefa. A primeira é a medida F1 que o mesmo modelo obteria, no mesmo conjunto de teste, com todos os limiares fixados em cinco décimos; confrontada com a medida reportada, ela torna verificável o efeito da calibração descrita na seção 7.5. A segunda é o número médio de indicadores atribuídos por notícia, apresentado ao lado do número médio presente no gabarito, acompanhado da contagem de notícias com dois ou mais indicadores e da contagem de notícias sem indicador algum. Essas contagens respondem diretamente à pergunta sobre a capacidade do modelo de atribuir indicadores simultâneos: uma média atribuída sistematicamente inferior à do gabarito indica atribuição insuficiente, e o diagnóstico recai em primeiro lugar sobre o limiar, não sobre a representação aprendida.</w:t>
      </w:r>
    </w:p>
    <w:p>
      <w:pPr>
        <w:pStyle w:val="Heading2"/>
      </w:pPr>
      <w:r>
        <w:t>9.2 Estrutura da matriz de confusão</w:t>
      </w:r>
    </w:p>
    <w:p>
      <w:pPr>
        <w:spacing w:after="120"/>
        <w:ind w:firstLine="709"/>
      </w:pPr>
      <w:r>
        <w:rPr>
          <w:b w:val="0"/>
          <w:i w:val="0"/>
        </w:rPr>
        <w:t>Em tarefa multirrótulo não existe matriz única: reporta-se uma matriz 2×2 por indicador, cada uma tratando a presença daquele indicador como problema independente. A tabela a seguir exemplifica a disposição adotada, com os quatro resultados e a sua interpretação no domínio.</w:t>
      </w:r>
    </w:p>
    <w:p>
      <w:pPr>
        <w:spacing w:after="120"/>
        <w:ind w:firstLine="709"/>
      </w:pP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928"/>
            <w:shd w:val="clear" w:color="auto" w:fill="E6EAF0"/>
          </w:tcPr>
          <w:p>
            <w:pPr>
              <w:spacing w:line="240" w:lineRule="auto" w:after="40" w:before="40"/>
              <w:jc w:val="left"/>
            </w:pPr>
            <w:r/>
            <w:r>
              <w:rPr>
                <w:b/>
                <w:sz w:val="20"/>
              </w:rPr>
            </w:r>
          </w:p>
        </w:tc>
        <w:tc>
          <w:tcPr>
            <w:tcW w:type="dxa" w:w="3572"/>
            <w:shd w:val="clear" w:color="auto" w:fill="E6EAF0"/>
          </w:tcPr>
          <w:p>
            <w:pPr>
              <w:spacing w:line="240" w:lineRule="auto" w:after="40" w:before="40"/>
              <w:jc w:val="left"/>
            </w:pPr>
            <w:r/>
            <w:r>
              <w:rPr>
                <w:b/>
                <w:sz w:val="20"/>
              </w:rPr>
              <w:t>Predito: indicador ausente</w:t>
            </w:r>
          </w:p>
        </w:tc>
        <w:tc>
          <w:tcPr>
            <w:tcW w:type="dxa" w:w="3572"/>
            <w:shd w:val="clear" w:color="auto" w:fill="E6EAF0"/>
          </w:tcPr>
          <w:p>
            <w:pPr>
              <w:spacing w:line="240" w:lineRule="auto" w:after="40" w:before="40"/>
              <w:jc w:val="left"/>
            </w:pPr>
            <w:r/>
            <w:r>
              <w:rPr>
                <w:b/>
                <w:sz w:val="20"/>
              </w:rPr>
              <w:t>Predito: indicador presente</w:t>
            </w:r>
          </w:p>
        </w:tc>
      </w:tr>
      <w:tr>
        <w:tc>
          <w:tcPr>
            <w:tcW w:type="dxa" w:w="1928"/>
          </w:tcPr>
          <w:p>
            <w:pPr>
              <w:spacing w:line="240" w:lineRule="auto" w:after="40" w:before="40"/>
              <w:jc w:val="left"/>
            </w:pPr>
            <w:r/>
            <w:r>
              <w:rPr>
                <w:b w:val="0"/>
                <w:sz w:val="20"/>
              </w:rPr>
              <w:t>Real: ausente</w:t>
            </w:r>
          </w:p>
        </w:tc>
        <w:tc>
          <w:tcPr>
            <w:tcW w:type="dxa" w:w="3572"/>
          </w:tcPr>
          <w:p>
            <w:pPr>
              <w:spacing w:line="240" w:lineRule="auto" w:after="40" w:before="40"/>
              <w:jc w:val="left"/>
            </w:pPr>
            <w:r/>
            <w:r>
              <w:rPr>
                <w:b w:val="0"/>
                <w:sz w:val="20"/>
              </w:rPr>
              <w:t>Verdadeiro negativo — o indicador corretamente não foi atribuído.</w:t>
            </w:r>
          </w:p>
        </w:tc>
        <w:tc>
          <w:tcPr>
            <w:tcW w:type="dxa" w:w="3572"/>
          </w:tcPr>
          <w:p>
            <w:pPr>
              <w:spacing w:line="240" w:lineRule="auto" w:after="40" w:before="40"/>
              <w:jc w:val="left"/>
            </w:pPr>
            <w:r/>
            <w:r>
              <w:rPr>
                <w:b w:val="0"/>
                <w:sz w:val="20"/>
              </w:rPr>
              <w:t>Falso positivo — indicador atribuído sem base; a instrução dele viaja no prompt sem necessidade, e o modelo de linguagem pode descartá-lo ao não achar sustentação no texto.</w:t>
            </w:r>
          </w:p>
        </w:tc>
      </w:tr>
      <w:tr>
        <w:tc>
          <w:tcPr>
            <w:tcW w:type="dxa" w:w="1928"/>
          </w:tcPr>
          <w:p>
            <w:pPr>
              <w:spacing w:line="240" w:lineRule="auto" w:after="40" w:before="40"/>
              <w:jc w:val="left"/>
            </w:pPr>
            <w:r/>
            <w:r>
              <w:rPr>
                <w:b w:val="0"/>
                <w:sz w:val="20"/>
              </w:rPr>
              <w:t>Real: presente</w:t>
            </w:r>
          </w:p>
        </w:tc>
        <w:tc>
          <w:tcPr>
            <w:tcW w:type="dxa" w:w="3572"/>
          </w:tcPr>
          <w:p>
            <w:pPr>
              <w:spacing w:line="240" w:lineRule="auto" w:after="40" w:before="40"/>
              <w:jc w:val="left"/>
            </w:pPr>
            <w:r/>
            <w:r>
              <w:rPr>
                <w:b w:val="0"/>
                <w:sz w:val="20"/>
              </w:rPr>
              <w:t>Falso negativo — indicador não atribuído; a instrução dele não viaja, o aprofundamento correspondente não acontece e o indicador final é subestimado.</w:t>
            </w:r>
          </w:p>
        </w:tc>
        <w:tc>
          <w:tcPr>
            <w:tcW w:type="dxa" w:w="3572"/>
          </w:tcPr>
          <w:p>
            <w:pPr>
              <w:spacing w:line="240" w:lineRule="auto" w:after="40" w:before="40"/>
              <w:jc w:val="left"/>
            </w:pPr>
            <w:r/>
            <w:r>
              <w:rPr>
                <w:b w:val="0"/>
                <w:sz w:val="20"/>
              </w:rPr>
              <w:t>Verdadeiro positivo — indicador atribuído e encaminhado ao aprofundamento.</w:t>
            </w:r>
          </w:p>
        </w:tc>
      </w:tr>
    </w:tbl>
    <w:p>
      <w:pPr>
        <w:spacing w:before="40" w:after="240" w:line="240" w:lineRule="auto"/>
        <w:jc w:val="left"/>
      </w:pPr>
      <w:r>
        <w:rPr>
          <w:color w:val="444444"/>
          <w:sz w:val="20"/>
        </w:rPr>
        <w:t>Tabela 6 — Interpretação da matriz de confusão de um indicador.</w:t>
      </w:r>
    </w:p>
    <w:p>
      <w:pPr>
        <w:spacing w:after="120"/>
        <w:ind w:firstLine="709"/>
      </w:pPr>
      <w:r>
        <w:rPr>
          <w:b w:val="0"/>
          <w:i w:val="0"/>
        </w:rPr>
        <w:t>A assimetria entre os dois tipos de erro é relevante para a escolha operacional do ponto de corte. O falso positivo é descartável: a instrução daquela classe viaja no prompt, e tanto o modelo de linguagem quanto a revisão humana podem recusá-la. O falso negativo é perda definitiva, porque a classe que não foi marcada não chega a ser avaliada por ninguém. Essa consideração orienta duas decisões do sistema: a priorização do recall na calibração do limiar, que em caso de empate escolhe o corte mais baixo, e o encaminhamento à revisão humana de toda notícia em que nenhum indicador foi marcado.</w:t>
      </w:r>
    </w:p>
    <w:p>
      <w:pPr>
        <w:pStyle w:val="Heading2"/>
      </w:pPr>
      <w:r>
        <w:t>9.3 Avaliação interativa</w:t>
      </w:r>
    </w:p>
    <w:p>
      <w:pPr>
        <w:spacing w:after="120"/>
        <w:ind w:firstLine="709"/>
      </w:pPr>
      <w:r>
        <w:rPr>
          <w:b w:val="0"/>
          <w:i w:val="0"/>
        </w:rPr>
        <w:t>Além das métricas agregadas, a aplicação disponibiliza interface de teste que recebe um texto e exibe a resposta do classificador com a distribuição de confiança sobre todas as classes, antes de qualquer intervenção do modelo de linguagem. A informação de confiança é parte do resultado: um acerto com probabilidade próxima ao limiar e outro com probabilidade alta descrevem situações distintas quanto à decisão de confiar no filtro ou encaminhar o caso à camada seguinte.</w:t>
      </w:r>
    </w:p>
    <w:p>
      <w:pPr>
        <w:spacing w:after="120"/>
        <w:ind w:firstLine="709"/>
      </w:pPr>
      <w:r>
        <w:rPr>
          <w:b w:val="0"/>
          <w:i w:val="0"/>
        </w:rPr>
        <w:t>A mesma interface permite enviar ao corpus um texto em que o modelo errou, fechando o ciclo entre avaliação e ampliação do conjunto anotado.</w:t>
      </w:r>
    </w:p>
    <w:p>
      <w:r>
        <w:br w:type="page"/>
      </w:r>
    </w:p>
    <w:p>
      <w:pPr>
        <w:pStyle w:val="Heading1"/>
      </w:pPr>
      <w:r>
        <w:t>10 Passo 7: validação por modelo de linguagem</w:t>
      </w:r>
    </w:p>
    <w:p>
      <w:pPr>
        <w:spacing w:after="120"/>
        <w:ind w:firstLine="709"/>
      </w:pPr>
      <w:r>
        <w:rPr>
          <w:b w:val="0"/>
          <w:i w:val="0"/>
        </w:rPr>
        <w:t>A camada final submete as notícias já filtradas a um modelo de linguagem de grande porte, com instruções textuais específicas por indicador. A saída do classificador é fornecida como sugestão, explicitamente sujeita a confirmação ou descarte, e não como decisão.</w:t>
      </w:r>
    </w:p>
    <w:p>
      <w:pPr>
        <w:spacing w:after="120"/>
        <w:ind w:firstLine="709"/>
      </w:pPr>
      <w:r>
        <w:rPr>
          <w:b w:val="0"/>
          <w:i w:val="0"/>
        </w:rPr>
        <w:t>A atribuição central dessa camada é a consolidação de vítimas. A cada notícia acrescentada a uma ocorrência, todas as notícias daquela ocorrência são relidas em conjunto e a lista de pessoas atingidas é reconstruída do zero. O procedimento é mais custoso do que processar apenas o texto novo, porém é o que impede a soma indevida: uma pessoa descrita em três fontes diferentes deve ser contada uma vez, e o total nunca pode ser inferior ao maior número citado em uma única fonte.</w:t>
      </w:r>
    </w:p>
    <w:p>
      <w:pPr>
        <w:spacing w:after="120"/>
        <w:ind w:firstLine="709"/>
      </w:pPr>
      <w:r>
        <w:rPr>
          <w:b w:val="0"/>
          <w:i w:val="0"/>
        </w:rPr>
        <w:t>Correções feitas pelo analista prevalecem sobre a saída automática nos reprocessamentos seguintes. Quando o modelo passa a discordar de um registro já corrigido — por exemplo, ao identificar em notícia posterior que uma pessoa ferida veio a falecer —, a divergência é apresentada como proposta sujeita a aceitação, preservando a correção humana até decisão explícita.</w:t>
      </w:r>
    </w:p>
    <w:p>
      <w:r>
        <w:br w:type="page"/>
      </w:r>
    </w:p>
    <w:p>
      <w:pPr>
        <w:pStyle w:val="Heading1"/>
      </w:pPr>
      <w:r>
        <w:t>11 Reprodutibilidade</w:t>
      </w:r>
    </w:p>
    <w:p>
      <w:pPr>
        <w:pStyle w:val="Heading2"/>
      </w:pPr>
      <w:r>
        <w:t>11.1 Execução em unidade gráfica ou em processador</w:t>
      </w:r>
    </w:p>
    <w:p>
      <w:pPr>
        <w:spacing w:after="120"/>
        <w:ind w:firstLine="709"/>
      </w:pPr>
      <w:r>
        <w:rPr>
          <w:b w:val="0"/>
          <w:i w:val="0"/>
        </w:rPr>
        <w:t>O treino executa indiferentemente em unidade de processamento gráfico ou em processador comum. A seleção é automática: a opção padrão emprega a unidade gráfica quando disponível e recai sobre o processador quando não há uma. A escolha pode ser forçada por parâmetro de linha de comando, o que permite reproduzir o trabalho em equipamento sem placa dedicada. Em processador, o tempo de treino é substancialmente maior, mas o procedimento e os resultados são os mesmos.</w:t>
      </w:r>
    </w:p>
    <w:p>
      <w:pPr>
        <w:spacing w:after="120"/>
        <w:ind w:firstLine="709"/>
      </w:pPr>
      <w:r>
        <w:rPr>
          <w:b w:val="0"/>
          <w:i w:val="0"/>
        </w:rPr>
        <w:t>A distinção entre os dois modos reside apenas na variante da biblioteca de tensores instalada. A instalação a partir do arquivo de dependências traz a variante para processador, que funciona em qualquer equipamento; a variante com suporte à unidade gráfica é instalada em comando separado, substituindo a anterior:</w:t>
      </w:r>
    </w:p>
    <w:p>
      <w:pPr>
        <w:spacing w:before="120" w:after="200" w:line="240" w:lineRule="auto"/>
        <w:ind w:left="709"/>
        <w:jc w:val="left"/>
        <w:shd w:val="clear" w:color="auto" w:fill="F2F3F5"/>
      </w:pPr>
      <w:r>
        <w:rPr>
          <w:rFonts w:ascii="Consolas" w:hAnsi="Consolas"/>
          <w:sz w:val="20"/>
        </w:rPr>
        <w:t># instalação base (variante para processador)</w:t>
      </w:r>
      <w:r>
        <w:br/>
      </w:r>
      <w:r>
        <w:rPr>
          <w:rFonts w:ascii="Consolas" w:hAnsi="Consolas"/>
          <w:sz w:val="20"/>
        </w:rPr>
        <w:t>pip install -r requirements.txt</w:t>
      </w:r>
      <w:r>
        <w:br/>
      </w:r>
      <w:r>
        <w:rPr>
          <w:rFonts w:ascii="Consolas" w:hAnsi="Consolas"/>
          <w:sz w:val="20"/>
        </w:rPr>
        <w:t>python -m spacy download pt_core_news_sm</w:t>
      </w:r>
      <w:r>
        <w:br/>
      </w:r>
      <w:r>
        <w:rPr>
          <w:rFonts w:ascii="Consolas" w:hAnsi="Consolas"/>
          <w:sz w:val="20"/>
        </w:rPr>
      </w:r>
      <w:r>
        <w:br/>
      </w:r>
      <w:r>
        <w:rPr>
          <w:rFonts w:ascii="Consolas" w:hAnsi="Consolas"/>
          <w:sz w:val="20"/>
        </w:rPr>
        <w:t># opcional: variante com suporte a unidade gráfica NVIDIA</w:t>
      </w:r>
      <w:r>
        <w:br/>
      </w:r>
      <w:r>
        <w:rPr>
          <w:rFonts w:ascii="Consolas" w:hAnsi="Consolas"/>
          <w:sz w:val="20"/>
        </w:rPr>
        <w:t>pip install torch --index-url https://download.pytorch.org/whl/cu126</w:t>
      </w:r>
      <w:r>
        <w:br/>
      </w:r>
      <w:r>
        <w:rPr>
          <w:rFonts w:ascii="Consolas" w:hAnsi="Consolas"/>
          <w:sz w:val="20"/>
        </w:rPr>
      </w:r>
      <w:r>
        <w:br/>
      </w:r>
      <w:r>
        <w:rPr>
          <w:rFonts w:ascii="Consolas" w:hAnsi="Consolas"/>
          <w:sz w:val="20"/>
        </w:rPr>
        <w:t># retorno à variante para processador</w:t>
      </w:r>
      <w:r>
        <w:br/>
      </w:r>
      <w:r>
        <w:rPr>
          <w:rFonts w:ascii="Consolas" w:hAnsi="Consolas"/>
          <w:sz w:val="20"/>
        </w:rPr>
        <w:t>pip install torch --index-url https://download.pytorch.org/whl/cpu</w:t>
      </w:r>
    </w:p>
    <w:p>
      <w:pPr>
        <w:spacing w:after="120"/>
        <w:ind w:firstLine="709"/>
      </w:pPr>
      <w:r>
        <w:rPr>
          <w:b w:val="0"/>
          <w:i w:val="0"/>
        </w:rPr>
        <w:t>O ambiente efetivamente utilizado em cada execução — versão da biblioteca, disponibilidade de unidade gráfica, modelo da placa e dispositivo selecionado — é registrado junto às métricas e exibido na aplicação, de modo que o relato de tempo de treino seja interpretável.</w:t>
      </w:r>
    </w:p>
    <w:p>
      <w:pPr>
        <w:pStyle w:val="Heading2"/>
      </w:pPr>
      <w:r>
        <w:t>11.2 Execução dos experimentos</w:t>
      </w:r>
    </w:p>
    <w:p>
      <w:pPr>
        <w:spacing w:after="120"/>
        <w:ind w:firstLine="709"/>
      </w:pPr>
      <w:r>
        <w:rPr>
          <w:b w:val="0"/>
          <w:i w:val="0"/>
        </w:rPr>
        <w:t>A comparação completa é disparada por linha de comando, com as variações abaixo:</w:t>
      </w:r>
    </w:p>
    <w:p>
      <w:pPr>
        <w:spacing w:before="120" w:after="200" w:line="240" w:lineRule="auto"/>
        <w:ind w:left="709"/>
        <w:jc w:val="left"/>
        <w:shd w:val="clear" w:color="auto" w:fill="F2F3F5"/>
      </w:pPr>
      <w:r>
        <w:rPr>
          <w:rFonts w:ascii="Consolas" w:hAnsi="Consolas"/>
          <w:sz w:val="20"/>
        </w:rPr>
        <w:t># sorteia a divisão e compara os seis modelos</w:t>
      </w:r>
      <w:r>
        <w:br/>
      </w:r>
      <w:r>
        <w:rPr>
          <w:rFonts w:ascii="Consolas" w:hAnsi="Consolas"/>
          <w:sz w:val="20"/>
        </w:rPr>
        <w:t>python rodar_treino.py --dividir</w:t>
      </w:r>
      <w:r>
        <w:br/>
      </w:r>
      <w:r>
        <w:rPr>
          <w:rFonts w:ascii="Consolas" w:hAnsi="Consolas"/>
          <w:sz w:val="20"/>
        </w:rPr>
      </w:r>
      <w:r>
        <w:br/>
      </w:r>
      <w:r>
        <w:rPr>
          <w:rFonts w:ascii="Consolas" w:hAnsi="Consolas"/>
          <w:sz w:val="20"/>
        </w:rPr>
        <w:t># compara as duas estratégias de ajuste na mesma partição de teste</w:t>
      </w:r>
      <w:r>
        <w:br/>
      </w:r>
      <w:r>
        <w:rPr>
          <w:rFonts w:ascii="Consolas" w:hAnsi="Consolas"/>
          <w:sz w:val="20"/>
        </w:rPr>
        <w:t>python rodar_treino.py --estrategia ambas --grade 1</w:t>
      </w:r>
      <w:r>
        <w:br/>
      </w:r>
      <w:r>
        <w:rPr>
          <w:rFonts w:ascii="Consolas" w:hAnsi="Consolas"/>
          <w:sz w:val="20"/>
        </w:rPr>
      </w:r>
      <w:r>
        <w:br/>
      </w:r>
      <w:r>
        <w:rPr>
          <w:rFonts w:ascii="Consolas" w:hAnsi="Consolas"/>
          <w:sz w:val="20"/>
        </w:rPr>
        <w:t># ajusta uma rede binária por indicador</w:t>
      </w:r>
      <w:r>
        <w:br/>
      </w:r>
      <w:r>
        <w:rPr>
          <w:rFonts w:ascii="Consolas" w:hAnsi="Consolas"/>
          <w:sz w:val="20"/>
        </w:rPr>
        <w:t>python rodar_treino.py --estrategia por_indicador --grade 1</w:t>
      </w:r>
      <w:r>
        <w:br/>
      </w:r>
      <w:r>
        <w:rPr>
          <w:rFonts w:ascii="Consolas" w:hAnsi="Consolas"/>
          <w:sz w:val="20"/>
        </w:rPr>
      </w:r>
      <w:r>
        <w:br/>
      </w:r>
      <w:r>
        <w:rPr>
          <w:rFonts w:ascii="Consolas" w:hAnsi="Consolas"/>
          <w:sz w:val="20"/>
        </w:rPr>
        <w:t># força execução em processador</w:t>
      </w:r>
      <w:r>
        <w:br/>
      </w:r>
      <w:r>
        <w:rPr>
          <w:rFonts w:ascii="Consolas" w:hAnsi="Consolas"/>
          <w:sz w:val="20"/>
        </w:rPr>
        <w:t>python rodar_treino.py --dispositivo cpu</w:t>
      </w:r>
      <w:r>
        <w:br/>
      </w:r>
      <w:r>
        <w:rPr>
          <w:rFonts w:ascii="Consolas" w:hAnsi="Consolas"/>
          <w:sz w:val="20"/>
        </w:rPr>
      </w:r>
      <w:r>
        <w:br/>
      </w:r>
      <w:r>
        <w:rPr>
          <w:rFonts w:ascii="Consolas" w:hAnsi="Consolas"/>
          <w:sz w:val="20"/>
        </w:rPr>
        <w:t># restringe a um modelo e a uma configuração da grade</w:t>
      </w:r>
      <w:r>
        <w:br/>
      </w:r>
      <w:r>
        <w:rPr>
          <w:rFonts w:ascii="Consolas" w:hAnsi="Consolas"/>
          <w:sz w:val="20"/>
        </w:rPr>
        <w:t>python rodar_treino.py --modelo bertimbau-base --grade 1</w:t>
      </w:r>
      <w:r>
        <w:br/>
      </w:r>
      <w:r>
        <w:rPr>
          <w:rFonts w:ascii="Consolas" w:hAnsi="Consolas"/>
          <w:sz w:val="20"/>
        </w:rPr>
      </w:r>
      <w:r>
        <w:br/>
      </w:r>
      <w:r>
        <w:rPr>
          <w:rFonts w:ascii="Consolas" w:hAnsi="Consolas"/>
          <w:sz w:val="20"/>
        </w:rPr>
        <w:t># desliga as correções de desbalanceamento, para medir o efeito delas</w:t>
      </w:r>
      <w:r>
        <w:br/>
      </w:r>
      <w:r>
        <w:rPr>
          <w:rFonts w:ascii="Consolas" w:hAnsi="Consolas"/>
          <w:sz w:val="20"/>
        </w:rPr>
        <w:t>python rodar_treino.py --sem-peso-classes --sem-calibrar-limiar --grade 1</w:t>
      </w:r>
    </w:p>
    <w:p>
      <w:pPr>
        <w:pStyle w:val="Heading2"/>
      </w:pPr>
      <w:r>
        <w:t>11.3 Registro dos resultados</w:t>
      </w:r>
    </w:p>
    <w:p>
      <w:pPr>
        <w:spacing w:after="120"/>
        <w:ind w:firstLine="709"/>
      </w:pPr>
      <w:r>
        <w:rPr>
          <w:b w:val="0"/>
          <w:i w:val="0"/>
        </w:rPr>
        <w:t>Cada execução grava uma linha em banco de dados contendo tarefa, estratégia de ajuste, modelo, hiperparâmetros, métricas completas, matriz de confusão por indicador, limiar calibrado de cada indicador, histórico por época, tamanho das três partições, número de redes ajustadas, duração e dispositivo. O registro da estratégia e do número de redes é o que permite ler a tabela como comparação entre as duas alternativas, e não como lista de execuções heterogêneas; o registro dos limiares é condição de reprodutibilidade, pois a mesma rede sob outros limiares produz outras métricas.</w:t>
      </w:r>
    </w:p>
    <w:p>
      <w:pPr>
        <w:spacing w:after="120"/>
        <w:ind w:firstLine="709"/>
      </w:pPr>
      <w:r>
        <w:rPr>
          <w:b w:val="0"/>
          <w:i w:val="0"/>
        </w:rPr>
        <w:t>Os pesos do melhor modelo são gravados em disco acompanhados de um manifesto que declara a estratégia adotada, a ordem dos indicadores, o limiar de cada um e o comprimento máximo de sequência empregado. A ordem dos indicadores é registrada porque define as posições do vetor de saída: um indicador acrescentado ao catálogo após o treino não existe nos pesos, e a leitura do catálogo corrente deslocaria todas as posições. As estratégias coexistem em disco, em diretórios distintos, e o manifesto determina qual delas responde em produção. O corpus anotado é exportável em planilha, para anexação ao trabalho e verificação independente.</w:t>
      </w:r>
    </w:p>
    <w:p>
      <w:pPr>
        <w:pStyle w:val="Heading2"/>
      </w:pPr>
      <w:r>
        <w:t>11.4 Determinismo</w:t>
      </w:r>
    </w:p>
    <w:p>
      <w:pPr>
        <w:spacing w:after="120"/>
        <w:ind w:firstLine="709"/>
      </w:pPr>
      <w:r>
        <w:rPr>
          <w:b w:val="0"/>
          <w:i w:val="0"/>
        </w:rPr>
        <w:t>A semente do sorteio da divisão é explícita e registrada. A inicialização da camada de classificação e a ordem de apresentação dos lotes permanecem sujeitas a variação entre execuções, de modo que repetições da mesma configuração produzem valores próximos, porém não idênticos. Diferenças pequenas entre modelos devem, por isso, ser interpretadas com cautela, e a repetição da execução vencedora com sementes distintas é recomendada antes de afirmar superioridade.</w:t>
      </w:r>
    </w:p>
    <w:p>
      <w:r>
        <w:br w:type="page"/>
      </w:r>
    </w:p>
    <w:p>
      <w:pPr>
        <w:pStyle w:val="Heading1"/>
      </w:pPr>
      <w:r>
        <w:t>12 Resultados</w:t>
      </w:r>
    </w:p>
    <w:p>
      <w:pPr>
        <w:spacing w:after="120"/>
        <w:ind w:firstLine="709"/>
      </w:pPr>
      <w:r>
        <w:rPr>
          <w:b w:val="0"/>
          <w:i w:val="0"/>
        </w:rPr>
        <w:t>Esta seção é preenchida com a saída das execuções conduzidas sobre o corpus anotado. A aplicação produz as tabelas abaixo automaticamente, e os valores devem ser transcritos a partir dela, acompanhados da data de execução e do tamanho do corpus naquele momento.</w:t>
      </w:r>
    </w:p>
    <w:p>
      <w:pPr>
        <w:spacing w:after="120"/>
        <w:ind w:firstLine="709"/>
      </w:pPr>
      <w:r>
        <w:rPr>
          <w:b w:val="0"/>
          <w:i w:val="0"/>
        </w:rPr>
        <w:t>Enquanto o corpus estiver em construção, a seção permanece sem números: métricas calculadas sobre poucos exemplos por classe variam de forma ampla com o acerto ou erro de um único caso e não sustentam conclusão, conforme discutido na seção 4.5.</w:t>
      </w:r>
    </w:p>
    <w:p>
      <w:pPr>
        <w:pStyle w:val="Heading2"/>
      </w:pPr>
      <w:r>
        <w:t>12.1 Caracterização do corpus</w:t>
      </w:r>
    </w:p>
    <w:p>
      <w:pPr>
        <w:spacing w:after="120"/>
        <w:ind w:firstLine="709"/>
      </w:pPr>
      <w:r>
        <w:rPr>
          <w:b w:val="0"/>
          <w:i w:val="0"/>
        </w:rPr>
        <w:t>Reportar o total de notícias anotadas, a distribuição por indicador, a contagem de notícias sem indicador algum e o tamanho das três partições. Indicadores com suporte reduzido devem ser identificados nesta subseção, pois condicionam a leitura das métricas.</w:t>
      </w:r>
    </w:p>
    <w:p>
      <w:pPr>
        <w:spacing w:after="120"/>
        <w:ind w:firstLine="709"/>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val="clear" w:color="auto" w:fill="E6EAF0"/>
          </w:tcPr>
          <w:p>
            <w:pPr>
              <w:spacing w:line="240" w:lineRule="auto" w:after="40" w:before="40"/>
              <w:jc w:val="left"/>
            </w:pPr>
            <w:r/>
            <w:r>
              <w:rPr>
                <w:b/>
                <w:sz w:val="20"/>
              </w:rPr>
              <w:t>Partição</w:t>
            </w:r>
          </w:p>
        </w:tc>
        <w:tc>
          <w:tcPr>
            <w:tcW w:type="dxa" w:w="2268"/>
            <w:shd w:val="clear" w:color="auto" w:fill="E6EAF0"/>
          </w:tcPr>
          <w:p>
            <w:pPr>
              <w:spacing w:line="240" w:lineRule="auto" w:after="40" w:before="40"/>
              <w:jc w:val="left"/>
            </w:pPr>
            <w:r/>
            <w:r>
              <w:rPr>
                <w:b/>
                <w:sz w:val="20"/>
              </w:rPr>
              <w:t>Total</w:t>
            </w:r>
          </w:p>
        </w:tc>
        <w:tc>
          <w:tcPr>
            <w:tcW w:type="dxa" w:w="2268"/>
            <w:shd w:val="clear" w:color="auto" w:fill="E6EAF0"/>
          </w:tcPr>
          <w:p>
            <w:pPr>
              <w:spacing w:line="240" w:lineRule="auto" w:after="40" w:before="40"/>
              <w:jc w:val="left"/>
            </w:pPr>
            <w:r/>
            <w:r>
              <w:rPr>
                <w:b/>
                <w:sz w:val="20"/>
              </w:rPr>
              <w:t>Com indicador</w:t>
            </w:r>
          </w:p>
        </w:tc>
        <w:tc>
          <w:tcPr>
            <w:tcW w:type="dxa" w:w="2268"/>
            <w:shd w:val="clear" w:color="auto" w:fill="E6EAF0"/>
          </w:tcPr>
          <w:p>
            <w:pPr>
              <w:spacing w:line="240" w:lineRule="auto" w:after="40" w:before="40"/>
              <w:jc w:val="left"/>
            </w:pPr>
            <w:r/>
            <w:r>
              <w:rPr>
                <w:b/>
                <w:sz w:val="20"/>
              </w:rPr>
              <w:t>Sem indicador</w:t>
            </w:r>
          </w:p>
        </w:tc>
      </w:tr>
      <w:tr>
        <w:tc>
          <w:tcPr>
            <w:tcW w:type="dxa" w:w="2268"/>
          </w:tcPr>
          <w:p>
            <w:pPr>
              <w:spacing w:line="240" w:lineRule="auto" w:after="40" w:before="40"/>
              <w:jc w:val="left"/>
            </w:pPr>
            <w:r/>
            <w:r>
              <w:rPr>
                <w:b w:val="0"/>
                <w:sz w:val="20"/>
              </w:rPr>
              <w:t>Treino</w:t>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r>
      <w:tr>
        <w:tc>
          <w:tcPr>
            <w:tcW w:type="dxa" w:w="2268"/>
          </w:tcPr>
          <w:p>
            <w:pPr>
              <w:spacing w:line="240" w:lineRule="auto" w:after="40" w:before="40"/>
              <w:jc w:val="left"/>
            </w:pPr>
            <w:r/>
            <w:r>
              <w:rPr>
                <w:b w:val="0"/>
                <w:sz w:val="20"/>
              </w:rPr>
              <w:t>Validação</w:t>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r>
      <w:tr>
        <w:tc>
          <w:tcPr>
            <w:tcW w:type="dxa" w:w="2268"/>
          </w:tcPr>
          <w:p>
            <w:pPr>
              <w:spacing w:line="240" w:lineRule="auto" w:after="40" w:before="40"/>
              <w:jc w:val="left"/>
            </w:pPr>
            <w:r/>
            <w:r>
              <w:rPr>
                <w:b w:val="0"/>
                <w:sz w:val="20"/>
              </w:rPr>
              <w:t>Teste</w:t>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r>
      <w:tr>
        <w:tc>
          <w:tcPr>
            <w:tcW w:type="dxa" w:w="2268"/>
          </w:tcPr>
          <w:p>
            <w:pPr>
              <w:spacing w:line="240" w:lineRule="auto" w:after="40" w:before="40"/>
              <w:jc w:val="left"/>
            </w:pPr>
            <w:r/>
            <w:r>
              <w:rPr>
                <w:b w:val="0"/>
                <w:sz w:val="20"/>
              </w:rPr>
              <w:t>Total</w:t>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c>
          <w:tcPr>
            <w:tcW w:type="dxa" w:w="2268"/>
          </w:tcPr>
          <w:p>
            <w:pPr>
              <w:spacing w:line="240" w:lineRule="auto" w:after="40" w:before="40"/>
              <w:jc w:val="left"/>
            </w:pPr>
            <w:r/>
            <w:r>
              <w:rPr>
                <w:b w:val="0"/>
                <w:sz w:val="20"/>
              </w:rPr>
            </w:r>
          </w:p>
        </w:tc>
      </w:tr>
    </w:tbl>
    <w:p>
      <w:pPr>
        <w:spacing w:before="40" w:after="240" w:line="240" w:lineRule="auto"/>
        <w:jc w:val="left"/>
      </w:pPr>
      <w:r>
        <w:rPr>
          <w:color w:val="444444"/>
          <w:sz w:val="20"/>
        </w:rPr>
        <w:t>Tabela 7 — Composição do corpus por partição (a preencher).</w:t>
      </w:r>
    </w:p>
    <w:p>
      <w:pPr>
        <w:pStyle w:val="Heading2"/>
      </w:pPr>
      <w:r>
        <w:t>12.2 Desempenho por modelo e configuração</w:t>
      </w:r>
    </w:p>
    <w:p>
      <w:pPr>
        <w:spacing w:after="120"/>
        <w:ind w:firstLine="709"/>
      </w:pPr>
      <w:r>
        <w:rPr>
          <w:b w:val="0"/>
          <w:i w:val="0"/>
        </w:rPr>
        <w:t>Reportar, para cada modelo e configuração, as métricas e a matriz de confusão. Destacar a configuração vencedora segundo o critério da seção 8.2 e discutir a distribuição dos dois tipos de erro à luz da assimetria apresentada na seção 9.2.</w:t>
      </w:r>
    </w:p>
    <w:p>
      <w:pPr>
        <w:spacing w:after="120"/>
        <w:ind w:firstLine="709"/>
      </w:pP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2041"/>
            <w:shd w:val="clear" w:color="auto" w:fill="E6EAF0"/>
          </w:tcPr>
          <w:p>
            <w:pPr>
              <w:spacing w:line="240" w:lineRule="auto" w:after="40" w:before="40"/>
              <w:jc w:val="left"/>
            </w:pPr>
            <w:r/>
            <w:r>
              <w:rPr>
                <w:b/>
                <w:sz w:val="20"/>
              </w:rPr>
              <w:t>Modelo</w:t>
            </w:r>
          </w:p>
        </w:tc>
        <w:tc>
          <w:tcPr>
            <w:tcW w:type="dxa" w:w="907"/>
            <w:shd w:val="clear" w:color="auto" w:fill="E6EAF0"/>
          </w:tcPr>
          <w:p>
            <w:pPr>
              <w:spacing w:line="240" w:lineRule="auto" w:after="40" w:before="40"/>
              <w:jc w:val="left"/>
            </w:pPr>
            <w:r/>
            <w:r>
              <w:rPr>
                <w:b/>
                <w:sz w:val="20"/>
              </w:rPr>
              <w:t>Taxa</w:t>
            </w:r>
          </w:p>
        </w:tc>
        <w:tc>
          <w:tcPr>
            <w:tcW w:type="dxa" w:w="680"/>
            <w:shd w:val="clear" w:color="auto" w:fill="E6EAF0"/>
          </w:tcPr>
          <w:p>
            <w:pPr>
              <w:spacing w:line="240" w:lineRule="auto" w:after="40" w:before="40"/>
              <w:jc w:val="left"/>
            </w:pPr>
            <w:r/>
            <w:r>
              <w:rPr>
                <w:b/>
                <w:sz w:val="20"/>
              </w:rPr>
              <w:t>Lote</w:t>
            </w:r>
          </w:p>
        </w:tc>
        <w:tc>
          <w:tcPr>
            <w:tcW w:type="dxa" w:w="907"/>
            <w:shd w:val="clear" w:color="auto" w:fill="E6EAF0"/>
          </w:tcPr>
          <w:p>
            <w:pPr>
              <w:spacing w:line="240" w:lineRule="auto" w:after="40" w:before="40"/>
              <w:jc w:val="left"/>
            </w:pPr>
            <w:r/>
            <w:r>
              <w:rPr>
                <w:b/>
                <w:sz w:val="20"/>
              </w:rPr>
              <w:t>Épocas</w:t>
            </w:r>
          </w:p>
        </w:tc>
        <w:tc>
          <w:tcPr>
            <w:tcW w:type="dxa" w:w="1134"/>
            <w:shd w:val="clear" w:color="auto" w:fill="E6EAF0"/>
          </w:tcPr>
          <w:p>
            <w:pPr>
              <w:spacing w:line="240" w:lineRule="auto" w:after="40" w:before="40"/>
              <w:jc w:val="left"/>
            </w:pPr>
            <w:r/>
            <w:r>
              <w:rPr>
                <w:b/>
                <w:sz w:val="20"/>
              </w:rPr>
              <w:t>Acurácia</w:t>
            </w:r>
          </w:p>
        </w:tc>
        <w:tc>
          <w:tcPr>
            <w:tcW w:type="dxa" w:w="1020"/>
            <w:shd w:val="clear" w:color="auto" w:fill="E6EAF0"/>
          </w:tcPr>
          <w:p>
            <w:pPr>
              <w:spacing w:line="240" w:lineRule="auto" w:after="40" w:before="40"/>
              <w:jc w:val="left"/>
            </w:pPr>
            <w:r/>
            <w:r>
              <w:rPr>
                <w:b/>
                <w:sz w:val="20"/>
              </w:rPr>
              <w:t>Precisão</w:t>
            </w:r>
          </w:p>
        </w:tc>
        <w:tc>
          <w:tcPr>
            <w:tcW w:type="dxa" w:w="907"/>
            <w:shd w:val="clear" w:color="auto" w:fill="E6EAF0"/>
          </w:tcPr>
          <w:p>
            <w:pPr>
              <w:spacing w:line="240" w:lineRule="auto" w:after="40" w:before="40"/>
              <w:jc w:val="left"/>
            </w:pPr>
            <w:r/>
            <w:r>
              <w:rPr>
                <w:b/>
                <w:sz w:val="20"/>
              </w:rPr>
              <w:t>Recall</w:t>
            </w:r>
          </w:p>
        </w:tc>
        <w:tc>
          <w:tcPr>
            <w:tcW w:type="dxa" w:w="1134"/>
            <w:shd w:val="clear" w:color="auto" w:fill="E6EAF0"/>
          </w:tcPr>
          <w:p>
            <w:pPr>
              <w:spacing w:line="240" w:lineRule="auto" w:after="40" w:before="40"/>
              <w:jc w:val="left"/>
            </w:pPr>
            <w:r/>
            <w:r>
              <w:rPr>
                <w:b/>
                <w:sz w:val="20"/>
              </w:rPr>
              <w:t>F1 macro</w:t>
            </w:r>
          </w:p>
        </w:tc>
      </w:tr>
      <w:tr>
        <w:tc>
          <w:tcPr>
            <w:tcW w:type="dxa" w:w="2041"/>
          </w:tcPr>
          <w:p>
            <w:pPr>
              <w:spacing w:line="240" w:lineRule="auto" w:after="40" w:before="40"/>
              <w:jc w:val="left"/>
            </w:pPr>
            <w:r/>
            <w:r>
              <w:rPr>
                <w:b w:val="0"/>
                <w:sz w:val="20"/>
              </w:rPr>
              <w:t>BERTimbau base</w:t>
            </w:r>
          </w:p>
        </w:tc>
        <w:tc>
          <w:tcPr>
            <w:tcW w:type="dxa" w:w="907"/>
          </w:tcPr>
          <w:p>
            <w:pPr>
              <w:spacing w:line="240" w:lineRule="auto" w:after="40" w:before="40"/>
              <w:jc w:val="left"/>
            </w:pPr>
            <w:r/>
            <w:r>
              <w:rPr>
                <w:b w:val="0"/>
                <w:sz w:val="20"/>
              </w:rPr>
            </w:r>
          </w:p>
        </w:tc>
        <w:tc>
          <w:tcPr>
            <w:tcW w:type="dxa" w:w="680"/>
          </w:tcPr>
          <w:p>
            <w:pPr>
              <w:spacing w:line="240" w:lineRule="auto" w:after="40" w:before="40"/>
              <w:jc w:val="left"/>
            </w:pPr>
            <w:r/>
            <w:r>
              <w:rPr>
                <w:b w:val="0"/>
                <w:sz w:val="20"/>
              </w:rPr>
            </w:r>
          </w:p>
        </w:tc>
        <w:tc>
          <w:tcPr>
            <w:tcW w:type="dxa" w:w="907"/>
          </w:tcPr>
          <w:p>
            <w:pPr>
              <w:spacing w:line="240" w:lineRule="auto" w:after="40" w:before="40"/>
              <w:jc w:val="left"/>
            </w:pPr>
            <w:r/>
            <w:r>
              <w:rPr>
                <w:b w:val="0"/>
                <w:sz w:val="20"/>
              </w:rPr>
            </w:r>
          </w:p>
        </w:tc>
        <w:tc>
          <w:tcPr>
            <w:tcW w:type="dxa" w:w="1134"/>
          </w:tcPr>
          <w:p>
            <w:pPr>
              <w:spacing w:line="240" w:lineRule="auto" w:after="40" w:before="40"/>
              <w:jc w:val="left"/>
            </w:pPr>
            <w:r/>
            <w:r>
              <w:rPr>
                <w:b w:val="0"/>
                <w:sz w:val="20"/>
              </w:rPr>
            </w:r>
          </w:p>
        </w:tc>
        <w:tc>
          <w:tcPr>
            <w:tcW w:type="dxa" w:w="1020"/>
          </w:tcPr>
          <w:p>
            <w:pPr>
              <w:spacing w:line="240" w:lineRule="auto" w:after="40" w:before="40"/>
              <w:jc w:val="left"/>
            </w:pPr>
            <w:r/>
            <w:r>
              <w:rPr>
                <w:b w:val="0"/>
                <w:sz w:val="20"/>
              </w:rPr>
            </w:r>
          </w:p>
        </w:tc>
        <w:tc>
          <w:tcPr>
            <w:tcW w:type="dxa" w:w="907"/>
          </w:tcPr>
          <w:p>
            <w:pPr>
              <w:spacing w:line="240" w:lineRule="auto" w:after="40" w:before="40"/>
              <w:jc w:val="left"/>
            </w:pPr>
            <w:r/>
            <w:r>
              <w:rPr>
                <w:b w:val="0"/>
                <w:sz w:val="20"/>
              </w:rPr>
            </w:r>
          </w:p>
        </w:tc>
        <w:tc>
          <w:tcPr>
            <w:tcW w:type="dxa" w:w="1134"/>
          </w:tcPr>
          <w:p>
            <w:pPr>
              <w:spacing w:line="240" w:lineRule="auto" w:after="40" w:before="40"/>
              <w:jc w:val="left"/>
            </w:pPr>
            <w:r/>
            <w:r>
              <w:rPr>
                <w:b w:val="0"/>
                <w:sz w:val="20"/>
              </w:rPr>
            </w:r>
          </w:p>
        </w:tc>
      </w:tr>
      <w:tr>
        <w:tc>
          <w:tcPr>
            <w:tcW w:type="dxa" w:w="2041"/>
          </w:tcPr>
          <w:p>
            <w:pPr>
              <w:spacing w:line="240" w:lineRule="auto" w:after="40" w:before="40"/>
              <w:jc w:val="left"/>
            </w:pPr>
            <w:r/>
            <w:r>
              <w:rPr>
                <w:b w:val="0"/>
                <w:sz w:val="20"/>
              </w:rPr>
              <w:t>BERTimbau large</w:t>
            </w:r>
          </w:p>
        </w:tc>
        <w:tc>
          <w:tcPr>
            <w:tcW w:type="dxa" w:w="907"/>
          </w:tcPr>
          <w:p>
            <w:pPr>
              <w:spacing w:line="240" w:lineRule="auto" w:after="40" w:before="40"/>
              <w:jc w:val="left"/>
            </w:pPr>
            <w:r/>
            <w:r>
              <w:rPr>
                <w:b w:val="0"/>
                <w:sz w:val="20"/>
              </w:rPr>
            </w:r>
          </w:p>
        </w:tc>
        <w:tc>
          <w:tcPr>
            <w:tcW w:type="dxa" w:w="680"/>
          </w:tcPr>
          <w:p>
            <w:pPr>
              <w:spacing w:line="240" w:lineRule="auto" w:after="40" w:before="40"/>
              <w:jc w:val="left"/>
            </w:pPr>
            <w:r/>
            <w:r>
              <w:rPr>
                <w:b w:val="0"/>
                <w:sz w:val="20"/>
              </w:rPr>
            </w:r>
          </w:p>
        </w:tc>
        <w:tc>
          <w:tcPr>
            <w:tcW w:type="dxa" w:w="907"/>
          </w:tcPr>
          <w:p>
            <w:pPr>
              <w:spacing w:line="240" w:lineRule="auto" w:after="40" w:before="40"/>
              <w:jc w:val="left"/>
            </w:pPr>
            <w:r/>
            <w:r>
              <w:rPr>
                <w:b w:val="0"/>
                <w:sz w:val="20"/>
              </w:rPr>
            </w:r>
          </w:p>
        </w:tc>
        <w:tc>
          <w:tcPr>
            <w:tcW w:type="dxa" w:w="1134"/>
          </w:tcPr>
          <w:p>
            <w:pPr>
              <w:spacing w:line="240" w:lineRule="auto" w:after="40" w:before="40"/>
              <w:jc w:val="left"/>
            </w:pPr>
            <w:r/>
            <w:r>
              <w:rPr>
                <w:b w:val="0"/>
                <w:sz w:val="20"/>
              </w:rPr>
            </w:r>
          </w:p>
        </w:tc>
        <w:tc>
          <w:tcPr>
            <w:tcW w:type="dxa" w:w="1020"/>
          </w:tcPr>
          <w:p>
            <w:pPr>
              <w:spacing w:line="240" w:lineRule="auto" w:after="40" w:before="40"/>
              <w:jc w:val="left"/>
            </w:pPr>
            <w:r/>
            <w:r>
              <w:rPr>
                <w:b w:val="0"/>
                <w:sz w:val="20"/>
              </w:rPr>
            </w:r>
          </w:p>
        </w:tc>
        <w:tc>
          <w:tcPr>
            <w:tcW w:type="dxa" w:w="907"/>
          </w:tcPr>
          <w:p>
            <w:pPr>
              <w:spacing w:line="240" w:lineRule="auto" w:after="40" w:before="40"/>
              <w:jc w:val="left"/>
            </w:pPr>
            <w:r/>
            <w:r>
              <w:rPr>
                <w:b w:val="0"/>
                <w:sz w:val="20"/>
              </w:rPr>
            </w:r>
          </w:p>
        </w:tc>
        <w:tc>
          <w:tcPr>
            <w:tcW w:type="dxa" w:w="1134"/>
          </w:tcPr>
          <w:p>
            <w:pPr>
              <w:spacing w:line="240" w:lineRule="auto" w:after="40" w:before="40"/>
              <w:jc w:val="left"/>
            </w:pPr>
            <w:r/>
            <w:r>
              <w:rPr>
                <w:b w:val="0"/>
                <w:sz w:val="20"/>
              </w:rPr>
            </w:r>
          </w:p>
        </w:tc>
      </w:tr>
      <w:tr>
        <w:tc>
          <w:tcPr>
            <w:tcW w:type="dxa" w:w="2041"/>
          </w:tcPr>
          <w:p>
            <w:pPr>
              <w:spacing w:line="240" w:lineRule="auto" w:after="40" w:before="40"/>
              <w:jc w:val="left"/>
            </w:pPr>
            <w:r/>
            <w:r>
              <w:rPr>
                <w:b w:val="0"/>
                <w:sz w:val="20"/>
              </w:rPr>
              <w:t>Albertina PT-BR 100M</w:t>
            </w:r>
          </w:p>
        </w:tc>
        <w:tc>
          <w:tcPr>
            <w:tcW w:type="dxa" w:w="907"/>
          </w:tcPr>
          <w:p>
            <w:pPr>
              <w:spacing w:line="240" w:lineRule="auto" w:after="40" w:before="40"/>
              <w:jc w:val="left"/>
            </w:pPr>
            <w:r/>
            <w:r>
              <w:rPr>
                <w:b w:val="0"/>
                <w:sz w:val="20"/>
              </w:rPr>
            </w:r>
          </w:p>
        </w:tc>
        <w:tc>
          <w:tcPr>
            <w:tcW w:type="dxa" w:w="680"/>
          </w:tcPr>
          <w:p>
            <w:pPr>
              <w:spacing w:line="240" w:lineRule="auto" w:after="40" w:before="40"/>
              <w:jc w:val="left"/>
            </w:pPr>
            <w:r/>
            <w:r>
              <w:rPr>
                <w:b w:val="0"/>
                <w:sz w:val="20"/>
              </w:rPr>
            </w:r>
          </w:p>
        </w:tc>
        <w:tc>
          <w:tcPr>
            <w:tcW w:type="dxa" w:w="907"/>
          </w:tcPr>
          <w:p>
            <w:pPr>
              <w:spacing w:line="240" w:lineRule="auto" w:after="40" w:before="40"/>
              <w:jc w:val="left"/>
            </w:pPr>
            <w:r/>
            <w:r>
              <w:rPr>
                <w:b w:val="0"/>
                <w:sz w:val="20"/>
              </w:rPr>
            </w:r>
          </w:p>
        </w:tc>
        <w:tc>
          <w:tcPr>
            <w:tcW w:type="dxa" w:w="1134"/>
          </w:tcPr>
          <w:p>
            <w:pPr>
              <w:spacing w:line="240" w:lineRule="auto" w:after="40" w:before="40"/>
              <w:jc w:val="left"/>
            </w:pPr>
            <w:r/>
            <w:r>
              <w:rPr>
                <w:b w:val="0"/>
                <w:sz w:val="20"/>
              </w:rPr>
            </w:r>
          </w:p>
        </w:tc>
        <w:tc>
          <w:tcPr>
            <w:tcW w:type="dxa" w:w="1020"/>
          </w:tcPr>
          <w:p>
            <w:pPr>
              <w:spacing w:line="240" w:lineRule="auto" w:after="40" w:before="40"/>
              <w:jc w:val="left"/>
            </w:pPr>
            <w:r/>
            <w:r>
              <w:rPr>
                <w:b w:val="0"/>
                <w:sz w:val="20"/>
              </w:rPr>
            </w:r>
          </w:p>
        </w:tc>
        <w:tc>
          <w:tcPr>
            <w:tcW w:type="dxa" w:w="907"/>
          </w:tcPr>
          <w:p>
            <w:pPr>
              <w:spacing w:line="240" w:lineRule="auto" w:after="40" w:before="40"/>
              <w:jc w:val="left"/>
            </w:pPr>
            <w:r/>
            <w:r>
              <w:rPr>
                <w:b w:val="0"/>
                <w:sz w:val="20"/>
              </w:rPr>
            </w:r>
          </w:p>
        </w:tc>
        <w:tc>
          <w:tcPr>
            <w:tcW w:type="dxa" w:w="1134"/>
          </w:tcPr>
          <w:p>
            <w:pPr>
              <w:spacing w:line="240" w:lineRule="auto" w:after="40" w:before="40"/>
              <w:jc w:val="left"/>
            </w:pPr>
            <w:r/>
            <w:r>
              <w:rPr>
                <w:b w:val="0"/>
                <w:sz w:val="20"/>
              </w:rPr>
            </w:r>
          </w:p>
        </w:tc>
      </w:tr>
    </w:tbl>
    <w:p>
      <w:pPr>
        <w:spacing w:before="40" w:after="240" w:line="240" w:lineRule="auto"/>
        <w:jc w:val="left"/>
      </w:pPr>
      <w:r>
        <w:rPr>
          <w:color w:val="444444"/>
          <w:sz w:val="20"/>
        </w:rPr>
        <w:t>Tabela 8 — Desempenho, melhor configuração por modelo (a preencher).</w:t>
      </w:r>
    </w:p>
    <w:p>
      <w:pPr>
        <w:pStyle w:val="Heading2"/>
      </w:pPr>
      <w:r>
        <w:t>12.3 Desempenho por indicador</w:t>
      </w:r>
    </w:p>
    <w:p>
      <w:pPr>
        <w:spacing w:after="120"/>
        <w:ind w:firstLine="709"/>
      </w:pPr>
      <w:r>
        <w:rPr>
          <w:b w:val="0"/>
          <w:i w:val="0"/>
        </w:rPr>
        <w:t>Reportar as médias macro e micro, as métricas por indicador e a matriz 2×2 de cada um, conforme a seção 2.6. A análise deve privilegiar os indicadores com maior taxa de falso negativo e verificar se correspondem a fronteiras reconhecidamente difíceis do manual de curadoria — hipótese que, se confirmada, indica revisão de critério de anotação em vez de limitação do modelo. O suporte de cada indicador no conjunto de teste deve ser reportado ao lado da sua métrica, sem o que a leitura de um F1 isolado é enganosa.</w:t>
      </w:r>
    </w:p>
    <w:p>
      <w:pPr>
        <w:pStyle w:val="Heading2"/>
      </w:pPr>
      <w:r>
        <w:t>12.4 Comparação entre as estratégias de ajuste</w:t>
      </w:r>
    </w:p>
    <w:p>
      <w:pPr>
        <w:spacing w:after="120"/>
        <w:ind w:firstLine="709"/>
      </w:pPr>
      <w:r>
        <w:rPr>
          <w:b w:val="0"/>
          <w:i w:val="0"/>
        </w:rPr>
        <w:t>Reportar, para a mesma partição de teste, as médias macro das 3 estratégias descritas na seção 7.3, acompanhadas do número de redes ajustadas e do tempo total de treino, de modo que o eventual ganho seja confrontado com o seu custo. Reportar também as métricas por indicador em cada estratégia, pois o ganho esperado da independência entre redes concentra-se nos indicadores menos frequentes e pode não aparecer na média.</w:t>
      </w:r>
    </w:p>
    <w:p>
      <w:pPr>
        <w:spacing w:after="120"/>
        <w:ind w:firstLine="709"/>
      </w:pPr>
      <w:r>
        <w:rPr>
          <w:b w:val="0"/>
          <w:i w:val="0"/>
        </w:rPr>
        <w:t>Para a estratégia de comitê, reportar adicionalmente a distribuição da concordância, a fração de decisões encaminhadas à revisão humana e o desempenho que se obteria exigindo unanimidade. Sem esses três números, a comparação com as demais estratégias é desigual: o comitê troca cobertura automática por precisão, e o que ele deixa de decidir não aparece na métrica de quem decide tudo.</w:t>
      </w:r>
    </w:p>
    <w:p>
      <w:pPr>
        <w:pStyle w:val="Heading2"/>
      </w:pPr>
      <w:r>
        <w:t>12.5 Efeito das correções de desbalanceamento</w:t>
      </w:r>
    </w:p>
    <w:p>
      <w:pPr>
        <w:spacing w:after="120"/>
        <w:ind w:firstLine="709"/>
      </w:pPr>
      <w:r>
        <w:rPr>
          <w:b w:val="0"/>
          <w:i w:val="0"/>
        </w:rPr>
        <w:t>Reportar as médias macro em quatro condições — com e sem ponderação da perda, com e sem calibração do limiar por indicador — e, em cada uma, o número médio de indicadores atribuídos por notícia ao lado do número médio do gabarito. A comparação isola o quanto da atribuição insuficiente de indicadores se deve à função de perda e o quanto se deve ao limiar de decisão, questão distinta da capacidade de representação do modelo.</w:t>
      </w:r>
    </w:p>
    <w:p>
      <w:pPr>
        <w:pStyle w:val="Heading2"/>
      </w:pPr>
      <w:r>
        <w:t>12.6 Contribuição da camada de modelo de linguagem</w:t>
      </w:r>
    </w:p>
    <w:p>
      <w:pPr>
        <w:spacing w:after="120"/>
        <w:ind w:firstLine="709"/>
      </w:pPr>
      <w:r>
        <w:rPr>
          <w:b w:val="0"/>
          <w:i w:val="0"/>
        </w:rPr>
        <w:t>Comparar a saída do classificador com a decisão final após a validação, quantificando em que proporção dos casos a camada confirma, corrige ou reverte a classificação. A comparação é viabilizada pela interface descrita na seção 9.3 e responde se a camada custosa agrega decisão própria ou apenas reproduz o estágio anterior.</w:t>
      </w:r>
    </w:p>
    <w:p>
      <w:r>
        <w:br w:type="page"/>
      </w:r>
    </w:p>
    <w:p>
      <w:pPr>
        <w:pStyle w:val="Heading1"/>
      </w:pPr>
      <w:r>
        <w:t>13 Limitações e ameaças à validade</w:t>
      </w:r>
    </w:p>
    <w:p>
      <w:pPr>
        <w:pStyle w:val="Heading2"/>
      </w:pPr>
      <w:r>
        <w:t>13.1 Validade interna</w:t>
      </w:r>
    </w:p>
    <w:p>
      <w:pPr>
        <w:spacing w:after="120"/>
        <w:ind w:firstLine="709"/>
      </w:pPr>
      <w:r>
        <w:rPr>
          <w:b w:val="0"/>
          <w:i w:val="0"/>
        </w:rPr>
        <w:t>A anotação foi conduzida por um único anotador, o que impede o cálculo de concordância entre anotadores e deixa sem estimativa a parcela de erro atribuível à subjetividade do rótulo. A anotação dupla de uma amostra do corpus, com cálculo de coeficiente de concordância, é a mitigação indicada.</w:t>
      </w:r>
    </w:p>
    <w:p>
      <w:pPr>
        <w:spacing w:after="120"/>
        <w:ind w:firstLine="709"/>
      </w:pPr>
      <w:r>
        <w:rPr>
          <w:b w:val="0"/>
          <w:i w:val="0"/>
        </w:rPr>
        <w:t>A busca de hiperparâmetros percorre grade reduzida, selecionada por conhecimento prévio da literatura, e não uma exploração ampla do espaço. O desempenho reportado é, portanto, um limite inferior do alcançável.</w:t>
      </w:r>
    </w:p>
    <w:p>
      <w:pPr>
        <w:pStyle w:val="Heading2"/>
      </w:pPr>
      <w:r>
        <w:t>13.2 Validade externa</w:t>
      </w:r>
    </w:p>
    <w:p>
      <w:pPr>
        <w:spacing w:after="120"/>
        <w:ind w:firstLine="709"/>
      </w:pPr>
      <w:r>
        <w:rPr>
          <w:b w:val="0"/>
          <w:i w:val="0"/>
        </w:rPr>
        <w:t>O corpus reflete os veículos de imprensa e as regiões efetivamente cobertas durante a sua construção. Modelos treinados sobre ele podem degradar diante de vocabulário regional distinto ou de convenções de redação de outros veículos. A avaliação em conjunto proveniente de fontes não representadas no treino é o teste adequado para essa limitação.</w:t>
      </w:r>
    </w:p>
    <w:p>
      <w:pPr>
        <w:pStyle w:val="Heading2"/>
      </w:pPr>
      <w:r>
        <w:t>13.3 Viés de cobertura</w:t>
      </w:r>
    </w:p>
    <w:p>
      <w:pPr>
        <w:spacing w:after="120"/>
        <w:ind w:firstLine="709"/>
      </w:pPr>
      <w:r>
        <w:rPr>
          <w:b w:val="0"/>
          <w:i w:val="0"/>
        </w:rPr>
        <w:t>Indicadores construídos a partir de notícias herdam o viés de noticiabilidade da imprensa. Episódios em determinadas localidades ou envolvendo determinados perfis de vítima são noticiados com frequência desigual, e nenhum aprimoramento de classificador corrige essa distorção de origem. O sistema mede violência armada noticiada, e os resultados devem ser enunciados nesses termos.</w:t>
      </w:r>
    </w:p>
    <w:p>
      <w:pPr>
        <w:pStyle w:val="Heading2"/>
      </w:pPr>
      <w:r>
        <w:t>13.4 Dependência de serviço externo</w:t>
      </w:r>
    </w:p>
    <w:p>
      <w:pPr>
        <w:spacing w:after="120"/>
        <w:ind w:firstLine="709"/>
      </w:pPr>
      <w:r>
        <w:rPr>
          <w:b w:val="0"/>
          <w:i w:val="0"/>
        </w:rPr>
        <w:t>A camada de validação depende de serviço de terceiros, cujo modelo pode ser atualizado ou descontinuado. Como a saída do classificador é registrada separadamente da decisão final, é possível reavaliar o efeito de uma troca de modelo sem reprocessar o corpus, o que delimita o impacto dessa dependência.</w:t>
      </w:r>
    </w:p>
    <w:p>
      <w:r>
        <w:br w:type="page"/>
      </w:r>
    </w:p>
    <w:p>
      <w:pPr>
        <w:pStyle w:val="Heading1"/>
      </w:pPr>
      <w:r>
        <w:t>14 Considerações finais</w:t>
      </w:r>
    </w:p>
    <w:p>
      <w:pPr>
        <w:spacing w:after="120"/>
        <w:ind w:firstLine="709"/>
      </w:pPr>
      <w:r>
        <w:rPr>
          <w:b w:val="0"/>
          <w:i w:val="0"/>
        </w:rPr>
        <w:t>A documentação apresentou o método completo de um sistema de classificação de notícias de violência armada em dois estágios, com validação posterior por modelo de linguagem. As decisões de projeto foram justificadas pelos seus efeitos verificáveis: a separação entre escopo e categoria pela interpretabilidade das matrizes de confusão e pela redução de custo; a fixação da divisão amostral pela comparabilidade entre modelos; a seleção de hiperparâmetros no conjunto de validação pela validade da estimativa de desempenho; e o registro da fonte de cada exemplo pela auditabilidade do resultado.</w:t>
      </w:r>
    </w:p>
    <w:p>
      <w:pPr>
        <w:spacing w:after="120"/>
        <w:ind w:firstLine="709"/>
      </w:pPr>
      <w:r>
        <w:rPr>
          <w:b w:val="0"/>
          <w:i w:val="0"/>
        </w:rPr>
        <w:t>A contribuição metodológica central não está em um modelo específico, e sim no protocolo que permite afirmar algo sobre ele. O trabalho descreve um caminho verificável: um corpus cuja procedência é rastreável, uma divisão amostral estável, uma comparação ampla de arquiteturas sob busca de hiperparâmetros, métricas que não escondem classes raras e uma interface que expõe a decisão de cada camada isoladamente.</w:t>
      </w:r>
    </w:p>
    <w:p>
      <w:pPr>
        <w:spacing w:after="120"/>
        <w:ind w:firstLine="709"/>
      </w:pPr>
      <w:r>
        <w:rPr>
          <w:b w:val="0"/>
          <w:i w:val="0"/>
        </w:rPr>
        <w:t>Como continuidade, destacam-se a anotação dupla com medida de concordância, a ampliação do corpus nos indicadores de menor suporte, a avaliação em fontes não representadas no treino, a investigação de técnicas de balanceamento para os indicadores raros e a construção de um conjunto de referência para a etapa de extração — que hoje não tem métrica própria, por não haver gabarito dos campos que o modelo de linguagem preenche.</w:t>
      </w:r>
    </w:p>
    <w:p>
      <w:r>
        <w:br w:type="page"/>
      </w:r>
    </w:p>
    <w:p>
      <w:pPr>
        <w:pStyle w:val="Heading1"/>
      </w:pPr>
      <w:r>
        <w:t>Referências</w:t>
      </w:r>
    </w:p>
    <w:p>
      <w:pPr>
        <w:spacing w:line="240" w:lineRule="auto" w:after="200"/>
        <w:jc w:val="left"/>
      </w:pPr>
      <w:r>
        <w:t>DEVLIN, J. et al. BERT: pre-training of deep bidirectional transformers for language understanding. In: Proceedings of NAACL-HLT, 2019.</w:t>
      </w:r>
    </w:p>
    <w:p>
      <w:pPr>
        <w:spacing w:line="240" w:lineRule="auto" w:after="200"/>
        <w:jc w:val="left"/>
      </w:pPr>
      <w:r>
        <w:t>SOUZA, F.; NOGUEIRA, R.; LOTUFO, R. BERTimbau: pretrained BERT models for Brazilian Portuguese. In: Brazilian Conference on Intelligent Systems (BRACIS), 2020.</w:t>
      </w:r>
    </w:p>
    <w:p>
      <w:pPr>
        <w:spacing w:line="240" w:lineRule="auto" w:after="200"/>
        <w:jc w:val="left"/>
      </w:pPr>
      <w:r>
        <w:t>CONNEAU, A. et al. Unsupervised cross-lingual representation learning at scale. In: Proceedings of ACL, 2020.</w:t>
      </w:r>
    </w:p>
    <w:p>
      <w:pPr>
        <w:spacing w:line="240" w:lineRule="auto" w:after="200"/>
        <w:jc w:val="left"/>
      </w:pPr>
      <w:r>
        <w:t>SANH, V. et al. DistilBERT, a distilled version of BERT: smaller, faster, cheaper and lighter. arXiv:1910.01108, 2019.</w:t>
      </w:r>
    </w:p>
    <w:p>
      <w:pPr>
        <w:spacing w:line="240" w:lineRule="auto" w:after="200"/>
        <w:jc w:val="left"/>
      </w:pPr>
      <w:r>
        <w:t>RODRIGUES, J. et al. Advancing neural encoding of Portuguese with transformer Albertina PT-*. arXiv:2305.06721, 2023.</w:t>
      </w:r>
    </w:p>
    <w:p>
      <w:pPr>
        <w:spacing w:line="240" w:lineRule="auto" w:after="200"/>
        <w:jc w:val="left"/>
      </w:pPr>
      <w:r>
        <w:t>VASWANI, A. et al. Attention is all you need. In: Advances in Neural Information Processing Systems, 2017.</w:t>
      </w:r>
    </w:p>
    <w:p>
      <w:pPr>
        <w:spacing w:line="240" w:lineRule="auto" w:after="200"/>
        <w:jc w:val="left"/>
      </w:pPr>
      <w:r>
        <w:t>SOKOLOVA, M.; LAPALME, G. A systematic analysis of performance measures for classification tasks. Information Processing &amp; Management, v. 45, n. 4, 2009.</w:t>
      </w:r>
    </w:p>
    <w:p>
      <w:pPr>
        <w:spacing w:line="240" w:lineRule="auto" w:after="200"/>
        <w:jc w:val="left"/>
      </w:pPr>
      <w:r>
        <w:t>TSOUMAKAS, G.; KATAKIS, I. Multi-label classification: an overview. International Journal of Data Warehousing and Mining, v. 3, n. 3, 2007.</w:t>
      </w:r>
    </w:p>
    <w:p>
      <w:pPr>
        <w:spacing w:line="240" w:lineRule="auto" w:after="200"/>
        <w:jc w:val="left"/>
      </w:pPr>
      <w:r>
        <w:t>SECHIDIS, K.; TSOUMAKAS, G.; VLAHAVAS, I. On the stratification of multi-label data. In: Machine Learning and Knowledge Discovery in Databases (ECML PKDD), 2011.</w:t>
      </w:r>
    </w:p>
    <w:p>
      <w:pPr>
        <w:spacing w:line="240" w:lineRule="auto" w:after="200"/>
        <w:jc w:val="left"/>
      </w:pPr>
      <w:r>
        <w:t>LIPTON, Z. C.; ELKAN, C.; NARAYANASWAMY, B. Optimal thresholding of classifiers to maximize F1 measure. In: Machine Learning and Knowledge Discovery in Databases (ECML PKDD), 2014.</w:t>
      </w:r>
    </w:p>
    <w:p>
      <w:pPr>
        <w:spacing w:line="240" w:lineRule="auto" w:after="200"/>
        <w:jc w:val="left"/>
      </w:pPr>
      <w:r>
        <w:t>BRASIL. Lei nº 8.069, de 13 de julho de 1990. Estatuto da Criança e do Adolescente.</w:t>
      </w:r>
    </w:p>
    <w:p>
      <w:r>
        <w:br w:type="page"/>
      </w:r>
    </w:p>
    <w:p>
      <w:pPr>
        <w:pStyle w:val="Heading1"/>
      </w:pPr>
      <w:r>
        <w:t>Apêndice A — Classes do classificador</w:t>
      </w:r>
    </w:p>
    <w:p>
      <w:pPr>
        <w:spacing w:after="120"/>
        <w:ind w:firstLine="709"/>
      </w:pPr>
      <w:r>
        <w:rPr>
          <w:b w:val="0"/>
          <w:i w:val="0"/>
        </w:rPr>
        <w:t>Reprodução das definições utilizadas na anotação e no prompt do modelo de linguagem, para os indicadores que o classificador aprende do texto. A coluna de origem registra se a circunstância correspondente depende de o indicador ter sido marcado.</w:t>
      </w:r>
    </w:p>
    <w:p>
      <w:pPr>
        <w:spacing w:after="120"/>
        <w:ind w:firstLine="709"/>
      </w:pP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shd w:val="clear" w:color="auto" w:fill="E6EAF0"/>
          </w:tcPr>
          <w:p>
            <w:pPr>
              <w:spacing w:line="240" w:lineRule="auto" w:after="40" w:before="40"/>
              <w:jc w:val="left"/>
            </w:pPr>
            <w:r/>
            <w:r>
              <w:rPr>
                <w:b/>
                <w:sz w:val="20"/>
              </w:rPr>
              <w:t>Indicador</w:t>
            </w:r>
          </w:p>
        </w:tc>
        <w:tc>
          <w:tcPr>
            <w:tcW w:type="dxa" w:w="4252"/>
            <w:shd w:val="clear" w:color="auto" w:fill="E6EAF0"/>
          </w:tcPr>
          <w:p>
            <w:pPr>
              <w:spacing w:line="240" w:lineRule="auto" w:after="40" w:before="40"/>
              <w:jc w:val="left"/>
            </w:pPr>
            <w:r/>
            <w:r>
              <w:rPr>
                <w:b/>
                <w:sz w:val="20"/>
              </w:rPr>
              <w:t>Definição</w:t>
            </w:r>
          </w:p>
        </w:tc>
        <w:tc>
          <w:tcPr>
            <w:tcW w:type="dxa" w:w="3118"/>
            <w:shd w:val="clear" w:color="auto" w:fill="E6EAF0"/>
          </w:tcPr>
          <w:p>
            <w:pPr>
              <w:spacing w:line="240" w:lineRule="auto" w:after="40" w:before="40"/>
              <w:jc w:val="left"/>
            </w:pPr>
            <w:r/>
            <w:r>
              <w:rPr>
                <w:b/>
                <w:sz w:val="20"/>
              </w:rPr>
              <w:t>Circunstâncias que destrava</w:t>
            </w:r>
          </w:p>
        </w:tc>
      </w:tr>
      <w:tr>
        <w:tc>
          <w:tcPr>
            <w:tcW w:type="dxa" w:w="1701"/>
          </w:tcPr>
          <w:p>
            <w:pPr>
              <w:spacing w:line="240" w:lineRule="auto" w:after="40" w:before="40"/>
              <w:jc w:val="left"/>
            </w:pPr>
            <w:r/>
            <w:r>
              <w:rPr>
                <w:b w:val="0"/>
                <w:sz w:val="20"/>
              </w:rPr>
              <w:t>crianca_adolescente_baleado</w:t>
            </w:r>
          </w:p>
        </w:tc>
        <w:tc>
          <w:tcPr>
            <w:tcW w:type="dxa" w:w="4252"/>
          </w:tcPr>
          <w:p>
            <w:pPr>
              <w:spacing w:line="240" w:lineRule="auto" w:after="40" w:before="40"/>
              <w:jc w:val="left"/>
            </w:pPr>
            <w:r/>
            <w:r>
              <w:rPr>
                <w:b w:val="0"/>
                <w:sz w:val="20"/>
              </w:rPr>
              <w:t>Pessoa com menos de 18 anos atingida por disparo de arma de fogo, conforme o ECA (Lei 8.069/1990).</w:t>
            </w:r>
          </w:p>
        </w:tc>
        <w:tc>
          <w:tcPr>
            <w:tcW w:type="dxa" w:w="3118"/>
          </w:tcPr>
          <w:p>
            <w:pPr>
              <w:spacing w:line="240" w:lineRule="auto" w:after="40" w:before="40"/>
              <w:jc w:val="left"/>
            </w:pPr>
            <w:r/>
            <w:r>
              <w:rPr>
                <w:b w:val="0"/>
                <w:sz w:val="20"/>
              </w:rPr>
              <w:t>trajeto_escolar, bala_perdida</w:t>
            </w:r>
          </w:p>
        </w:tc>
      </w:tr>
      <w:tr>
        <w:tc>
          <w:tcPr>
            <w:tcW w:type="dxa" w:w="1701"/>
          </w:tcPr>
          <w:p>
            <w:pPr>
              <w:spacing w:line="240" w:lineRule="auto" w:after="40" w:before="40"/>
              <w:jc w:val="left"/>
            </w:pPr>
            <w:r/>
            <w:r>
              <w:rPr>
                <w:b w:val="0"/>
                <w:sz w:val="20"/>
              </w:rPr>
              <w:t>mulheres_baleadas</w:t>
            </w:r>
          </w:p>
        </w:tc>
        <w:tc>
          <w:tcPr>
            <w:tcW w:type="dxa" w:w="4252"/>
          </w:tcPr>
          <w:p>
            <w:pPr>
              <w:spacing w:line="240" w:lineRule="auto" w:after="40" w:before="40"/>
              <w:jc w:val="left"/>
            </w:pPr>
            <w:r/>
            <w:r>
              <w:rPr>
                <w:b w:val="0"/>
                <w:sz w:val="20"/>
              </w:rPr>
              <w:t>Pessoa do gênero feminino atingida por disparo de arma de fogo, qualquer que seja a motivação.</w:t>
            </w:r>
          </w:p>
        </w:tc>
        <w:tc>
          <w:tcPr>
            <w:tcW w:type="dxa" w:w="3118"/>
          </w:tcPr>
          <w:p>
            <w:pPr>
              <w:spacing w:line="240" w:lineRule="auto" w:after="40" w:before="40"/>
              <w:jc w:val="left"/>
            </w:pPr>
            <w:r/>
            <w:r>
              <w:rPr>
                <w:b w:val="0"/>
                <w:sz w:val="20"/>
              </w:rPr>
              <w:t>feminicidio_tentativa, bala_perdida, agente_seguranca_agressor</w:t>
            </w:r>
          </w:p>
        </w:tc>
      </w:tr>
      <w:tr>
        <w:tc>
          <w:tcPr>
            <w:tcW w:type="dxa" w:w="1701"/>
          </w:tcPr>
          <w:p>
            <w:pPr>
              <w:spacing w:line="240" w:lineRule="auto" w:after="40" w:before="40"/>
              <w:jc w:val="left"/>
            </w:pPr>
            <w:r/>
            <w:r>
              <w:rPr>
                <w:b w:val="0"/>
                <w:sz w:val="20"/>
              </w:rPr>
              <w:t>acao_policial</w:t>
            </w:r>
          </w:p>
        </w:tc>
        <w:tc>
          <w:tcPr>
            <w:tcW w:type="dxa" w:w="4252"/>
          </w:tcPr>
          <w:p>
            <w:pPr>
              <w:spacing w:line="240" w:lineRule="auto" w:after="40" w:before="40"/>
              <w:jc w:val="left"/>
            </w:pPr>
            <w:r/>
            <w:r>
              <w:rPr>
                <w:b w:val="0"/>
                <w:sz w:val="20"/>
              </w:rPr>
              <w:t>Agentes de segurança EM SERVIÇO atuando na cena no momento do disparo, trocando tiros ou sendo alvo. Agente de folga, aposentado ou exonerado atingido fora de uma ação NÃO é ação policial.</w:t>
            </w:r>
          </w:p>
        </w:tc>
        <w:tc>
          <w:tcPr>
            <w:tcW w:type="dxa" w:w="3118"/>
          </w:tcPr>
          <w:p>
            <w:pPr>
              <w:spacing w:line="240" w:lineRule="auto" w:after="40" w:before="40"/>
              <w:jc w:val="left"/>
            </w:pPr>
            <w:r/>
            <w:r>
              <w:rPr>
                <w:b w:val="0"/>
                <w:sz w:val="20"/>
              </w:rPr>
              <w:t>—</w:t>
            </w:r>
          </w:p>
        </w:tc>
      </w:tr>
      <w:tr>
        <w:tc>
          <w:tcPr>
            <w:tcW w:type="dxa" w:w="1701"/>
          </w:tcPr>
          <w:p>
            <w:pPr>
              <w:spacing w:line="240" w:lineRule="auto" w:after="40" w:before="40"/>
              <w:jc w:val="left"/>
            </w:pPr>
            <w:r/>
            <w:r>
              <w:rPr>
                <w:b w:val="0"/>
                <w:sz w:val="20"/>
              </w:rPr>
              <w:t>crime_organizado</w:t>
            </w:r>
          </w:p>
        </w:tc>
        <w:tc>
          <w:tcPr>
            <w:tcW w:type="dxa" w:w="4252"/>
          </w:tcPr>
          <w:p>
            <w:pPr>
              <w:spacing w:line="240" w:lineRule="auto" w:after="40" w:before="40"/>
              <w:jc w:val="left"/>
            </w:pPr>
            <w:r/>
            <w:r>
              <w:rPr>
                <w:b w:val="0"/>
                <w:sz w:val="20"/>
              </w:rPr>
              <w:t>Envolvimento de facção, milícia ou grupo armado estruturado na dinâmica do disparo, incluindo disputa de território.</w:t>
            </w:r>
          </w:p>
        </w:tc>
        <w:tc>
          <w:tcPr>
            <w:tcW w:type="dxa" w:w="3118"/>
          </w:tcPr>
          <w:p>
            <w:pPr>
              <w:spacing w:line="240" w:lineRule="auto" w:after="40" w:before="40"/>
              <w:jc w:val="left"/>
            </w:pPr>
            <w:r/>
            <w:r>
              <w:rPr>
                <w:b w:val="0"/>
                <w:sz w:val="20"/>
              </w:rPr>
              <w:t>tribunal_do_crime</w:t>
            </w:r>
          </w:p>
        </w:tc>
      </w:tr>
      <w:tr>
        <w:tc>
          <w:tcPr>
            <w:tcW w:type="dxa" w:w="1701"/>
          </w:tcPr>
          <w:p>
            <w:pPr>
              <w:spacing w:line="240" w:lineRule="auto" w:after="40" w:before="40"/>
              <w:jc w:val="left"/>
            </w:pPr>
            <w:r/>
            <w:r>
              <w:rPr>
                <w:b w:val="0"/>
                <w:sz w:val="20"/>
              </w:rPr>
              <w:t>politico_baleado</w:t>
            </w:r>
          </w:p>
        </w:tc>
        <w:tc>
          <w:tcPr>
            <w:tcW w:type="dxa" w:w="4252"/>
          </w:tcPr>
          <w:p>
            <w:pPr>
              <w:spacing w:line="240" w:lineRule="auto" w:after="40" w:before="40"/>
              <w:jc w:val="left"/>
            </w:pPr>
            <w:r/>
            <w:r>
              <w:rPr>
                <w:b w:val="0"/>
                <w:sz w:val="20"/>
              </w:rPr>
              <w:t>Pessoa com cargo eletivo, candidatura ou pré-candidatura atingida por disparo de arma de fogo (definição reduzida).</w:t>
            </w:r>
          </w:p>
        </w:tc>
        <w:tc>
          <w:tcPr>
            <w:tcW w:type="dxa" w:w="3118"/>
          </w:tcPr>
          <w:p>
            <w:pPr>
              <w:spacing w:line="240" w:lineRule="auto" w:after="40" w:before="40"/>
              <w:jc w:val="left"/>
            </w:pPr>
            <w:r/>
            <w:r>
              <w:rPr>
                <w:b w:val="0"/>
                <w:sz w:val="20"/>
              </w:rPr>
              <w:t>—</w:t>
            </w:r>
          </w:p>
        </w:tc>
      </w:tr>
      <w:tr>
        <w:tc>
          <w:tcPr>
            <w:tcW w:type="dxa" w:w="1701"/>
          </w:tcPr>
          <w:p>
            <w:pPr>
              <w:spacing w:line="240" w:lineRule="auto" w:after="40" w:before="40"/>
              <w:jc w:val="left"/>
            </w:pPr>
            <w:r/>
            <w:r>
              <w:rPr>
                <w:b w:val="0"/>
                <w:sz w:val="20"/>
              </w:rPr>
              <w:t>suicidio</w:t>
            </w:r>
          </w:p>
        </w:tc>
        <w:tc>
          <w:tcPr>
            <w:tcW w:type="dxa" w:w="4252"/>
          </w:tcPr>
          <w:p>
            <w:pPr>
              <w:spacing w:line="240" w:lineRule="auto" w:after="40" w:before="40"/>
              <w:jc w:val="left"/>
            </w:pPr>
            <w:r/>
            <w:r>
              <w:rPr>
                <w:b w:val="0"/>
                <w:sz w:val="20"/>
              </w:rPr>
              <w:t>Disparo autoinfligido com intenção de morte, consumado ou tentado. É circunstância da vítima, não fenômeno da ocorrência.</w:t>
            </w:r>
          </w:p>
        </w:tc>
        <w:tc>
          <w:tcPr>
            <w:tcW w:type="dxa" w:w="3118"/>
          </w:tcPr>
          <w:p>
            <w:pPr>
              <w:spacing w:line="240" w:lineRule="auto" w:after="40" w:before="40"/>
              <w:jc w:val="left"/>
            </w:pPr>
            <w:r/>
            <w:r>
              <w:rPr>
                <w:b w:val="0"/>
                <w:sz w:val="20"/>
              </w:rPr>
              <w:t>suicidio</w:t>
            </w:r>
          </w:p>
        </w:tc>
      </w:tr>
      <w:tr>
        <w:tc>
          <w:tcPr>
            <w:tcW w:type="dxa" w:w="1701"/>
          </w:tcPr>
          <w:p>
            <w:pPr>
              <w:spacing w:line="240" w:lineRule="auto" w:after="40" w:before="40"/>
              <w:jc w:val="left"/>
            </w:pPr>
            <w:r/>
            <w:r>
              <w:rPr>
                <w:b w:val="0"/>
                <w:sz w:val="20"/>
              </w:rPr>
              <w:t>lgbtqiapn</w:t>
            </w:r>
          </w:p>
        </w:tc>
        <w:tc>
          <w:tcPr>
            <w:tcW w:type="dxa" w:w="4252"/>
          </w:tcPr>
          <w:p>
            <w:pPr>
              <w:spacing w:line="240" w:lineRule="auto" w:after="40" w:before="40"/>
              <w:jc w:val="left"/>
            </w:pPr>
            <w:r/>
            <w:r>
              <w:rPr>
                <w:b w:val="0"/>
                <w:sz w:val="20"/>
              </w:rPr>
              <w:t>Vítima identificada como LGBTQIAPN+ pela notícia. É circunstância da vítima, não fenômeno da ocorrência.</w:t>
            </w:r>
          </w:p>
        </w:tc>
        <w:tc>
          <w:tcPr>
            <w:tcW w:type="dxa" w:w="3118"/>
          </w:tcPr>
          <w:p>
            <w:pPr>
              <w:spacing w:line="240" w:lineRule="auto" w:after="40" w:before="40"/>
              <w:jc w:val="left"/>
            </w:pPr>
            <w:r/>
            <w:r>
              <w:rPr>
                <w:b w:val="0"/>
                <w:sz w:val="20"/>
              </w:rPr>
              <w:t>lgbtqiapn</w:t>
            </w:r>
          </w:p>
        </w:tc>
      </w:tr>
    </w:tbl>
    <w:p>
      <w:pPr>
        <w:spacing w:before="40" w:after="240" w:line="240" w:lineRule="auto"/>
        <w:jc w:val="left"/>
      </w:pPr>
      <w:r>
        <w:rPr>
          <w:color w:val="444444"/>
          <w:sz w:val="20"/>
        </w:rPr>
        <w:t>Tabela 9 — Os 7 indicadores que o classificador aprende, e as circunstâncias que cada um autoriza o modelo de linguagem a avaliar.</w:t>
      </w:r>
    </w:p>
    <w:p>
      <w:r>
        <w:br w:type="page"/>
      </w:r>
    </w:p>
    <w:p>
      <w:pPr>
        <w:pStyle w:val="Heading1"/>
      </w:pPr>
      <w:r>
        <w:t>Apêndice B — Indicadores</w:t>
      </w:r>
    </w:p>
    <w:p>
      <w:pPr>
        <w:spacing w:after="120"/>
        <w:ind w:firstLine="709"/>
      </w:pPr>
      <w:r>
        <w:rPr>
          <w:b w:val="0"/>
          <w:i w:val="0"/>
        </w:rPr>
        <w:t>Os indicadores dividem-se em dois tipos. Os de regra são calculados sobre a lista consolidada de vítimas e recalculados a cada alteração; os de texto resultam da classificação do conteúdo e são confirmados pela camada de modelo de linguagem.</w:t>
      </w:r>
    </w:p>
    <w:p>
      <w:pPr>
        <w:spacing w:after="120"/>
        <w:ind w:firstLine="709"/>
      </w:pP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381"/>
            <w:shd w:val="clear" w:color="auto" w:fill="E6EAF0"/>
          </w:tcPr>
          <w:p>
            <w:pPr>
              <w:spacing w:line="240" w:lineRule="auto" w:after="40" w:before="40"/>
              <w:jc w:val="left"/>
            </w:pPr>
            <w:r/>
            <w:r>
              <w:rPr>
                <w:b/>
                <w:sz w:val="20"/>
              </w:rPr>
              <w:t>Indicador</w:t>
            </w:r>
          </w:p>
        </w:tc>
        <w:tc>
          <w:tcPr>
            <w:tcW w:type="dxa" w:w="1020"/>
            <w:shd w:val="clear" w:color="auto" w:fill="E6EAF0"/>
          </w:tcPr>
          <w:p>
            <w:pPr>
              <w:spacing w:line="240" w:lineRule="auto" w:after="40" w:before="40"/>
              <w:jc w:val="left"/>
            </w:pPr>
            <w:r/>
            <w:r>
              <w:rPr>
                <w:b/>
                <w:sz w:val="20"/>
              </w:rPr>
              <w:t>Tipo</w:t>
            </w:r>
          </w:p>
        </w:tc>
        <w:tc>
          <w:tcPr>
            <w:tcW w:type="dxa" w:w="5669"/>
            <w:shd w:val="clear" w:color="auto" w:fill="E6EAF0"/>
          </w:tcPr>
          <w:p>
            <w:pPr>
              <w:spacing w:line="240" w:lineRule="auto" w:after="40" w:before="40"/>
              <w:jc w:val="left"/>
            </w:pPr>
            <w:r/>
            <w:r>
              <w:rPr>
                <w:b/>
                <w:sz w:val="20"/>
              </w:rPr>
              <w:t>Critério</w:t>
            </w:r>
          </w:p>
        </w:tc>
      </w:tr>
      <w:tr>
        <w:tc>
          <w:tcPr>
            <w:tcW w:type="dxa" w:w="2381"/>
          </w:tcPr>
          <w:p>
            <w:pPr>
              <w:spacing w:line="240" w:lineRule="auto" w:after="40" w:before="40"/>
              <w:jc w:val="left"/>
            </w:pPr>
            <w:r/>
            <w:r>
              <w:rPr>
                <w:b w:val="0"/>
                <w:sz w:val="20"/>
              </w:rPr>
              <w:t>Criança ou adolescente baleado</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Pessoa com menos de 18 anos atingida por disparo de arma de fogo, conforme o ECA (Lei 8.069/1990).</w:t>
            </w:r>
          </w:p>
        </w:tc>
      </w:tr>
      <w:tr>
        <w:tc>
          <w:tcPr>
            <w:tcW w:type="dxa" w:w="2381"/>
          </w:tcPr>
          <w:p>
            <w:pPr>
              <w:spacing w:line="240" w:lineRule="auto" w:after="40" w:before="40"/>
              <w:jc w:val="left"/>
            </w:pPr>
            <w:r/>
            <w:r>
              <w:rPr>
                <w:b w:val="0"/>
                <w:sz w:val="20"/>
              </w:rPr>
              <w:t>Mulheres baleadas</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Pessoa do gênero feminino atingida por disparo de arma de fogo, qualquer que seja a motivação.</w:t>
            </w:r>
          </w:p>
        </w:tc>
      </w:tr>
      <w:tr>
        <w:tc>
          <w:tcPr>
            <w:tcW w:type="dxa" w:w="2381"/>
          </w:tcPr>
          <w:p>
            <w:pPr>
              <w:spacing w:line="240" w:lineRule="auto" w:after="40" w:before="40"/>
              <w:jc w:val="left"/>
            </w:pPr>
            <w:r/>
            <w:r>
              <w:rPr>
                <w:b w:val="0"/>
                <w:sz w:val="20"/>
              </w:rPr>
              <w:t>Violência de gênero</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Disparo motivado pela condição de gênero da vítima, incluindo feminicídio, violência doméstica e LGBTfobia. Decidido pela LLM: não tem classe própria no BERT, é avaliado dentro dos blocos de mulheres_baleadas e lgbtqiapn.</w:t>
            </w:r>
          </w:p>
        </w:tc>
      </w:tr>
      <w:tr>
        <w:tc>
          <w:tcPr>
            <w:tcW w:type="dxa" w:w="2381"/>
          </w:tcPr>
          <w:p>
            <w:pPr>
              <w:spacing w:line="240" w:lineRule="auto" w:after="40" w:before="40"/>
              <w:jc w:val="left"/>
            </w:pPr>
            <w:r/>
            <w:r>
              <w:rPr>
                <w:b w:val="0"/>
                <w:sz w:val="20"/>
              </w:rPr>
              <w:t>Ação policial</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Agentes de segurança EM SERVIÇO atuando na cena no momento do disparo, trocando tiros ou sendo alvo. Agente de folga, aposentado ou exonerado atingido fora de uma ação NÃO é ação policial.</w:t>
            </w:r>
          </w:p>
        </w:tc>
      </w:tr>
      <w:tr>
        <w:tc>
          <w:tcPr>
            <w:tcW w:type="dxa" w:w="2381"/>
          </w:tcPr>
          <w:p>
            <w:pPr>
              <w:spacing w:line="240" w:lineRule="auto" w:after="40" w:before="40"/>
              <w:jc w:val="left"/>
            </w:pPr>
            <w:r/>
            <w:r>
              <w:rPr>
                <w:b w:val="0"/>
                <w:sz w:val="20"/>
              </w:rPr>
              <w:t>Vitimização policial</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Agente de segurança atingido por disparo. Calculado pelo sistema: marcado sempre que alguma vítima tem o tipo `agente`, que a LLM preenche ao montar a lista de vítimas.</w:t>
            </w:r>
          </w:p>
        </w:tc>
      </w:tr>
      <w:tr>
        <w:tc>
          <w:tcPr>
            <w:tcW w:type="dxa" w:w="2381"/>
          </w:tcPr>
          <w:p>
            <w:pPr>
              <w:spacing w:line="240" w:lineRule="auto" w:after="40" w:before="40"/>
              <w:jc w:val="left"/>
            </w:pPr>
            <w:r/>
            <w:r>
              <w:rPr>
                <w:b w:val="0"/>
                <w:sz w:val="20"/>
              </w:rPr>
              <w:t>Crime organizado</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Envolvimento de facção, milícia ou grupo armado estruturado na dinâmica do disparo, incluindo disputa de território.</w:t>
            </w:r>
          </w:p>
        </w:tc>
      </w:tr>
      <w:tr>
        <w:tc>
          <w:tcPr>
            <w:tcW w:type="dxa" w:w="2381"/>
          </w:tcPr>
          <w:p>
            <w:pPr>
              <w:spacing w:line="240" w:lineRule="auto" w:after="40" w:before="40"/>
              <w:jc w:val="left"/>
            </w:pPr>
            <w:r/>
            <w:r>
              <w:rPr>
                <w:b w:val="0"/>
                <w:sz w:val="20"/>
              </w:rPr>
              <w:t>Chacina</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Três ou mais pessoas mortas por disparo na mesma ocorrência. Calculado pelo sistema sobre a lista final de vítimas, e reavaliado quando um ferido morre semanas depois.</w:t>
            </w:r>
          </w:p>
        </w:tc>
      </w:tr>
      <w:tr>
        <w:tc>
          <w:tcPr>
            <w:tcW w:type="dxa" w:w="2381"/>
          </w:tcPr>
          <w:p>
            <w:pPr>
              <w:spacing w:line="240" w:lineRule="auto" w:after="40" w:before="40"/>
              <w:jc w:val="left"/>
            </w:pPr>
            <w:r/>
            <w:r>
              <w:rPr>
                <w:b w:val="0"/>
                <w:sz w:val="20"/>
              </w:rPr>
              <w:t>Político baleado</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Pessoa com cargo eletivo, candidatura ou pré-candidatura atingida por disparo de arma de fogo (definição reduzida).</w:t>
            </w:r>
          </w:p>
        </w:tc>
      </w:tr>
      <w:tr>
        <w:tc>
          <w:tcPr>
            <w:tcW w:type="dxa" w:w="2381"/>
          </w:tcPr>
          <w:p>
            <w:pPr>
              <w:spacing w:line="240" w:lineRule="auto" w:after="40" w:before="40"/>
              <w:jc w:val="left"/>
            </w:pPr>
            <w:r/>
            <w:r>
              <w:rPr>
                <w:b w:val="0"/>
                <w:sz w:val="20"/>
              </w:rPr>
              <w:t>Suicídio</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Disparo autoinfligido com intenção de morte, consumado ou tentado. É circunstância da vítima, não fenômeno da ocorrência.</w:t>
            </w:r>
          </w:p>
        </w:tc>
      </w:tr>
      <w:tr>
        <w:tc>
          <w:tcPr>
            <w:tcW w:type="dxa" w:w="2381"/>
          </w:tcPr>
          <w:p>
            <w:pPr>
              <w:spacing w:line="240" w:lineRule="auto" w:after="40" w:before="40"/>
              <w:jc w:val="left"/>
            </w:pPr>
            <w:r/>
            <w:r>
              <w:rPr>
                <w:b w:val="0"/>
                <w:sz w:val="20"/>
              </w:rPr>
              <w:t>LGBTQIAPN+</w:t>
            </w:r>
          </w:p>
        </w:tc>
        <w:tc>
          <w:tcPr>
            <w:tcW w:type="dxa" w:w="1020"/>
          </w:tcPr>
          <w:p>
            <w:pPr>
              <w:spacing w:line="240" w:lineRule="auto" w:after="40" w:before="40"/>
              <w:jc w:val="left"/>
            </w:pPr>
            <w:r/>
            <w:r>
              <w:rPr>
                <w:b w:val="0"/>
                <w:sz w:val="20"/>
              </w:rPr>
              <w:t>texto</w:t>
            </w:r>
          </w:p>
        </w:tc>
        <w:tc>
          <w:tcPr>
            <w:tcW w:type="dxa" w:w="5669"/>
          </w:tcPr>
          <w:p>
            <w:pPr>
              <w:spacing w:line="240" w:lineRule="auto" w:after="40" w:before="40"/>
              <w:jc w:val="left"/>
            </w:pPr>
            <w:r/>
            <w:r>
              <w:rPr>
                <w:b w:val="0"/>
                <w:sz w:val="20"/>
              </w:rPr>
              <w:t>Vítima identificada como LGBTQIAPN+ pela notícia. É circunstância da vítima, não fenômeno da ocorrência.</w:t>
            </w:r>
          </w:p>
        </w:tc>
      </w:tr>
    </w:tbl>
    <w:p>
      <w:pPr>
        <w:spacing w:before="40" w:after="240" w:line="240" w:lineRule="auto"/>
        <w:jc w:val="left"/>
      </w:pPr>
      <w:r>
        <w:rPr>
          <w:color w:val="444444"/>
          <w:sz w:val="20"/>
        </w:rPr>
        <w:t>Tabela 10 — Indicadores e respectivos critérios.</w:t>
      </w:r>
    </w:p>
    <w:p>
      <w:pPr>
        <w:spacing w:after="120"/>
        <w:ind w:firstLine="709"/>
      </w:pPr>
      <w:r>
        <w:rPr>
          <w:b w:val="0"/>
          <w:i w:val="0"/>
        </w:rPr>
        <w:t>Os indicadores de regra são determinísticos e não dependem de modelo: vítima com menos de dezoito anos, vítima do gênero feminino, vítima agente de segurança, vítima com cargo ou candidatura política, e três ou mais mortos na mesma ocorrência. Por serem calculados sobre a lista final, atualizam-se sozinhos quando a situação de uma vítima muda — uma pessoa ferida que vem a falecer pode converter a ocorrência em chacina.</w:t>
      </w:r>
    </w:p>
    <w:p>
      <w:pPr>
        <w:spacing w:after="120"/>
        <w:ind w:firstLine="709"/>
      </w:pPr>
      <w:r>
        <w:rPr>
          <w:b w:val="0"/>
          <w:i w:val="0"/>
        </w:rPr>
        <w:t>Os indicadores de texto são os que exigem classificação e, portanto, os que entram na avaliação. O cadastro de um indicador de texto novo exige exemplos anotados para retreinamento, requisito incorporado ao fluxo da aplicação de gestão: a classe criada nasce sem exemplo e o sistema recusa o treino enquanto a classe mais rara não tiver o mínimo para ser representada nas três partições.</w:t>
      </w:r>
    </w:p>
    <w:p>
      <w:r>
        <w:br w:type="page"/>
      </w:r>
    </w:p>
    <w:p>
      <w:pPr>
        <w:pStyle w:val="Heading1"/>
      </w:pPr>
      <w:r>
        <w:t>Apêndice C — Diretrizes de anotação</w:t>
      </w:r>
    </w:p>
    <w:p>
      <w:pPr>
        <w:spacing w:after="120"/>
        <w:ind w:firstLine="709"/>
      </w:pPr>
      <w:r>
        <w:rPr>
          <w:b w:val="0"/>
          <w:i w:val="0"/>
        </w:rPr>
        <w:t>Resumo operacional para quem conduz a anotação.</w:t>
      </w:r>
    </w:p>
    <w:p>
      <w:pPr>
        <w:spacing w:after="120"/>
        <w:ind w:firstLine="709"/>
      </w:pP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val="clear" w:color="auto" w:fill="E6EAF0"/>
          </w:tcPr>
          <w:p>
            <w:pPr>
              <w:spacing w:line="240" w:lineRule="auto" w:after="40" w:before="40"/>
              <w:jc w:val="left"/>
            </w:pPr>
            <w:r/>
            <w:r>
              <w:rPr>
                <w:b/>
                <w:sz w:val="20"/>
              </w:rPr>
              <w:t>Situação</w:t>
            </w:r>
          </w:p>
        </w:tc>
        <w:tc>
          <w:tcPr>
            <w:tcW w:type="dxa" w:w="4535"/>
            <w:shd w:val="clear" w:color="auto" w:fill="E6EAF0"/>
          </w:tcPr>
          <w:p>
            <w:pPr>
              <w:spacing w:line="240" w:lineRule="auto" w:after="40" w:before="40"/>
              <w:jc w:val="left"/>
            </w:pPr>
            <w:r/>
            <w:r>
              <w:rPr>
                <w:b/>
                <w:sz w:val="20"/>
              </w:rPr>
              <w:t>Decisão</w:t>
            </w:r>
          </w:p>
        </w:tc>
      </w:tr>
      <w:tr>
        <w:tc>
          <w:tcPr>
            <w:tcW w:type="dxa" w:w="4535"/>
          </w:tcPr>
          <w:p>
            <w:pPr>
              <w:spacing w:line="240" w:lineRule="auto" w:after="40" w:before="40"/>
              <w:jc w:val="left"/>
            </w:pPr>
            <w:r/>
            <w:r>
              <w:rPr>
                <w:b w:val="0"/>
                <w:sz w:val="20"/>
              </w:rPr>
              <w:t>Notícia relata tiro efetuado, com ou sem vítima atingida</w:t>
            </w:r>
          </w:p>
        </w:tc>
        <w:tc>
          <w:tcPr>
            <w:tcW w:type="dxa" w:w="4535"/>
          </w:tcPr>
          <w:p>
            <w:pPr>
              <w:spacing w:line="240" w:lineRule="auto" w:after="40" w:before="40"/>
              <w:jc w:val="left"/>
            </w:pPr>
            <w:r/>
            <w:r>
              <w:rPr>
                <w:b w:val="0"/>
                <w:sz w:val="20"/>
              </w:rPr>
              <w:t>No escopo: anotar os indicadores que o texto sustentar</w:t>
            </w:r>
          </w:p>
        </w:tc>
      </w:tr>
      <w:tr>
        <w:tc>
          <w:tcPr>
            <w:tcW w:type="dxa" w:w="4535"/>
          </w:tcPr>
          <w:p>
            <w:pPr>
              <w:spacing w:line="240" w:lineRule="auto" w:after="40" w:before="40"/>
              <w:jc w:val="left"/>
            </w:pPr>
            <w:r/>
            <w:r>
              <w:rPr>
                <w:b w:val="0"/>
                <w:sz w:val="20"/>
              </w:rPr>
              <w:t>Ameaça com arma de fogo, sem disparo</w:t>
            </w:r>
          </w:p>
        </w:tc>
        <w:tc>
          <w:tcPr>
            <w:tcW w:type="dxa" w:w="4535"/>
          </w:tcPr>
          <w:p>
            <w:pPr>
              <w:spacing w:line="240" w:lineRule="auto" w:after="40" w:before="40"/>
              <w:jc w:val="left"/>
            </w:pPr>
            <w:r/>
            <w:r>
              <w:rPr>
                <w:b w:val="0"/>
                <w:sz w:val="20"/>
              </w:rPr>
              <w:t>Fora do escopo: nenhum indicador</w:t>
            </w:r>
          </w:p>
        </w:tc>
      </w:tr>
      <w:tr>
        <w:tc>
          <w:tcPr>
            <w:tcW w:type="dxa" w:w="4535"/>
          </w:tcPr>
          <w:p>
            <w:pPr>
              <w:spacing w:line="240" w:lineRule="auto" w:after="40" w:before="40"/>
              <w:jc w:val="left"/>
            </w:pPr>
            <w:r/>
            <w:r>
              <w:rPr>
                <w:b w:val="0"/>
                <w:sz w:val="20"/>
              </w:rPr>
              <w:t>Apreensão de arma ou munição, sem confronto</w:t>
            </w:r>
          </w:p>
        </w:tc>
        <w:tc>
          <w:tcPr>
            <w:tcW w:type="dxa" w:w="4535"/>
          </w:tcPr>
          <w:p>
            <w:pPr>
              <w:spacing w:line="240" w:lineRule="auto" w:after="40" w:before="40"/>
              <w:jc w:val="left"/>
            </w:pPr>
            <w:r/>
            <w:r>
              <w:rPr>
                <w:b w:val="0"/>
                <w:sz w:val="20"/>
              </w:rPr>
              <w:t>Fora do escopo: nenhum indicador</w:t>
            </w:r>
          </w:p>
        </w:tc>
      </w:tr>
      <w:tr>
        <w:tc>
          <w:tcPr>
            <w:tcW w:type="dxa" w:w="4535"/>
          </w:tcPr>
          <w:p>
            <w:pPr>
              <w:spacing w:line="240" w:lineRule="auto" w:after="40" w:before="40"/>
              <w:jc w:val="left"/>
            </w:pPr>
            <w:r/>
            <w:r>
              <w:rPr>
                <w:b w:val="0"/>
                <w:sz w:val="20"/>
              </w:rPr>
              <w:t>Morte ou lesão por arma branca ou outro meio</w:t>
            </w:r>
          </w:p>
        </w:tc>
        <w:tc>
          <w:tcPr>
            <w:tcW w:type="dxa" w:w="4535"/>
          </w:tcPr>
          <w:p>
            <w:pPr>
              <w:spacing w:line="240" w:lineRule="auto" w:after="40" w:before="40"/>
              <w:jc w:val="left"/>
            </w:pPr>
            <w:r/>
            <w:r>
              <w:rPr>
                <w:b w:val="0"/>
                <w:sz w:val="20"/>
              </w:rPr>
              <w:t>Fora do escopo: nenhum indicador</w:t>
            </w:r>
          </w:p>
        </w:tc>
      </w:tr>
      <w:tr>
        <w:tc>
          <w:tcPr>
            <w:tcW w:type="dxa" w:w="4535"/>
          </w:tcPr>
          <w:p>
            <w:pPr>
              <w:spacing w:line="240" w:lineRule="auto" w:after="40" w:before="40"/>
              <w:jc w:val="left"/>
            </w:pPr>
            <w:r/>
            <w:r>
              <w:rPr>
                <w:b w:val="0"/>
                <w:sz w:val="20"/>
              </w:rPr>
              <w:t>Ferido em queda, correria ou mal-estar durante o fato</w:t>
            </w:r>
          </w:p>
        </w:tc>
        <w:tc>
          <w:tcPr>
            <w:tcW w:type="dxa" w:w="4535"/>
          </w:tcPr>
          <w:p>
            <w:pPr>
              <w:spacing w:line="240" w:lineRule="auto" w:after="40" w:before="40"/>
              <w:jc w:val="left"/>
            </w:pPr>
            <w:r/>
            <w:r>
              <w:rPr>
                <w:b w:val="0"/>
                <w:sz w:val="20"/>
              </w:rPr>
              <w:t>Não é vítima; a notícia pode estar no escopo por outra pessoa atingida</w:t>
            </w:r>
          </w:p>
        </w:tc>
      </w:tr>
      <w:tr>
        <w:tc>
          <w:tcPr>
            <w:tcW w:type="dxa" w:w="4535"/>
          </w:tcPr>
          <w:p>
            <w:pPr>
              <w:spacing w:line="240" w:lineRule="auto" w:after="40" w:before="40"/>
              <w:jc w:val="left"/>
            </w:pPr>
            <w:r/>
            <w:r>
              <w:rPr>
                <w:b w:val="0"/>
                <w:sz w:val="20"/>
              </w:rPr>
              <w:t>Ferido por estilhaço, vidro ou coronhada</w:t>
            </w:r>
          </w:p>
        </w:tc>
        <w:tc>
          <w:tcPr>
            <w:tcW w:type="dxa" w:w="4535"/>
          </w:tcPr>
          <w:p>
            <w:pPr>
              <w:spacing w:line="240" w:lineRule="auto" w:after="40" w:before="40"/>
              <w:jc w:val="left"/>
            </w:pPr>
            <w:r/>
            <w:r>
              <w:rPr>
                <w:b w:val="0"/>
                <w:sz w:val="20"/>
              </w:rPr>
              <w:t>Não é vítima: o ferimento não é por disparo</w:t>
            </w:r>
          </w:p>
        </w:tc>
      </w:tr>
      <w:tr>
        <w:tc>
          <w:tcPr>
            <w:tcW w:type="dxa" w:w="4535"/>
          </w:tcPr>
          <w:p>
            <w:pPr>
              <w:spacing w:line="240" w:lineRule="auto" w:after="40" w:before="40"/>
              <w:jc w:val="left"/>
            </w:pPr>
            <w:r/>
            <w:r>
              <w:rPr>
                <w:b w:val="0"/>
                <w:sz w:val="20"/>
              </w:rPr>
              <w:t>Bala perdida proveniente de confronto</w:t>
            </w:r>
          </w:p>
        </w:tc>
        <w:tc>
          <w:tcPr>
            <w:tcW w:type="dxa" w:w="4535"/>
          </w:tcPr>
          <w:p>
            <w:pPr>
              <w:spacing w:line="240" w:lineRule="auto" w:after="40" w:before="40"/>
              <w:jc w:val="left"/>
            </w:pPr>
            <w:r/>
            <w:r>
              <w:rPr>
                <w:b w:val="0"/>
                <w:sz w:val="20"/>
              </w:rPr>
              <w:t>No escopo; a vítima recebe a circunstância bala_perdida</w:t>
            </w:r>
          </w:p>
        </w:tc>
      </w:tr>
      <w:tr>
        <w:tc>
          <w:tcPr>
            <w:tcW w:type="dxa" w:w="4535"/>
          </w:tcPr>
          <w:p>
            <w:pPr>
              <w:spacing w:line="240" w:lineRule="auto" w:after="40" w:before="40"/>
              <w:jc w:val="left"/>
            </w:pPr>
            <w:r/>
            <w:r>
              <w:rPr>
                <w:b w:val="0"/>
                <w:sz w:val="20"/>
              </w:rPr>
              <w:t>Polícia presente e atirando no momento do fato</w:t>
            </w:r>
          </w:p>
        </w:tc>
        <w:tc>
          <w:tcPr>
            <w:tcW w:type="dxa" w:w="4535"/>
          </w:tcPr>
          <w:p>
            <w:pPr>
              <w:spacing w:line="240" w:lineRule="auto" w:after="40" w:before="40"/>
              <w:jc w:val="left"/>
            </w:pPr>
            <w:r/>
            <w:r>
              <w:rPr>
                <w:b w:val="0"/>
                <w:sz w:val="20"/>
              </w:rPr>
              <w:t>Indicador acao_policial</w:t>
            </w:r>
          </w:p>
        </w:tc>
      </w:tr>
      <w:tr>
        <w:tc>
          <w:tcPr>
            <w:tcW w:type="dxa" w:w="4535"/>
          </w:tcPr>
          <w:p>
            <w:pPr>
              <w:spacing w:line="240" w:lineRule="auto" w:after="40" w:before="40"/>
              <w:jc w:val="left"/>
            </w:pPr>
            <w:r/>
            <w:r>
              <w:rPr>
                <w:b w:val="0"/>
                <w:sz w:val="20"/>
              </w:rPr>
              <w:t>Polícia chega após o fato, apenas para atender</w:t>
            </w:r>
          </w:p>
        </w:tc>
        <w:tc>
          <w:tcPr>
            <w:tcW w:type="dxa" w:w="4535"/>
          </w:tcPr>
          <w:p>
            <w:pPr>
              <w:spacing w:line="240" w:lineRule="auto" w:after="40" w:before="40"/>
              <w:jc w:val="left"/>
            </w:pPr>
            <w:r/>
            <w:r>
              <w:rPr>
                <w:b w:val="0"/>
                <w:sz w:val="20"/>
              </w:rPr>
              <w:t>NÃO caracteriza ação policial</w:t>
            </w:r>
          </w:p>
        </w:tc>
      </w:tr>
      <w:tr>
        <w:tc>
          <w:tcPr>
            <w:tcW w:type="dxa" w:w="4535"/>
          </w:tcPr>
          <w:p>
            <w:pPr>
              <w:spacing w:line="240" w:lineRule="auto" w:after="40" w:before="40"/>
              <w:jc w:val="left"/>
            </w:pPr>
            <w:r/>
            <w:r>
              <w:rPr>
                <w:b w:val="0"/>
                <w:sz w:val="20"/>
              </w:rPr>
              <w:t>Policial atingido estando de folga</w:t>
            </w:r>
          </w:p>
        </w:tc>
        <w:tc>
          <w:tcPr>
            <w:tcW w:type="dxa" w:w="4535"/>
          </w:tcPr>
          <w:p>
            <w:pPr>
              <w:spacing w:line="240" w:lineRule="auto" w:after="40" w:before="40"/>
              <w:jc w:val="left"/>
            </w:pPr>
            <w:r/>
            <w:r>
              <w:rPr>
                <w:b w:val="0"/>
                <w:sz w:val="20"/>
              </w:rPr>
              <w:t>NÃO é ação policial; é vitimização policial, calculada do tipo da vítima</w:t>
            </w:r>
          </w:p>
        </w:tc>
      </w:tr>
      <w:tr>
        <w:tc>
          <w:tcPr>
            <w:tcW w:type="dxa" w:w="4535"/>
          </w:tcPr>
          <w:p>
            <w:pPr>
              <w:spacing w:line="240" w:lineRule="auto" w:after="40" w:before="40"/>
              <w:jc w:val="left"/>
            </w:pPr>
            <w:r/>
            <w:r>
              <w:rPr>
                <w:b w:val="0"/>
                <w:sz w:val="20"/>
              </w:rPr>
              <w:t>Pessoa com menos de 18 anos atingida</w:t>
            </w:r>
          </w:p>
        </w:tc>
        <w:tc>
          <w:tcPr>
            <w:tcW w:type="dxa" w:w="4535"/>
          </w:tcPr>
          <w:p>
            <w:pPr>
              <w:spacing w:line="240" w:lineRule="auto" w:after="40" w:before="40"/>
              <w:jc w:val="left"/>
            </w:pPr>
            <w:r/>
            <w:r>
              <w:rPr>
                <w:b w:val="0"/>
                <w:sz w:val="20"/>
              </w:rPr>
              <w:t>Indicador derivado da idade; basta registrar a idade ou a palavra criança/adolescente</w:t>
            </w:r>
          </w:p>
        </w:tc>
      </w:tr>
      <w:tr>
        <w:tc>
          <w:tcPr>
            <w:tcW w:type="dxa" w:w="4535"/>
          </w:tcPr>
          <w:p>
            <w:pPr>
              <w:spacing w:line="240" w:lineRule="auto" w:after="40" w:before="40"/>
              <w:jc w:val="left"/>
            </w:pPr>
            <w:r/>
            <w:r>
              <w:rPr>
                <w:b w:val="0"/>
                <w:sz w:val="20"/>
              </w:rPr>
              <w:t>Texto insuficiente para decidir um indicador</w:t>
            </w:r>
          </w:p>
        </w:tc>
        <w:tc>
          <w:tcPr>
            <w:tcW w:type="dxa" w:w="4535"/>
          </w:tcPr>
          <w:p>
            <w:pPr>
              <w:spacing w:line="240" w:lineRule="auto" w:after="40" w:before="40"/>
              <w:jc w:val="left"/>
            </w:pPr>
            <w:r/>
            <w:r>
              <w:rPr>
                <w:b w:val="0"/>
                <w:sz w:val="20"/>
              </w:rPr>
              <w:t>Não marcar o indicador duvidoso; registrar a razão na observação</w:t>
            </w:r>
          </w:p>
        </w:tc>
      </w:tr>
    </w:tbl>
    <w:p>
      <w:pPr>
        <w:spacing w:before="40" w:after="240" w:line="240" w:lineRule="auto"/>
        <w:jc w:val="left"/>
      </w:pPr>
      <w:r>
        <w:rPr>
          <w:color w:val="444444"/>
          <w:sz w:val="20"/>
        </w:rPr>
        <w:t>Tabela 11 — Diretrizes para casos de fronteira.</w:t>
      </w:r>
    </w:p>
    <w:p>
      <w:pPr>
        <w:spacing w:after="120"/>
        <w:ind w:firstLine="709"/>
      </w:pPr>
      <w:r>
        <w:rPr>
          <w:b w:val="0"/>
          <w:i w:val="0"/>
        </w:rPr>
        <w:t>Três recomendações gerais. Primeiro, considera-se o que envolveu diretamente o disparo, no momento em que ocorreu, e não antecedentes do envolvido nem consequências posteriores que não constituam novo disparo. Segundo, em caso de dúvida genuína sobre um indicador, não o marcar e registrar a razão na observação: um rótulo incerto prejudica mais o treino do que a sua ausência. Terceiro, a notícia que não recebe indicador algum NÃO é descarte — ela é o exemplo negativo, e sem ela o classificador não aprende a recusar o que está fora do escopo.</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left"/>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200" w:line="360" w:lineRule="auto"/>
      <w:jc w:val="left"/>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200" w:line="360" w:lineRule="auto"/>
      <w:jc w:val="left"/>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