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b/>
          <w:bCs/>
          <w:sz w:val="48"/>
          <w:szCs w:val="48"/>
        </w:rPr>
        <w:t xml:space="preserve">{translations.invoice}</w:t>
      </w:r>
    </w:p>
    <w:p>
      <w:pPr>
        <w:spacing w:before="200" w:after="400"/>
      </w:pPr>
      <w:r>
        <w:rPr>
          <w:b/>
          <w:bCs/>
        </w:rPr>
        <w:t xml:space="preserve">{invoiceNumber}</w:t>
      </w:r>
      <w:r>
        <w:t xml:space="preserve">  |  {invoiceDate}</w:t>
      </w:r>
      <w:r>
        <w:t xml:space="preserve">  |  {translations.dueDate} {dueDate}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{provider.name}</w:t>
            </w:r>
          </w:p>
          <w:p>
            <w:pPr>
              <w:spacing w:after="40"/>
            </w:pPr>
            <w:r>
              <w:t xml:space="preserve">{provider.address.street}, {provider.address.city}</w:t>
            </w:r>
          </w:p>
          <w:p>
            <w:r>
              <w:t xml:space="preserve">{provider.email}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{client.name}</w:t>
            </w:r>
          </w:p>
          <w:p>
            <w:r>
              <w:t xml:space="preserve">{client.address.street}, {client.address.city}</w:t>
            </w:r>
          </w:p>
        </w:tc>
      </w:tr>
    </w:tbl>
    <w:p>
      <w:pPr>
        <w:spacing w:before="400" w:after="200"/>
      </w:pPr>
    </w:p>
    <w:p>
      <w:pPr>
        <w:spacing w:before="100" w:after="100"/>
      </w:pPr>
      <w:r>
        <w:t xml:space="preserve">{#lineItems}{description} - {total}{/lineItems}</w:t>
      </w:r>
    </w:p>
    <w:p>
      <w:pPr>
        <w:spacing w:before="200"/>
      </w:pPr>
    </w:p>
    <w:p>
      <w:pPr>
        <w:spacing w:after="200"/>
        <w:jc w:val="right"/>
      </w:pPr>
      <w:r>
        <w:rPr>
          <w:b/>
          <w:bCs/>
          <w:sz w:val="24"/>
          <w:szCs w:val="24"/>
        </w:rPr>
        <w:t xml:space="preserve">{translations.totalAmount}: {totalAmount}</w:t>
      </w:r>
    </w:p>
    <w:p>
      <w:pPr>
        <w:spacing w:before="300" w:after="200"/>
      </w:pPr>
    </w:p>
    <w:p>
      <w:pPr>
        <w:spacing w:after="100"/>
      </w:pPr>
      <w:r>
        <w:rPr>
          <w:i/>
          <w:iCs/>
          <w:sz w:val="18"/>
          <w:szCs w:val="18"/>
        </w:rPr>
        <w:t xml:space="preserve">{taxNote}</w:t>
      </w:r>
    </w:p>
    <w:p>
      <w:pPr>
        <w:spacing w:after="200"/>
      </w:pPr>
      <w:r>
        <w:rPr>
          <w:sz w:val="20"/>
          <w:szCs w:val="20"/>
        </w:rPr>
        <w:t xml:space="preserve">{paymentTerms}</w:t>
      </w:r>
    </w:p>
    <w:p>
      <w:pPr>
        <w:spacing w:before="200"/>
      </w:pPr>
    </w:p>
    <w:p>
      <w:pPr>
        <w:spacing w:after="40"/>
      </w:pPr>
      <w:r>
        <w:rPr>
          <w:b/>
          <w:bCs/>
          <w:sz w:val="18"/>
          <w:szCs w:val="18"/>
        </w:rPr>
        <w:t xml:space="preserve">{translations.bankDetails}: </w:t>
      </w:r>
      <w:r>
        <w:rPr>
          <w:sz w:val="18"/>
          <w:szCs w:val="18"/>
        </w:rPr>
        <w:t xml:space="preserve">{bank.name} | {bank.iban} | {bank.bic}{#bank.correspondentBic} | {translations.correspondentBic} {bank.correspondentBic}{/bank.correspondentBic}</w:t>
      </w:r>
    </w:p>
    <w:p>
      <w:r>
        <w:rPr>
          <w:sz w:val="18"/>
          <w:szCs w:val="18"/>
        </w:rPr>
        <w:t xml:space="preserve">{translations.taxNumber} </w:t>
      </w:r>
      <w:r>
        <w:rPr>
          <w:sz w:val="18"/>
          <w:szCs w:val="18"/>
        </w:rPr>
        <w:t xml:space="preserve">{provider.taxNumber}</w:t>
      </w:r>
      <w:r>
        <w:rPr>
          <w:sz w:val="18"/>
          <w:szCs w:val="18"/>
        </w:rPr>
        <w:t xml:space="preserve">  |  {translations.vatId} {provider.vatId}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2025-12-19T16:38:47.094Z</dcterms:created>
  <dcterms:modified xsi:type="dcterms:W3CDTF">2025-12-19T16:38:47.094Z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