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ind w:firstLine="397"/>
        <w:jc w:val="center"/>
        <w:rPr>
          <w:rFonts w:ascii="Aharoni" w:cs="Aharoni" w:eastAsia="Aharoni" w:hAnsi="Aharoni"/>
          <w:b w:val="1"/>
          <w:color w:val="0070c0"/>
          <w:sz w:val="28"/>
          <w:szCs w:val="28"/>
        </w:rPr>
      </w:pPr>
      <w:r w:rsidDel="00000000" w:rsidR="00000000" w:rsidRPr="00000000">
        <w:rPr>
          <w:rFonts w:ascii="Aharoni" w:cs="Aharoni" w:eastAsia="Aharoni" w:hAnsi="Aharoni"/>
          <w:b w:val="1"/>
          <w:color w:val="0070c0"/>
          <w:sz w:val="28"/>
          <w:szCs w:val="28"/>
          <w:rtl w:val="0"/>
        </w:rPr>
        <w:t xml:space="preserve">Seguros de Saúde – Hospital de Pillbox</w:t>
      </w:r>
    </w:p>
    <w:p w:rsidR="00000000" w:rsidDel="00000000" w:rsidP="00000000" w:rsidRDefault="00000000" w:rsidRPr="00000000" w14:paraId="00000003">
      <w:pPr>
        <w:spacing w:line="360" w:lineRule="auto"/>
        <w:ind w:firstLine="397"/>
        <w:jc w:val="both"/>
        <w:rPr>
          <w:b w:val="1"/>
          <w:sz w:val="24"/>
          <w:szCs w:val="24"/>
        </w:rPr>
      </w:pPr>
      <w:r w:rsidDel="00000000" w:rsidR="00000000" w:rsidRPr="00000000">
        <w:rPr>
          <w:b w:val="1"/>
          <w:sz w:val="24"/>
          <w:szCs w:val="24"/>
          <w:rtl w:val="0"/>
        </w:rPr>
        <w:t xml:space="preserve">1 - Nota Informativa </w:t>
      </w:r>
    </w:p>
    <w:p w:rsidR="00000000" w:rsidDel="00000000" w:rsidP="00000000" w:rsidRDefault="00000000" w:rsidRPr="00000000" w14:paraId="00000004">
      <w:pPr>
        <w:spacing w:line="360" w:lineRule="auto"/>
        <w:ind w:firstLine="397"/>
        <w:jc w:val="both"/>
        <w:rPr>
          <w:sz w:val="24"/>
          <w:szCs w:val="24"/>
        </w:rPr>
      </w:pPr>
      <w:r w:rsidDel="00000000" w:rsidR="00000000" w:rsidRPr="00000000">
        <w:rPr>
          <w:sz w:val="24"/>
          <w:szCs w:val="24"/>
          <w:rtl w:val="0"/>
        </w:rPr>
        <w:t xml:space="preserve">Os seguros de saúde protegem-no a si, em qualquer momento da vida. A vantagem principal é oferecer uma prestação de cuidados médicos mais barata, mediante um pagamento quinzenal ou mensal. Os pontos 2. e 3. referem-se a seguros de saúde. O ponto 4. refere-se a um plano de saúde que qualquer cidadão está abrangido ser tiver médico de família. O ponto 5. refere-se a um acordo estipulado com funcionários do estado. O ponto 6. é dirigido a qualquer membro da DSE. O ponto 7. tem tabelas práticas para bom entendimento dos planos.</w:t>
      </w:r>
    </w:p>
    <w:p w:rsidR="00000000" w:rsidDel="00000000" w:rsidP="00000000" w:rsidRDefault="00000000" w:rsidRPr="00000000" w14:paraId="00000005">
      <w:pPr>
        <w:spacing w:line="360" w:lineRule="auto"/>
        <w:ind w:firstLine="397"/>
        <w:jc w:val="both"/>
        <w:rPr>
          <w:sz w:val="24"/>
          <w:szCs w:val="24"/>
        </w:rPr>
      </w:pPr>
      <w:r w:rsidDel="00000000" w:rsidR="00000000" w:rsidRPr="00000000">
        <w:rPr>
          <w:rtl w:val="0"/>
        </w:rPr>
      </w:r>
    </w:p>
    <w:p w:rsidR="00000000" w:rsidDel="00000000" w:rsidP="00000000" w:rsidRDefault="00000000" w:rsidRPr="00000000" w14:paraId="00000006">
      <w:pPr>
        <w:spacing w:line="360" w:lineRule="auto"/>
        <w:ind w:firstLine="397"/>
        <w:jc w:val="both"/>
        <w:rPr>
          <w:b w:val="1"/>
          <w:sz w:val="24"/>
          <w:szCs w:val="24"/>
        </w:rPr>
      </w:pPr>
      <w:r w:rsidDel="00000000" w:rsidR="00000000" w:rsidRPr="00000000">
        <w:rPr>
          <w:b w:val="1"/>
          <w:sz w:val="24"/>
          <w:szCs w:val="24"/>
          <w:rtl w:val="0"/>
        </w:rPr>
        <w:t xml:space="preserve">2 – Tipos de Seguros</w:t>
      </w:r>
    </w:p>
    <w:p w:rsidR="00000000" w:rsidDel="00000000" w:rsidP="00000000" w:rsidRDefault="00000000" w:rsidRPr="00000000" w14:paraId="00000007">
      <w:pPr>
        <w:spacing w:line="360" w:lineRule="auto"/>
        <w:ind w:firstLine="397"/>
        <w:jc w:val="both"/>
        <w:rPr>
          <w:sz w:val="24"/>
          <w:szCs w:val="24"/>
        </w:rPr>
      </w:pPr>
      <w:r w:rsidDel="00000000" w:rsidR="00000000" w:rsidRPr="00000000">
        <w:rPr>
          <w:sz w:val="24"/>
          <w:szCs w:val="24"/>
          <w:rtl w:val="0"/>
        </w:rPr>
        <w:t xml:space="preserve">Neste momento, existem seis tipos de seguro de saúde diferentes: </w:t>
      </w:r>
    </w:p>
    <w:p w:rsidR="00000000" w:rsidDel="00000000" w:rsidP="00000000" w:rsidRDefault="00000000" w:rsidRPr="00000000" w14:paraId="00000008">
      <w:pPr>
        <w:spacing w:line="360" w:lineRule="auto"/>
        <w:ind w:firstLine="397"/>
        <w:jc w:val="both"/>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Enterprise (Empresas Afiliadas)</w:t>
      </w:r>
    </w:p>
    <w:p w:rsidR="00000000" w:rsidDel="00000000" w:rsidP="00000000" w:rsidRDefault="00000000" w:rsidRPr="00000000" w14:paraId="00000009">
      <w:pPr>
        <w:spacing w:line="360" w:lineRule="auto"/>
        <w:ind w:firstLine="397"/>
        <w:jc w:val="both"/>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Seguro CareSimple</w:t>
      </w:r>
    </w:p>
    <w:p w:rsidR="00000000" w:rsidDel="00000000" w:rsidP="00000000" w:rsidRDefault="00000000" w:rsidRPr="00000000" w14:paraId="0000000A">
      <w:pPr>
        <w:spacing w:line="360" w:lineRule="auto"/>
        <w:ind w:firstLine="397"/>
        <w:jc w:val="both"/>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Seguro Care</w:t>
      </w:r>
    </w:p>
    <w:p w:rsidR="00000000" w:rsidDel="00000000" w:rsidP="00000000" w:rsidRDefault="00000000" w:rsidRPr="00000000" w14:paraId="0000000B">
      <w:pPr>
        <w:spacing w:line="360" w:lineRule="auto"/>
        <w:ind w:firstLine="397"/>
        <w:jc w:val="both"/>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Seguro CareAdvance </w:t>
      </w:r>
    </w:p>
    <w:p w:rsidR="00000000" w:rsidDel="00000000" w:rsidP="00000000" w:rsidRDefault="00000000" w:rsidRPr="00000000" w14:paraId="0000000C">
      <w:pPr>
        <w:spacing w:line="360" w:lineRule="auto"/>
        <w:ind w:firstLine="397"/>
        <w:jc w:val="both"/>
        <w:rPr>
          <w:b w:val="1"/>
          <w:sz w:val="24"/>
          <w:szCs w:val="24"/>
        </w:rPr>
      </w:pPr>
      <w:r w:rsidDel="00000000" w:rsidR="00000000" w:rsidRPr="00000000">
        <w:rPr>
          <w:b w:val="1"/>
          <w:sz w:val="24"/>
          <w:szCs w:val="24"/>
          <w:rtl w:val="0"/>
        </w:rPr>
        <w:t xml:space="preserve">e) </w:t>
      </w:r>
      <w:r w:rsidDel="00000000" w:rsidR="00000000" w:rsidRPr="00000000">
        <w:rPr>
          <w:sz w:val="24"/>
          <w:szCs w:val="24"/>
          <w:rtl w:val="0"/>
        </w:rPr>
        <w:t xml:space="preserve">Eventos</w:t>
      </w:r>
      <w:r w:rsidDel="00000000" w:rsidR="00000000" w:rsidRPr="00000000">
        <w:rPr>
          <w:rtl w:val="0"/>
        </w:rPr>
      </w:r>
    </w:p>
    <w:p w:rsidR="00000000" w:rsidDel="00000000" w:rsidP="00000000" w:rsidRDefault="00000000" w:rsidRPr="00000000" w14:paraId="0000000D">
      <w:pPr>
        <w:spacing w:line="360" w:lineRule="auto"/>
        <w:ind w:firstLine="397"/>
        <w:jc w:val="both"/>
        <w:rPr>
          <w:sz w:val="24"/>
          <w:szCs w:val="24"/>
        </w:rPr>
      </w:pPr>
      <w:r w:rsidDel="00000000" w:rsidR="00000000" w:rsidRPr="00000000">
        <w:rPr>
          <w:b w:val="1"/>
          <w:sz w:val="24"/>
          <w:szCs w:val="24"/>
          <w:rtl w:val="0"/>
        </w:rPr>
        <w:t xml:space="preserve">f) </w:t>
      </w:r>
      <w:r w:rsidDel="00000000" w:rsidR="00000000" w:rsidRPr="00000000">
        <w:rPr>
          <w:sz w:val="24"/>
          <w:szCs w:val="24"/>
          <w:rtl w:val="0"/>
        </w:rPr>
        <w:t xml:space="preserve">Funcionários do Estado fora de serviço</w:t>
      </w:r>
    </w:p>
    <w:p w:rsidR="00000000" w:rsidDel="00000000" w:rsidP="00000000" w:rsidRDefault="00000000" w:rsidRPr="00000000" w14:paraId="0000000E">
      <w:pPr>
        <w:spacing w:line="360" w:lineRule="auto"/>
        <w:ind w:firstLine="397"/>
        <w:jc w:val="both"/>
        <w:rPr>
          <w:b w:val="1"/>
          <w:sz w:val="24"/>
          <w:szCs w:val="24"/>
        </w:rPr>
      </w:pPr>
      <w:r w:rsidDel="00000000" w:rsidR="00000000" w:rsidRPr="00000000">
        <w:rPr>
          <w:rtl w:val="0"/>
        </w:rPr>
      </w:r>
    </w:p>
    <w:p w:rsidR="00000000" w:rsidDel="00000000" w:rsidP="00000000" w:rsidRDefault="00000000" w:rsidRPr="00000000" w14:paraId="0000000F">
      <w:pPr>
        <w:spacing w:line="360" w:lineRule="auto"/>
        <w:ind w:firstLine="397"/>
        <w:jc w:val="both"/>
        <w:rPr>
          <w:b w:val="1"/>
          <w:sz w:val="24"/>
          <w:szCs w:val="24"/>
        </w:rPr>
      </w:pPr>
      <w:r w:rsidDel="00000000" w:rsidR="00000000" w:rsidRPr="00000000">
        <w:rPr>
          <w:b w:val="1"/>
          <w:sz w:val="24"/>
          <w:szCs w:val="24"/>
          <w:rtl w:val="0"/>
        </w:rPr>
        <w:t xml:space="preserve">3 – Diferenciação dos Diferentes Seguros</w:t>
      </w:r>
    </w:p>
    <w:p w:rsidR="00000000" w:rsidDel="00000000" w:rsidP="00000000" w:rsidRDefault="00000000" w:rsidRPr="00000000" w14:paraId="00000010">
      <w:pPr>
        <w:spacing w:line="360" w:lineRule="auto"/>
        <w:ind w:firstLine="397"/>
        <w:jc w:val="both"/>
        <w:rPr>
          <w:b w:val="1"/>
          <w:sz w:val="24"/>
          <w:szCs w:val="24"/>
        </w:rPr>
      </w:pPr>
      <w:r w:rsidDel="00000000" w:rsidR="00000000" w:rsidRPr="00000000">
        <w:rPr>
          <w:b w:val="1"/>
          <w:sz w:val="24"/>
          <w:szCs w:val="24"/>
          <w:rtl w:val="0"/>
        </w:rPr>
        <w:t xml:space="preserve">3.1 Empresas Afiliadas</w:t>
      </w:r>
    </w:p>
    <w:p w:rsidR="00000000" w:rsidDel="00000000" w:rsidP="00000000" w:rsidRDefault="00000000" w:rsidRPr="00000000" w14:paraId="00000011">
      <w:pPr>
        <w:spacing w:line="360" w:lineRule="auto"/>
        <w:ind w:firstLine="397"/>
        <w:jc w:val="both"/>
        <w:rPr>
          <w:sz w:val="24"/>
          <w:szCs w:val="24"/>
        </w:rPr>
      </w:pPr>
      <w:r w:rsidDel="00000000" w:rsidR="00000000" w:rsidRPr="00000000">
        <w:rPr>
          <w:sz w:val="24"/>
          <w:szCs w:val="24"/>
          <w:rtl w:val="0"/>
        </w:rPr>
        <w:t xml:space="preserve">Este seguro apenas está disponível para donos ou funcionários de empresas privadas, mediante o estabelecimento de um acordo contratual. Consoante o número de beneficiários, é estabelecido um preço que deve ser pago quinzenalmente ou mensalmente. Só o diretor regional ou o diretor hospitalar é que podem fazer a devida aprovação deste seguro. Como benefício, os utentes recebem um desconto de 70% em qualquer tratamento, consulta, exame ou análises. Além disto, é ainda feita uma redução de 50% no custo das unidades médicas/bombeiros em eventos realizados pela empresa.  Por fim, as empresas têm ainda um desconto de 50% no custo das formações. </w:t>
      </w:r>
    </w:p>
    <w:p w:rsidR="00000000" w:rsidDel="00000000" w:rsidP="00000000" w:rsidRDefault="00000000" w:rsidRPr="00000000" w14:paraId="00000012">
      <w:pPr>
        <w:spacing w:line="360" w:lineRule="auto"/>
        <w:ind w:firstLine="397"/>
        <w:jc w:val="both"/>
        <w:rPr>
          <w:b w:val="1"/>
          <w:sz w:val="24"/>
          <w:szCs w:val="24"/>
        </w:rPr>
      </w:pPr>
      <w:r w:rsidDel="00000000" w:rsidR="00000000" w:rsidRPr="00000000">
        <w:rPr>
          <w:rtl w:val="0"/>
        </w:rPr>
      </w:r>
    </w:p>
    <w:p w:rsidR="00000000" w:rsidDel="00000000" w:rsidP="00000000" w:rsidRDefault="00000000" w:rsidRPr="00000000" w14:paraId="00000013">
      <w:pPr>
        <w:spacing w:line="360" w:lineRule="auto"/>
        <w:ind w:firstLine="397"/>
        <w:jc w:val="both"/>
        <w:rPr>
          <w:b w:val="1"/>
          <w:sz w:val="24"/>
          <w:szCs w:val="24"/>
        </w:rPr>
      </w:pPr>
      <w:r w:rsidDel="00000000" w:rsidR="00000000" w:rsidRPr="00000000">
        <w:rPr>
          <w:b w:val="1"/>
          <w:sz w:val="24"/>
          <w:szCs w:val="24"/>
          <w:rtl w:val="0"/>
        </w:rPr>
        <w:t xml:space="preserve">3.2 Seguro CareSimple</w:t>
      </w:r>
    </w:p>
    <w:p w:rsidR="00000000" w:rsidDel="00000000" w:rsidP="00000000" w:rsidRDefault="00000000" w:rsidRPr="00000000" w14:paraId="00000014">
      <w:pPr>
        <w:spacing w:line="360" w:lineRule="auto"/>
        <w:ind w:firstLine="397"/>
        <w:jc w:val="both"/>
        <w:rPr>
          <w:sz w:val="24"/>
          <w:szCs w:val="24"/>
        </w:rPr>
      </w:pPr>
      <w:r w:rsidDel="00000000" w:rsidR="00000000" w:rsidRPr="00000000">
        <w:rPr>
          <w:sz w:val="24"/>
          <w:szCs w:val="24"/>
          <w:rtl w:val="0"/>
        </w:rPr>
        <w:t xml:space="preserve">Este seguro está disponível para qualquer cidadão de Los Santos. Mediante o pagamento quinzenal de 1000€ ou mensal de 1750€, o utente tem direito a um desconto de 50% em qualquer tratamento, consulta, exame ou análises. </w:t>
      </w:r>
    </w:p>
    <w:p w:rsidR="00000000" w:rsidDel="00000000" w:rsidP="00000000" w:rsidRDefault="00000000" w:rsidRPr="00000000" w14:paraId="00000015">
      <w:pPr>
        <w:spacing w:line="360" w:lineRule="auto"/>
        <w:ind w:firstLine="397"/>
        <w:jc w:val="both"/>
        <w:rPr>
          <w:b w:val="1"/>
          <w:sz w:val="24"/>
          <w:szCs w:val="24"/>
        </w:rPr>
      </w:pPr>
      <w:r w:rsidDel="00000000" w:rsidR="00000000" w:rsidRPr="00000000">
        <w:rPr>
          <w:rtl w:val="0"/>
        </w:rPr>
      </w:r>
    </w:p>
    <w:p w:rsidR="00000000" w:rsidDel="00000000" w:rsidP="00000000" w:rsidRDefault="00000000" w:rsidRPr="00000000" w14:paraId="00000016">
      <w:pPr>
        <w:spacing w:line="360" w:lineRule="auto"/>
        <w:ind w:firstLine="397"/>
        <w:jc w:val="both"/>
        <w:rPr>
          <w:b w:val="1"/>
          <w:sz w:val="24"/>
          <w:szCs w:val="24"/>
        </w:rPr>
      </w:pPr>
      <w:r w:rsidDel="00000000" w:rsidR="00000000" w:rsidRPr="00000000">
        <w:rPr>
          <w:b w:val="1"/>
          <w:sz w:val="24"/>
          <w:szCs w:val="24"/>
          <w:rtl w:val="0"/>
        </w:rPr>
        <w:t xml:space="preserve">3.3 Seguro Care </w:t>
      </w:r>
    </w:p>
    <w:p w:rsidR="00000000" w:rsidDel="00000000" w:rsidP="00000000" w:rsidRDefault="00000000" w:rsidRPr="00000000" w14:paraId="00000017">
      <w:pPr>
        <w:spacing w:line="360" w:lineRule="auto"/>
        <w:ind w:firstLine="397"/>
        <w:jc w:val="both"/>
        <w:rPr>
          <w:sz w:val="24"/>
          <w:szCs w:val="24"/>
        </w:rPr>
      </w:pPr>
      <w:r w:rsidDel="00000000" w:rsidR="00000000" w:rsidRPr="00000000">
        <w:rPr>
          <w:sz w:val="24"/>
          <w:szCs w:val="24"/>
          <w:rtl w:val="0"/>
        </w:rPr>
        <w:t xml:space="preserve">Este seguro está disponível para qualquer cidadão de Los Santos. Mediante o pagamento quinzenal de 1500€ ou mensal de 2600€, o utente tem direito a um desconto de 70% em qualquer tratamento, consulta, exame ou análises. Além disto, o utente está isento do pagamento de qualquer consulta pós-cirúrgica/pós-tratamento. </w:t>
      </w:r>
    </w:p>
    <w:p w:rsidR="00000000" w:rsidDel="00000000" w:rsidP="00000000" w:rsidRDefault="00000000" w:rsidRPr="00000000" w14:paraId="00000018">
      <w:pPr>
        <w:spacing w:line="360" w:lineRule="auto"/>
        <w:ind w:firstLine="397"/>
        <w:jc w:val="both"/>
        <w:rPr>
          <w:b w:val="1"/>
          <w:sz w:val="24"/>
          <w:szCs w:val="24"/>
        </w:rPr>
      </w:pPr>
      <w:r w:rsidDel="00000000" w:rsidR="00000000" w:rsidRPr="00000000">
        <w:rPr>
          <w:rtl w:val="0"/>
        </w:rPr>
      </w:r>
    </w:p>
    <w:p w:rsidR="00000000" w:rsidDel="00000000" w:rsidP="00000000" w:rsidRDefault="00000000" w:rsidRPr="00000000" w14:paraId="00000019">
      <w:pPr>
        <w:spacing w:line="360" w:lineRule="auto"/>
        <w:ind w:firstLine="397"/>
        <w:jc w:val="both"/>
        <w:rPr>
          <w:b w:val="1"/>
          <w:sz w:val="24"/>
          <w:szCs w:val="24"/>
        </w:rPr>
      </w:pPr>
      <w:r w:rsidDel="00000000" w:rsidR="00000000" w:rsidRPr="00000000">
        <w:rPr>
          <w:b w:val="1"/>
          <w:sz w:val="24"/>
          <w:szCs w:val="24"/>
          <w:rtl w:val="0"/>
        </w:rPr>
        <w:t xml:space="preserve">3.4 Seguro CareAdvance </w:t>
      </w:r>
    </w:p>
    <w:p w:rsidR="00000000" w:rsidDel="00000000" w:rsidP="00000000" w:rsidRDefault="00000000" w:rsidRPr="00000000" w14:paraId="0000001A">
      <w:pPr>
        <w:spacing w:line="360" w:lineRule="auto"/>
        <w:ind w:firstLine="397"/>
        <w:jc w:val="both"/>
        <w:rPr>
          <w:sz w:val="24"/>
          <w:szCs w:val="24"/>
        </w:rPr>
      </w:pPr>
      <w:r w:rsidDel="00000000" w:rsidR="00000000" w:rsidRPr="00000000">
        <w:rPr>
          <w:sz w:val="24"/>
          <w:szCs w:val="24"/>
          <w:rtl w:val="0"/>
        </w:rPr>
        <w:t xml:space="preserve">Este seguro está disponível para qualquer cidadão de Los Santos. Mediante o pagamento quinzenal de 2000€ ou mensal de 3500€, o utente tem direito a um desconto de 100% em qualquer tratamento, consulta, exame ou análises. Além disto, o utente está isento do pagamento de qualquer formação e tem ainda direito a quatro consultas domiciliares gratuitas por mês. </w:t>
      </w:r>
    </w:p>
    <w:p w:rsidR="00000000" w:rsidDel="00000000" w:rsidP="00000000" w:rsidRDefault="00000000" w:rsidRPr="00000000" w14:paraId="0000001B">
      <w:pPr>
        <w:spacing w:line="360" w:lineRule="auto"/>
        <w:ind w:firstLine="397"/>
        <w:jc w:val="both"/>
        <w:rPr>
          <w:sz w:val="24"/>
          <w:szCs w:val="24"/>
        </w:rPr>
      </w:pPr>
      <w:r w:rsidDel="00000000" w:rsidR="00000000" w:rsidRPr="00000000">
        <w:rPr>
          <w:rtl w:val="0"/>
        </w:rPr>
      </w:r>
    </w:p>
    <w:p w:rsidR="00000000" w:rsidDel="00000000" w:rsidP="00000000" w:rsidRDefault="00000000" w:rsidRPr="00000000" w14:paraId="0000001C">
      <w:pPr>
        <w:spacing w:line="360" w:lineRule="auto"/>
        <w:ind w:firstLine="397"/>
        <w:jc w:val="both"/>
        <w:rPr>
          <w:b w:val="1"/>
          <w:sz w:val="24"/>
          <w:szCs w:val="24"/>
        </w:rPr>
      </w:pPr>
      <w:r w:rsidDel="00000000" w:rsidR="00000000" w:rsidRPr="00000000">
        <w:rPr>
          <w:b w:val="1"/>
          <w:sz w:val="24"/>
          <w:szCs w:val="24"/>
          <w:rtl w:val="0"/>
        </w:rPr>
        <w:t xml:space="preserve">3.5 Seguro para Eventos </w:t>
      </w:r>
    </w:p>
    <w:p w:rsidR="00000000" w:rsidDel="00000000" w:rsidP="00000000" w:rsidRDefault="00000000" w:rsidRPr="00000000" w14:paraId="0000001D">
      <w:pPr>
        <w:spacing w:line="360" w:lineRule="auto"/>
        <w:ind w:firstLine="397"/>
        <w:jc w:val="both"/>
        <w:rPr>
          <w:sz w:val="24"/>
          <w:szCs w:val="24"/>
        </w:rPr>
      </w:pPr>
      <w:r w:rsidDel="00000000" w:rsidR="00000000" w:rsidRPr="00000000">
        <w:rPr>
          <w:sz w:val="24"/>
          <w:szCs w:val="24"/>
          <w:rtl w:val="0"/>
        </w:rPr>
        <w:t xml:space="preserve">Este seguro só é válido durante o decorrer de um evento ou caso um/uma médico/a verifique que a lesão/ferimento ocorreu na participação dele. O preço é calculado para cada dia de evento, sendo o cálculo feito por número de participantes. Este seguro só pode ser aprovado por elementos da chefia mediante uma reunião com os organizadores do evento.</w:t>
      </w:r>
    </w:p>
    <w:p w:rsidR="00000000" w:rsidDel="00000000" w:rsidP="00000000" w:rsidRDefault="00000000" w:rsidRPr="00000000" w14:paraId="0000001E">
      <w:pPr>
        <w:spacing w:line="360" w:lineRule="auto"/>
        <w:ind w:firstLine="397"/>
        <w:jc w:val="both"/>
        <w:rPr>
          <w:sz w:val="24"/>
          <w:szCs w:val="24"/>
        </w:rPr>
      </w:pPr>
      <w:r w:rsidDel="00000000" w:rsidR="00000000" w:rsidRPr="00000000">
        <w:rPr>
          <w:rtl w:val="0"/>
        </w:rPr>
      </w:r>
    </w:p>
    <w:p w:rsidR="00000000" w:rsidDel="00000000" w:rsidP="00000000" w:rsidRDefault="00000000" w:rsidRPr="00000000" w14:paraId="0000001F">
      <w:pPr>
        <w:spacing w:line="360" w:lineRule="auto"/>
        <w:ind w:firstLine="397"/>
        <w:jc w:val="both"/>
        <w:rPr>
          <w:b w:val="1"/>
          <w:sz w:val="24"/>
          <w:szCs w:val="24"/>
        </w:rPr>
      </w:pPr>
      <w:r w:rsidDel="00000000" w:rsidR="00000000" w:rsidRPr="00000000">
        <w:rPr>
          <w:b w:val="1"/>
          <w:sz w:val="24"/>
          <w:szCs w:val="24"/>
          <w:rtl w:val="0"/>
        </w:rPr>
        <w:t xml:space="preserve">3.6 Funcionários do Estado fora de serviço</w:t>
      </w:r>
    </w:p>
    <w:p w:rsidR="00000000" w:rsidDel="00000000" w:rsidP="00000000" w:rsidRDefault="00000000" w:rsidRPr="00000000" w14:paraId="00000020">
      <w:pPr>
        <w:spacing w:line="360" w:lineRule="auto"/>
        <w:ind w:firstLine="397"/>
        <w:jc w:val="both"/>
        <w:rPr>
          <w:sz w:val="24"/>
          <w:szCs w:val="24"/>
        </w:rPr>
      </w:pPr>
      <w:r w:rsidDel="00000000" w:rsidR="00000000" w:rsidRPr="00000000">
        <w:rPr>
          <w:sz w:val="24"/>
          <w:szCs w:val="24"/>
          <w:rtl w:val="0"/>
        </w:rPr>
        <w:t xml:space="preserve">Este seguro é válido para qualquer funcionário do Estado fora de serviço (juízes, procuradores, polícias ou inspetores). Mediante o pagamento quinzenal de 650€ ou mensal de 1000€, o utente tem direito a um desconto de 100% em qualquer tratamento, consulta, exame ou análises. </w:t>
      </w:r>
    </w:p>
    <w:p w:rsidR="00000000" w:rsidDel="00000000" w:rsidP="00000000" w:rsidRDefault="00000000" w:rsidRPr="00000000" w14:paraId="00000021">
      <w:pPr>
        <w:spacing w:line="360" w:lineRule="auto"/>
        <w:ind w:firstLine="397"/>
        <w:jc w:val="both"/>
        <w:rPr>
          <w:sz w:val="24"/>
          <w:szCs w:val="24"/>
        </w:rPr>
      </w:pPr>
      <w:r w:rsidDel="00000000" w:rsidR="00000000" w:rsidRPr="00000000">
        <w:rPr>
          <w:rtl w:val="0"/>
        </w:rPr>
      </w:r>
    </w:p>
    <w:p w:rsidR="00000000" w:rsidDel="00000000" w:rsidP="00000000" w:rsidRDefault="00000000" w:rsidRPr="00000000" w14:paraId="00000022">
      <w:pPr>
        <w:spacing w:line="360" w:lineRule="auto"/>
        <w:ind w:firstLine="397"/>
        <w:jc w:val="both"/>
        <w:rPr>
          <w:b w:val="1"/>
          <w:sz w:val="24"/>
          <w:szCs w:val="24"/>
        </w:rPr>
      </w:pPr>
      <w:r w:rsidDel="00000000" w:rsidR="00000000" w:rsidRPr="00000000">
        <w:rPr>
          <w:b w:val="1"/>
          <w:sz w:val="24"/>
          <w:szCs w:val="24"/>
          <w:rtl w:val="0"/>
        </w:rPr>
        <w:t xml:space="preserve">4. Plano de Saúde – Médico de Família</w:t>
      </w:r>
    </w:p>
    <w:p w:rsidR="00000000" w:rsidDel="00000000" w:rsidP="00000000" w:rsidRDefault="00000000" w:rsidRPr="00000000" w14:paraId="00000023">
      <w:pPr>
        <w:spacing w:line="360" w:lineRule="auto"/>
        <w:ind w:firstLine="397"/>
        <w:jc w:val="both"/>
        <w:rPr>
          <w:sz w:val="24"/>
          <w:szCs w:val="24"/>
        </w:rPr>
      </w:pPr>
      <w:r w:rsidDel="00000000" w:rsidR="00000000" w:rsidRPr="00000000">
        <w:rPr>
          <w:sz w:val="24"/>
          <w:szCs w:val="24"/>
          <w:rtl w:val="0"/>
        </w:rPr>
        <w:t xml:space="preserve">No caso de um utente ter um médico de família associado, recebe um desconto de 20% em consultas da especialidade “Medicina Geral”. </w:t>
      </w:r>
    </w:p>
    <w:p w:rsidR="00000000" w:rsidDel="00000000" w:rsidP="00000000" w:rsidRDefault="00000000" w:rsidRPr="00000000" w14:paraId="00000024">
      <w:pPr>
        <w:spacing w:line="360" w:lineRule="auto"/>
        <w:ind w:firstLine="397"/>
        <w:jc w:val="both"/>
        <w:rPr>
          <w:sz w:val="24"/>
          <w:szCs w:val="24"/>
        </w:rPr>
      </w:pPr>
      <w:r w:rsidDel="00000000" w:rsidR="00000000" w:rsidRPr="00000000">
        <w:rPr>
          <w:rtl w:val="0"/>
        </w:rPr>
      </w:r>
    </w:p>
    <w:p w:rsidR="00000000" w:rsidDel="00000000" w:rsidP="00000000" w:rsidRDefault="00000000" w:rsidRPr="00000000" w14:paraId="00000025">
      <w:pPr>
        <w:spacing w:line="360" w:lineRule="auto"/>
        <w:ind w:firstLine="397"/>
        <w:jc w:val="both"/>
        <w:rPr>
          <w:b w:val="1"/>
          <w:sz w:val="24"/>
          <w:szCs w:val="24"/>
        </w:rPr>
      </w:pPr>
      <w:r w:rsidDel="00000000" w:rsidR="00000000" w:rsidRPr="00000000">
        <w:rPr>
          <w:b w:val="1"/>
          <w:sz w:val="24"/>
          <w:szCs w:val="24"/>
          <w:rtl w:val="0"/>
        </w:rPr>
        <w:t xml:space="preserve">5. Funcionários do Estado (de serviço)</w:t>
      </w:r>
    </w:p>
    <w:p w:rsidR="00000000" w:rsidDel="00000000" w:rsidP="00000000" w:rsidRDefault="00000000" w:rsidRPr="00000000" w14:paraId="00000026">
      <w:pPr>
        <w:spacing w:line="360" w:lineRule="auto"/>
        <w:ind w:firstLine="397"/>
        <w:jc w:val="both"/>
        <w:rPr>
          <w:sz w:val="24"/>
          <w:szCs w:val="24"/>
        </w:rPr>
      </w:pPr>
      <w:r w:rsidDel="00000000" w:rsidR="00000000" w:rsidRPr="00000000">
        <w:rPr>
          <w:sz w:val="24"/>
          <w:szCs w:val="24"/>
          <w:rtl w:val="0"/>
        </w:rPr>
        <w:t xml:space="preserve">Qualquer funcionário dos quadros do estado (agente da polícia, inspetor do núcleo de investigação federal, juiz ou procurador do departamento de justiça) não paga qualquer custo médico, se estiver em serviço. </w:t>
      </w:r>
    </w:p>
    <w:p w:rsidR="00000000" w:rsidDel="00000000" w:rsidP="00000000" w:rsidRDefault="00000000" w:rsidRPr="00000000" w14:paraId="00000027">
      <w:pPr>
        <w:spacing w:line="360" w:lineRule="auto"/>
        <w:ind w:firstLine="397"/>
        <w:jc w:val="both"/>
        <w:rPr>
          <w:sz w:val="24"/>
          <w:szCs w:val="24"/>
        </w:rPr>
      </w:pPr>
      <w:r w:rsidDel="00000000" w:rsidR="00000000" w:rsidRPr="00000000">
        <w:rPr>
          <w:rtl w:val="0"/>
        </w:rPr>
      </w:r>
    </w:p>
    <w:p w:rsidR="00000000" w:rsidDel="00000000" w:rsidP="00000000" w:rsidRDefault="00000000" w:rsidRPr="00000000" w14:paraId="00000028">
      <w:pPr>
        <w:spacing w:line="360" w:lineRule="auto"/>
        <w:ind w:firstLine="397"/>
        <w:jc w:val="both"/>
        <w:rPr>
          <w:b w:val="1"/>
          <w:sz w:val="24"/>
          <w:szCs w:val="24"/>
        </w:rPr>
      </w:pPr>
      <w:r w:rsidDel="00000000" w:rsidR="00000000" w:rsidRPr="00000000">
        <w:rPr>
          <w:b w:val="1"/>
          <w:sz w:val="24"/>
          <w:szCs w:val="24"/>
          <w:rtl w:val="0"/>
        </w:rPr>
        <w:t xml:space="preserve">6. Membros da DSE</w:t>
      </w:r>
    </w:p>
    <w:p w:rsidR="00000000" w:rsidDel="00000000" w:rsidP="00000000" w:rsidRDefault="00000000" w:rsidRPr="00000000" w14:paraId="00000029">
      <w:pPr>
        <w:spacing w:line="360" w:lineRule="auto"/>
        <w:ind w:firstLine="397"/>
        <w:jc w:val="both"/>
        <w:rPr>
          <w:sz w:val="24"/>
          <w:szCs w:val="24"/>
        </w:rPr>
      </w:pPr>
      <w:r w:rsidDel="00000000" w:rsidR="00000000" w:rsidRPr="00000000">
        <w:rPr>
          <w:sz w:val="24"/>
          <w:szCs w:val="24"/>
          <w:rtl w:val="0"/>
        </w:rPr>
        <w:t xml:space="preserve">Os membros da DSE têm direito a um seguro de saúde que comparticipa 100% de qualquer custo hospitalar (com a exceção da compra de materiais médicos), estando ou não de serviço. </w:t>
      </w:r>
    </w:p>
    <w:p w:rsidR="00000000" w:rsidDel="00000000" w:rsidP="00000000" w:rsidRDefault="00000000" w:rsidRPr="00000000" w14:paraId="0000002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D">
      <w:pPr>
        <w:spacing w:line="360" w:lineRule="auto"/>
        <w:ind w:firstLine="397"/>
        <w:jc w:val="both"/>
        <w:rPr>
          <w:sz w:val="24"/>
          <w:szCs w:val="24"/>
        </w:rPr>
      </w:pPr>
      <w:r w:rsidDel="00000000" w:rsidR="00000000" w:rsidRPr="00000000">
        <w:rPr>
          <w:rtl w:val="0"/>
        </w:rPr>
      </w:r>
    </w:p>
    <w:p w:rsidR="00000000" w:rsidDel="00000000" w:rsidP="00000000" w:rsidRDefault="00000000" w:rsidRPr="00000000" w14:paraId="0000002E">
      <w:pPr>
        <w:spacing w:line="360" w:lineRule="auto"/>
        <w:ind w:firstLine="397"/>
        <w:jc w:val="both"/>
        <w:rPr>
          <w:b w:val="1"/>
          <w:sz w:val="24"/>
          <w:szCs w:val="24"/>
        </w:rPr>
      </w:pPr>
      <w:r w:rsidDel="00000000" w:rsidR="00000000" w:rsidRPr="00000000">
        <w:rPr>
          <w:b w:val="1"/>
          <w:sz w:val="24"/>
          <w:szCs w:val="24"/>
          <w:rtl w:val="0"/>
        </w:rPr>
        <w:t xml:space="preserve">7. Tabelas Práticas</w:t>
      </w:r>
    </w:p>
    <w:p w:rsidR="00000000" w:rsidDel="00000000" w:rsidP="00000000" w:rsidRDefault="00000000" w:rsidRPr="00000000" w14:paraId="0000002F">
      <w:pPr>
        <w:spacing w:line="360" w:lineRule="auto"/>
        <w:ind w:firstLine="397"/>
        <w:jc w:val="both"/>
        <w:rPr>
          <w:sz w:val="24"/>
          <w:szCs w:val="24"/>
        </w:rPr>
      </w:pPr>
      <w:r w:rsidDel="00000000" w:rsidR="00000000" w:rsidRPr="00000000">
        <w:rPr>
          <w:i w:val="1"/>
          <w:sz w:val="24"/>
          <w:szCs w:val="24"/>
          <w:rtl w:val="0"/>
        </w:rPr>
        <w:t xml:space="preserve">Tabela Geral:</w:t>
      </w:r>
      <w:r w:rsidDel="00000000" w:rsidR="00000000" w:rsidRPr="00000000">
        <w:rPr>
          <w:rtl w:val="0"/>
        </w:rPr>
      </w:r>
    </w:p>
    <w:tbl>
      <w:tblPr>
        <w:tblStyle w:val="Table1"/>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1"/>
        <w:gridCol w:w="2031"/>
        <w:gridCol w:w="2018"/>
        <w:gridCol w:w="2206"/>
        <w:gridCol w:w="1554"/>
        <w:tblGridChange w:id="0">
          <w:tblGrid>
            <w:gridCol w:w="2251"/>
            <w:gridCol w:w="2031"/>
            <w:gridCol w:w="2018"/>
            <w:gridCol w:w="2206"/>
            <w:gridCol w:w="1554"/>
          </w:tblGrid>
        </w:tblGridChange>
      </w:tblGrid>
      <w:tr>
        <w:trPr>
          <w:cantSplit w:val="0"/>
          <w:trHeight w:val="1125" w:hRule="atLeast"/>
          <w:tblHeader w:val="0"/>
        </w:trPr>
        <w:tc>
          <w:tcPr/>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Tipo de Seguro</w:t>
            </w:r>
          </w:p>
        </w:tc>
        <w:tc>
          <w:tcPr/>
          <w:p w:rsidR="00000000" w:rsidDel="00000000" w:rsidP="00000000" w:rsidRDefault="00000000" w:rsidRPr="00000000" w14:paraId="00000031">
            <w:pPr>
              <w:spacing w:line="360" w:lineRule="auto"/>
              <w:jc w:val="both"/>
              <w:rPr>
                <w:sz w:val="20"/>
                <w:szCs w:val="20"/>
              </w:rPr>
            </w:pPr>
            <w:r w:rsidDel="00000000" w:rsidR="00000000" w:rsidRPr="00000000">
              <w:rPr>
                <w:sz w:val="24"/>
                <w:szCs w:val="24"/>
                <w:rtl w:val="0"/>
              </w:rPr>
              <w:t xml:space="preserve">Comparticipação </w:t>
            </w:r>
            <w:r w:rsidDel="00000000" w:rsidR="00000000" w:rsidRPr="00000000">
              <w:rPr>
                <w:sz w:val="20"/>
                <w:szCs w:val="20"/>
                <w:rtl w:val="0"/>
              </w:rPr>
              <w:t xml:space="preserve">(consultar doc)</w:t>
            </w:r>
          </w:p>
        </w:tc>
        <w:tc>
          <w:tcPr/>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Valor Quinzenal</w:t>
            </w:r>
          </w:p>
        </w:tc>
        <w:tc>
          <w:tcPr/>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Valor Mensal</w:t>
            </w:r>
          </w:p>
        </w:tc>
        <w:tc>
          <w:tcPr/>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Valor Diário</w:t>
            </w:r>
          </w:p>
        </w:tc>
      </w:tr>
      <w:tr>
        <w:trPr>
          <w:cantSplit w:val="0"/>
          <w:trHeight w:val="499" w:hRule="atLeast"/>
          <w:tblHeader w:val="0"/>
        </w:trPr>
        <w:tc>
          <w:tcPr/>
          <w:p w:rsidR="00000000" w:rsidDel="00000000" w:rsidP="00000000" w:rsidRDefault="00000000" w:rsidRPr="00000000" w14:paraId="00000035">
            <w:pPr>
              <w:spacing w:line="360" w:lineRule="auto"/>
              <w:jc w:val="both"/>
              <w:rPr>
                <w:sz w:val="24"/>
                <w:szCs w:val="24"/>
              </w:rPr>
            </w:pPr>
            <w:r w:rsidDel="00000000" w:rsidR="00000000" w:rsidRPr="00000000">
              <w:rPr>
                <w:color w:val="0070c0"/>
                <w:sz w:val="24"/>
                <w:szCs w:val="24"/>
                <w:rtl w:val="0"/>
              </w:rPr>
              <w:t xml:space="preserve">CareSimple</w:t>
            </w:r>
            <w:r w:rsidDel="00000000" w:rsidR="00000000" w:rsidRPr="00000000">
              <w:rPr>
                <w:rtl w:val="0"/>
              </w:rPr>
            </w:r>
          </w:p>
        </w:tc>
        <w:tc>
          <w:tcPr/>
          <w:p w:rsidR="00000000" w:rsidDel="00000000" w:rsidP="00000000" w:rsidRDefault="00000000" w:rsidRPr="00000000" w14:paraId="00000036">
            <w:pPr>
              <w:spacing w:line="360" w:lineRule="auto"/>
              <w:jc w:val="both"/>
              <w:rPr>
                <w:sz w:val="20"/>
                <w:szCs w:val="20"/>
              </w:rPr>
            </w:pPr>
            <w:r w:rsidDel="00000000" w:rsidR="00000000" w:rsidRPr="00000000">
              <w:rPr>
                <w:sz w:val="24"/>
                <w:szCs w:val="24"/>
                <w:rtl w:val="0"/>
              </w:rPr>
              <w:t xml:space="preserve">50% - </w:t>
            </w:r>
            <w:r w:rsidDel="00000000" w:rsidR="00000000" w:rsidRPr="00000000">
              <w:rPr>
                <w:sz w:val="20"/>
                <w:szCs w:val="20"/>
                <w:rtl w:val="0"/>
              </w:rPr>
              <w:t xml:space="preserve">Tratamentos, consultas, análises, cirurgias.</w:t>
            </w:r>
          </w:p>
        </w:tc>
        <w:tc>
          <w:tcPr/>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1000€</w:t>
            </w:r>
          </w:p>
        </w:tc>
        <w:tc>
          <w:tcPr/>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1750€</w:t>
            </w:r>
          </w:p>
        </w:tc>
        <w:tc>
          <w:tcPr/>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w:t>
            </w:r>
          </w:p>
        </w:tc>
      </w:tr>
      <w:tr>
        <w:trPr>
          <w:cantSplit w:val="0"/>
          <w:trHeight w:val="499" w:hRule="atLeast"/>
          <w:tblHeader w:val="0"/>
        </w:trPr>
        <w:tc>
          <w:tcPr/>
          <w:p w:rsidR="00000000" w:rsidDel="00000000" w:rsidP="00000000" w:rsidRDefault="00000000" w:rsidRPr="00000000" w14:paraId="0000003A">
            <w:pPr>
              <w:spacing w:line="360" w:lineRule="auto"/>
              <w:jc w:val="both"/>
              <w:rPr>
                <w:sz w:val="24"/>
                <w:szCs w:val="24"/>
              </w:rPr>
            </w:pPr>
            <w:r w:rsidDel="00000000" w:rsidR="00000000" w:rsidRPr="00000000">
              <w:rPr>
                <w:color w:val="0070c0"/>
                <w:sz w:val="24"/>
                <w:szCs w:val="24"/>
                <w:rtl w:val="0"/>
              </w:rPr>
              <w:t xml:space="preserve">Care</w:t>
            </w:r>
            <w:r w:rsidDel="00000000" w:rsidR="00000000" w:rsidRPr="00000000">
              <w:rPr>
                <w:rtl w:val="0"/>
              </w:rPr>
            </w:r>
          </w:p>
        </w:tc>
        <w:tc>
          <w:tcPr/>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70% - </w:t>
            </w:r>
            <w:r w:rsidDel="00000000" w:rsidR="00000000" w:rsidRPr="00000000">
              <w:rPr>
                <w:sz w:val="20"/>
                <w:szCs w:val="20"/>
                <w:rtl w:val="0"/>
              </w:rPr>
              <w:t xml:space="preserve">Tratamentos, consultas, análises, cirurgias.</w:t>
            </w:r>
            <w:r w:rsidDel="00000000" w:rsidR="00000000" w:rsidRPr="00000000">
              <w:rPr>
                <w:rtl w:val="0"/>
              </w:rPr>
            </w:r>
          </w:p>
        </w:tc>
        <w:tc>
          <w:tcPr/>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1500€</w:t>
            </w:r>
          </w:p>
        </w:tc>
        <w:tc>
          <w:tcPr/>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2600€</w:t>
            </w:r>
          </w:p>
        </w:tc>
        <w:tc>
          <w:tcPr/>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w:t>
            </w:r>
          </w:p>
        </w:tc>
      </w:tr>
      <w:tr>
        <w:trPr>
          <w:cantSplit w:val="0"/>
          <w:trHeight w:val="499" w:hRule="atLeast"/>
          <w:tblHeader w:val="0"/>
        </w:trPr>
        <w:tc>
          <w:tcPr/>
          <w:p w:rsidR="00000000" w:rsidDel="00000000" w:rsidP="00000000" w:rsidRDefault="00000000" w:rsidRPr="00000000" w14:paraId="0000003F">
            <w:pPr>
              <w:spacing w:line="360" w:lineRule="auto"/>
              <w:jc w:val="both"/>
              <w:rPr>
                <w:sz w:val="24"/>
                <w:szCs w:val="24"/>
              </w:rPr>
            </w:pPr>
            <w:r w:rsidDel="00000000" w:rsidR="00000000" w:rsidRPr="00000000">
              <w:rPr>
                <w:color w:val="0070c0"/>
                <w:sz w:val="24"/>
                <w:szCs w:val="24"/>
                <w:rtl w:val="0"/>
              </w:rPr>
              <w:t xml:space="preserve">CareAdvance</w:t>
            </w:r>
            <w:r w:rsidDel="00000000" w:rsidR="00000000" w:rsidRPr="00000000">
              <w:rPr>
                <w:rtl w:val="0"/>
              </w:rPr>
            </w:r>
          </w:p>
        </w:tc>
        <w:tc>
          <w:tcPr/>
          <w:p w:rsidR="00000000" w:rsidDel="00000000" w:rsidP="00000000" w:rsidRDefault="00000000" w:rsidRPr="00000000" w14:paraId="00000040">
            <w:pPr>
              <w:spacing w:line="360" w:lineRule="auto"/>
              <w:jc w:val="both"/>
              <w:rPr>
                <w:sz w:val="20"/>
                <w:szCs w:val="20"/>
              </w:rPr>
            </w:pPr>
            <w:r w:rsidDel="00000000" w:rsidR="00000000" w:rsidRPr="00000000">
              <w:rPr>
                <w:sz w:val="24"/>
                <w:szCs w:val="24"/>
                <w:rtl w:val="0"/>
              </w:rPr>
              <w:t xml:space="preserve">100% </w:t>
            </w:r>
            <w:r w:rsidDel="00000000" w:rsidR="00000000" w:rsidRPr="00000000">
              <w:rPr>
                <w:sz w:val="20"/>
                <w:szCs w:val="20"/>
                <w:rtl w:val="0"/>
              </w:rPr>
              <w:t xml:space="preserve">- Tratamentos, consultas, análises, cirurgias.</w:t>
            </w:r>
          </w:p>
        </w:tc>
        <w:tc>
          <w:tcPr/>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2000€</w:t>
            </w:r>
          </w:p>
        </w:tc>
        <w:tc>
          <w:tcPr/>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3500€</w:t>
            </w:r>
          </w:p>
        </w:tc>
        <w:tc>
          <w:tcPr/>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w:t>
            </w:r>
          </w:p>
        </w:tc>
      </w:tr>
      <w:tr>
        <w:trPr>
          <w:cantSplit w:val="0"/>
          <w:trHeight w:val="499" w:hRule="atLeast"/>
          <w:tblHeader w:val="0"/>
        </w:trPr>
        <w:tc>
          <w:tcPr/>
          <w:p w:rsidR="00000000" w:rsidDel="00000000" w:rsidP="00000000" w:rsidRDefault="00000000" w:rsidRPr="00000000" w14:paraId="00000044">
            <w:pPr>
              <w:spacing w:line="360" w:lineRule="auto"/>
              <w:jc w:val="both"/>
              <w:rPr>
                <w:color w:val="ff0000"/>
                <w:sz w:val="24"/>
                <w:szCs w:val="24"/>
              </w:rPr>
            </w:pPr>
            <w:r w:rsidDel="00000000" w:rsidR="00000000" w:rsidRPr="00000000">
              <w:rPr>
                <w:color w:val="ff0000"/>
                <w:sz w:val="24"/>
                <w:szCs w:val="24"/>
                <w:rtl w:val="0"/>
              </w:rPr>
              <w:t xml:space="preserve">Enterprise</w:t>
            </w:r>
          </w:p>
          <w:p w:rsidR="00000000" w:rsidDel="00000000" w:rsidP="00000000" w:rsidRDefault="00000000" w:rsidRPr="00000000" w14:paraId="00000045">
            <w:pPr>
              <w:spacing w:line="360" w:lineRule="auto"/>
              <w:jc w:val="both"/>
              <w:rPr>
                <w:sz w:val="24"/>
                <w:szCs w:val="24"/>
              </w:rPr>
            </w:pPr>
            <w:r w:rsidDel="00000000" w:rsidR="00000000" w:rsidRPr="00000000">
              <w:rPr>
                <w:color w:val="ff0000"/>
                <w:sz w:val="24"/>
                <w:szCs w:val="24"/>
                <w:rtl w:val="0"/>
              </w:rPr>
              <w:t xml:space="preserve">(Só pode ser negociado e validado por membros da chefia)</w:t>
            </w:r>
            <w:r w:rsidDel="00000000" w:rsidR="00000000" w:rsidRPr="00000000">
              <w:rPr>
                <w:rtl w:val="0"/>
              </w:rPr>
            </w:r>
          </w:p>
        </w:tc>
        <w:tc>
          <w:tcPr/>
          <w:p w:rsidR="00000000" w:rsidDel="00000000" w:rsidP="00000000" w:rsidRDefault="00000000" w:rsidRPr="00000000" w14:paraId="00000046">
            <w:pPr>
              <w:spacing w:line="360" w:lineRule="auto"/>
              <w:jc w:val="both"/>
              <w:rPr/>
            </w:pPr>
            <w:r w:rsidDel="00000000" w:rsidR="00000000" w:rsidRPr="00000000">
              <w:rPr>
                <w:rtl w:val="0"/>
              </w:rPr>
              <w:t xml:space="preserve">70% - Tratamentos, consultas, análises, cirurgias.</w:t>
            </w:r>
          </w:p>
        </w:tc>
        <w:tc>
          <w:tcPr/>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1-3: 1250€ </w:t>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4-7: 1100€</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8-…: 1000€</w:t>
              <w:br w:type="textWrapping"/>
              <w:t xml:space="preserve">(por pessoa)</w:t>
            </w:r>
          </w:p>
        </w:tc>
        <w:tc>
          <w:tcPr/>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1-3: 10%*</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4-7: 15%*</w:t>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8-…: 20%*</w:t>
              <w:br w:type="textWrapping"/>
              <w:t xml:space="preserve">*Redução no preço da fatura total </w:t>
              <w:br w:type="textWrapping"/>
              <w:t xml:space="preserve">(por pessoa)</w:t>
            </w:r>
          </w:p>
        </w:tc>
        <w:tc>
          <w:tcPr/>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w:t>
            </w:r>
          </w:p>
        </w:tc>
      </w:tr>
      <w:tr>
        <w:trPr>
          <w:cantSplit w:val="0"/>
          <w:trHeight w:val="499" w:hRule="atLeast"/>
          <w:tblHeader w:val="0"/>
        </w:trPr>
        <w:tc>
          <w:tcPr/>
          <w:p w:rsidR="00000000" w:rsidDel="00000000" w:rsidP="00000000" w:rsidRDefault="00000000" w:rsidRPr="00000000" w14:paraId="0000004E">
            <w:pPr>
              <w:spacing w:line="360" w:lineRule="auto"/>
              <w:jc w:val="both"/>
              <w:rPr>
                <w:color w:val="00b050"/>
                <w:sz w:val="24"/>
                <w:szCs w:val="24"/>
              </w:rPr>
            </w:pPr>
            <w:r w:rsidDel="00000000" w:rsidR="00000000" w:rsidRPr="00000000">
              <w:rPr>
                <w:color w:val="00b050"/>
                <w:sz w:val="24"/>
                <w:szCs w:val="24"/>
                <w:rtl w:val="0"/>
              </w:rPr>
              <w:t xml:space="preserve">Eventos </w:t>
            </w:r>
          </w:p>
          <w:p w:rsidR="00000000" w:rsidDel="00000000" w:rsidP="00000000" w:rsidRDefault="00000000" w:rsidRPr="00000000" w14:paraId="0000004F">
            <w:pPr>
              <w:spacing w:line="360" w:lineRule="auto"/>
              <w:jc w:val="both"/>
              <w:rPr>
                <w:sz w:val="24"/>
                <w:szCs w:val="24"/>
              </w:rPr>
            </w:pPr>
            <w:r w:rsidDel="00000000" w:rsidR="00000000" w:rsidRPr="00000000">
              <w:rPr>
                <w:color w:val="00b050"/>
                <w:sz w:val="24"/>
                <w:szCs w:val="24"/>
                <w:rtl w:val="0"/>
              </w:rPr>
              <w:t xml:space="preserve">(Só pode ser negociado e validado por membros da chefia)</w:t>
            </w:r>
            <w:r w:rsidDel="00000000" w:rsidR="00000000" w:rsidRPr="00000000">
              <w:rPr>
                <w:rtl w:val="0"/>
              </w:rPr>
            </w:r>
          </w:p>
        </w:tc>
        <w:tc>
          <w:tcPr/>
          <w:p w:rsidR="00000000" w:rsidDel="00000000" w:rsidP="00000000" w:rsidRDefault="00000000" w:rsidRPr="00000000" w14:paraId="00000050">
            <w:pPr>
              <w:spacing w:line="360" w:lineRule="auto"/>
              <w:jc w:val="both"/>
              <w:rPr>
                <w:sz w:val="20"/>
                <w:szCs w:val="20"/>
              </w:rPr>
            </w:pPr>
            <w:r w:rsidDel="00000000" w:rsidR="00000000" w:rsidRPr="00000000">
              <w:rPr>
                <w:sz w:val="24"/>
                <w:szCs w:val="24"/>
                <w:rtl w:val="0"/>
              </w:rPr>
              <w:t xml:space="preserve">100% </w:t>
            </w:r>
            <w:r w:rsidDel="00000000" w:rsidR="00000000" w:rsidRPr="00000000">
              <w:rPr>
                <w:sz w:val="20"/>
                <w:szCs w:val="20"/>
                <w:rtl w:val="0"/>
              </w:rPr>
              <w:t xml:space="preserve">(só é válido durante o decorrer do evento ou caso um médico verifique que a lesão/ferimento decorreu durante o evento [é preciso relatar])</w:t>
            </w:r>
          </w:p>
        </w:tc>
        <w:tc>
          <w:tcPr/>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53">
            <w:pPr>
              <w:spacing w:line="360" w:lineRule="auto"/>
              <w:jc w:val="both"/>
              <w:rPr/>
            </w:pPr>
            <w:r w:rsidDel="00000000" w:rsidR="00000000" w:rsidRPr="00000000">
              <w:rPr>
                <w:rtl w:val="0"/>
              </w:rPr>
              <w:t xml:space="preserve">1-10: 125€ por pessoa*</w:t>
            </w:r>
          </w:p>
          <w:p w:rsidR="00000000" w:rsidDel="00000000" w:rsidP="00000000" w:rsidRDefault="00000000" w:rsidRPr="00000000" w14:paraId="00000054">
            <w:pPr>
              <w:spacing w:line="360" w:lineRule="auto"/>
              <w:jc w:val="both"/>
              <w:rPr/>
            </w:pPr>
            <w:r w:rsidDel="00000000" w:rsidR="00000000" w:rsidRPr="00000000">
              <w:rPr>
                <w:rtl w:val="0"/>
              </w:rPr>
              <w:t xml:space="preserve">11-20: 100€ por pessoa*</w:t>
            </w:r>
          </w:p>
          <w:p w:rsidR="00000000" w:rsidDel="00000000" w:rsidP="00000000" w:rsidRDefault="00000000" w:rsidRPr="00000000" w14:paraId="00000055">
            <w:pPr>
              <w:spacing w:line="360" w:lineRule="auto"/>
              <w:jc w:val="both"/>
              <w:rPr>
                <w:sz w:val="24"/>
                <w:szCs w:val="24"/>
              </w:rPr>
            </w:pPr>
            <w:r w:rsidDel="00000000" w:rsidR="00000000" w:rsidRPr="00000000">
              <w:rPr>
                <w:rtl w:val="0"/>
              </w:rPr>
              <w:t xml:space="preserve">21-…: 85€ por pessoa*</w:t>
              <w:br w:type="textWrapping"/>
            </w:r>
            <w:r w:rsidDel="00000000" w:rsidR="00000000" w:rsidRPr="00000000">
              <w:rPr>
                <w:sz w:val="16"/>
                <w:szCs w:val="16"/>
                <w:rtl w:val="0"/>
              </w:rPr>
              <w:t xml:space="preserve">*Este valor pode ser negociado por membros da chefia</w:t>
            </w: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56">
            <w:pPr>
              <w:spacing w:line="360" w:lineRule="auto"/>
              <w:jc w:val="both"/>
              <w:rPr>
                <w:sz w:val="24"/>
                <w:szCs w:val="24"/>
              </w:rPr>
            </w:pPr>
            <w:r w:rsidDel="00000000" w:rsidR="00000000" w:rsidRPr="00000000">
              <w:rPr>
                <w:color w:val="002060"/>
                <w:sz w:val="24"/>
                <w:szCs w:val="24"/>
                <w:rtl w:val="0"/>
              </w:rPr>
              <w:t xml:space="preserve">Funcionários do Estado fora de serviço</w:t>
            </w:r>
            <w:r w:rsidDel="00000000" w:rsidR="00000000" w:rsidRPr="00000000">
              <w:rPr>
                <w:rtl w:val="0"/>
              </w:rPr>
            </w:r>
          </w:p>
        </w:tc>
        <w:tc>
          <w:tcPr/>
          <w:p w:rsidR="00000000" w:rsidDel="00000000" w:rsidP="00000000" w:rsidRDefault="00000000" w:rsidRPr="00000000" w14:paraId="00000057">
            <w:pPr>
              <w:spacing w:line="360" w:lineRule="auto"/>
              <w:jc w:val="both"/>
              <w:rPr>
                <w:sz w:val="24"/>
                <w:szCs w:val="24"/>
              </w:rPr>
            </w:pPr>
            <w:r w:rsidDel="00000000" w:rsidR="00000000" w:rsidRPr="00000000">
              <w:rPr>
                <w:sz w:val="20"/>
                <w:szCs w:val="20"/>
                <w:rtl w:val="0"/>
              </w:rPr>
              <w:t xml:space="preserve">100% (válido para funcionários do Estado – polícias, inspetores, procuradores ou juízes)</w:t>
            </w:r>
            <w:r w:rsidDel="00000000" w:rsidR="00000000" w:rsidRPr="00000000">
              <w:rPr>
                <w:rtl w:val="0"/>
              </w:rPr>
            </w:r>
          </w:p>
        </w:tc>
        <w:tc>
          <w:tcPr/>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650€</w:t>
            </w:r>
          </w:p>
        </w:tc>
        <w:tc>
          <w:tcPr/>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1000€</w:t>
            </w:r>
          </w:p>
        </w:tc>
        <w:tc>
          <w:tcPr/>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5B">
      <w:pPr>
        <w:spacing w:line="360" w:lineRule="auto"/>
        <w:ind w:firstLine="397"/>
        <w:jc w:val="both"/>
        <w:rPr>
          <w:i w:val="1"/>
          <w:sz w:val="24"/>
          <w:szCs w:val="24"/>
        </w:rPr>
      </w:pPr>
      <w:r w:rsidDel="00000000" w:rsidR="00000000" w:rsidRPr="00000000">
        <w:rPr>
          <w:rtl w:val="0"/>
        </w:rPr>
      </w:r>
    </w:p>
    <w:p w:rsidR="00000000" w:rsidDel="00000000" w:rsidP="00000000" w:rsidRDefault="00000000" w:rsidRPr="00000000" w14:paraId="0000005C">
      <w:pPr>
        <w:spacing w:line="360" w:lineRule="auto"/>
        <w:jc w:val="both"/>
        <w:rPr>
          <w:i w:val="1"/>
          <w:sz w:val="24"/>
          <w:szCs w:val="24"/>
        </w:rPr>
      </w:pPr>
      <w:r w:rsidDel="00000000" w:rsidR="00000000" w:rsidRPr="00000000">
        <w:rPr>
          <w:i w:val="1"/>
          <w:sz w:val="24"/>
          <w:szCs w:val="24"/>
          <w:rtl w:val="0"/>
        </w:rPr>
        <w:t xml:space="preserve">Tabela das regalias extra:</w:t>
      </w:r>
    </w:p>
    <w:tbl>
      <w:tblPr>
        <w:tblStyle w:val="Table2"/>
        <w:tblW w:w="8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798"/>
        <w:tblGridChange w:id="0">
          <w:tblGrid>
            <w:gridCol w:w="1980"/>
            <w:gridCol w:w="6798"/>
          </w:tblGrid>
        </w:tblGridChange>
      </w:tblGrid>
      <w:tr>
        <w:trPr>
          <w:cantSplit w:val="0"/>
          <w:trHeight w:val="1319" w:hRule="atLeast"/>
          <w:tblHeader w:val="0"/>
        </w:trPr>
        <w:tc>
          <w:tcPr/>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CareSimple</w:t>
            </w:r>
          </w:p>
        </w:tc>
        <w:tc>
          <w:tcPr/>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Não aplicável. </w:t>
            </w:r>
          </w:p>
        </w:tc>
      </w:tr>
      <w:tr>
        <w:trPr>
          <w:cantSplit w:val="0"/>
          <w:trHeight w:val="1319" w:hRule="atLeast"/>
          <w:tblHeader w:val="0"/>
        </w:trPr>
        <w:tc>
          <w:tcPr/>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Care</w:t>
            </w:r>
          </w:p>
        </w:tc>
        <w:tc>
          <w:tcPr/>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 Oferta das consultas pós-cirúrgicas/pós-tratamento. </w:t>
            </w:r>
          </w:p>
        </w:tc>
      </w:tr>
      <w:tr>
        <w:trPr>
          <w:cantSplit w:val="0"/>
          <w:trHeight w:val="1319" w:hRule="atLeast"/>
          <w:tblHeader w:val="0"/>
        </w:trPr>
        <w:tc>
          <w:tcPr/>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CareAdvance</w:t>
            </w:r>
          </w:p>
        </w:tc>
        <w:tc>
          <w:tcPr/>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 Todas as formações gratuitas.</w:t>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- 4 consultas domiciliares gratuitas por mês.</w:t>
            </w:r>
          </w:p>
        </w:tc>
      </w:tr>
      <w:tr>
        <w:trPr>
          <w:cantSplit w:val="0"/>
          <w:trHeight w:val="1319" w:hRule="atLeast"/>
          <w:tblHeader w:val="0"/>
        </w:trPr>
        <w:tc>
          <w:tcPr/>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Enterprise</w:t>
            </w:r>
          </w:p>
        </w:tc>
        <w:tc>
          <w:tcPr/>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50% Desconto na formação SBV. </w:t>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50% Desconto no preço de unidades médicas/bombeiros/paramédicos em eventos.</w:t>
            </w:r>
          </w:p>
        </w:tc>
      </w:tr>
      <w:tr>
        <w:trPr>
          <w:cantSplit w:val="0"/>
          <w:trHeight w:val="1319" w:hRule="atLeast"/>
          <w:tblHeader w:val="0"/>
        </w:trPr>
        <w:tc>
          <w:tcPr/>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Eventos Desportivos</w:t>
            </w:r>
          </w:p>
        </w:tc>
        <w:tc>
          <w:tcPr/>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Não aplicável.</w:t>
            </w:r>
          </w:p>
        </w:tc>
      </w:tr>
      <w:tr>
        <w:trPr>
          <w:cantSplit w:val="0"/>
          <w:trHeight w:val="1273" w:hRule="atLeast"/>
          <w:tblHeader w:val="0"/>
        </w:trPr>
        <w:tc>
          <w:tcPr/>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Funcionários do Estado fora de serviço</w:t>
            </w:r>
          </w:p>
        </w:tc>
        <w:tc>
          <w:tcPr/>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Não aplicável. </w:t>
            </w:r>
          </w:p>
        </w:tc>
      </w:tr>
    </w:tbl>
    <w:p w:rsidR="00000000" w:rsidDel="00000000" w:rsidP="00000000" w:rsidRDefault="00000000" w:rsidRPr="00000000" w14:paraId="0000006B">
      <w:pPr>
        <w:spacing w:line="360" w:lineRule="auto"/>
        <w:jc w:val="both"/>
        <w:rPr>
          <w:sz w:val="24"/>
          <w:szCs w:val="24"/>
        </w:rPr>
      </w:pPr>
      <w:r w:rsidDel="00000000" w:rsidR="00000000" w:rsidRPr="00000000">
        <w:rPr>
          <w:rtl w:val="0"/>
        </w:rPr>
      </w:r>
    </w:p>
    <w:p w:rsidR="00000000" w:rsidDel="00000000" w:rsidP="00000000" w:rsidRDefault="00000000" w:rsidRPr="00000000" w14:paraId="0000006C">
      <w:pPr>
        <w:spacing w:line="360" w:lineRule="auto"/>
        <w:ind w:firstLine="397"/>
        <w:jc w:val="both"/>
        <w:rPr>
          <w:sz w:val="24"/>
          <w:szCs w:val="24"/>
        </w:rPr>
      </w:pPr>
      <w:r w:rsidDel="00000000" w:rsidR="00000000" w:rsidRPr="00000000">
        <w:rPr>
          <w:rtl w:val="0"/>
        </w:rPr>
      </w:r>
    </w:p>
    <w:p w:rsidR="00000000" w:rsidDel="00000000" w:rsidP="00000000" w:rsidRDefault="00000000" w:rsidRPr="00000000" w14:paraId="0000006D">
      <w:pPr>
        <w:spacing w:line="360" w:lineRule="auto"/>
        <w:ind w:firstLine="397"/>
        <w:jc w:val="both"/>
        <w:rPr>
          <w:sz w:val="24"/>
          <w:szCs w:val="24"/>
        </w:rPr>
      </w:pPr>
      <w:r w:rsidDel="00000000" w:rsidR="00000000" w:rsidRPr="00000000">
        <w:rPr>
          <w:rtl w:val="0"/>
        </w:rPr>
      </w:r>
    </w:p>
    <w:p w:rsidR="00000000" w:rsidDel="00000000" w:rsidP="00000000" w:rsidRDefault="00000000" w:rsidRPr="00000000" w14:paraId="0000006E">
      <w:pPr>
        <w:spacing w:line="360" w:lineRule="auto"/>
        <w:ind w:firstLine="397"/>
        <w:jc w:val="both"/>
        <w:rPr>
          <w:sz w:val="24"/>
          <w:szCs w:val="24"/>
        </w:rPr>
      </w:pPr>
      <w:r w:rsidDel="00000000" w:rsidR="00000000" w:rsidRPr="00000000">
        <w:rPr>
          <w:rtl w:val="0"/>
        </w:rPr>
      </w:r>
    </w:p>
    <w:p w:rsidR="00000000" w:rsidDel="00000000" w:rsidP="00000000" w:rsidRDefault="00000000" w:rsidRPr="00000000" w14:paraId="0000006F">
      <w:pPr>
        <w:spacing w:line="360" w:lineRule="auto"/>
        <w:ind w:firstLine="397"/>
        <w:jc w:val="both"/>
        <w:rPr>
          <w:sz w:val="24"/>
          <w:szCs w:val="24"/>
        </w:rPr>
      </w:pPr>
      <w:r w:rsidDel="00000000" w:rsidR="00000000" w:rsidRPr="00000000">
        <w:rPr>
          <w:sz w:val="24"/>
          <w:szCs w:val="24"/>
          <w:rtl w:val="0"/>
        </w:rPr>
        <w:t xml:space="preserve">Documento validado a 15 de agosto de 2022</w:t>
      </w:r>
    </w:p>
    <w:p w:rsidR="00000000" w:rsidDel="00000000" w:rsidP="00000000" w:rsidRDefault="00000000" w:rsidRPr="00000000" w14:paraId="00000070">
      <w:pPr>
        <w:spacing w:line="360" w:lineRule="auto"/>
        <w:ind w:firstLine="397"/>
        <w:jc w:val="both"/>
        <w:rPr>
          <w:rFonts w:ascii="Courgette" w:cs="Courgette" w:eastAsia="Courgette" w:hAnsi="Courgette"/>
          <w:color w:val="0070c0"/>
          <w:sz w:val="52"/>
          <w:szCs w:val="52"/>
        </w:rPr>
      </w:pPr>
      <w:r w:rsidDel="00000000" w:rsidR="00000000" w:rsidRPr="00000000">
        <w:rPr>
          <w:rFonts w:ascii="Courgette" w:cs="Courgette" w:eastAsia="Courgette" w:hAnsi="Courgette"/>
          <w:color w:val="0070c0"/>
          <w:sz w:val="52"/>
          <w:szCs w:val="52"/>
          <w:rtl w:val="0"/>
        </w:rPr>
        <w:t xml:space="preserve">AFONSO MARIA</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215900</wp:posOffset>
                </wp:positionH>
                <wp:positionV relativeFrom="paragraph">
                  <wp:posOffset>406400</wp:posOffset>
                </wp:positionV>
                <wp:extent cx="0" cy="12700"/>
                <wp:effectExtent b="0" l="0" r="0" t="0"/>
                <wp:wrapNone/>
                <wp:docPr id="4" name=""/>
                <a:graphic>
                  <a:graphicData uri="http://schemas.microsoft.com/office/word/2010/wordprocessingShape">
                    <wps:wsp>
                      <wps:cNvCnPr/>
                      <wps:spPr>
                        <a:xfrm>
                          <a:off x="4079175" y="3780000"/>
                          <a:ext cx="253365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406400</wp:posOffset>
                </wp:positionV>
                <wp:extent cx="0" cy="12700"/>
                <wp:effectExtent b="0" l="0" r="0" t="0"/>
                <wp:wrapNone/>
                <wp:docPr id="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3881755</wp:posOffset>
            </wp:positionH>
            <wp:positionV relativeFrom="paragraph">
              <wp:posOffset>821689</wp:posOffset>
            </wp:positionV>
            <wp:extent cx="2277110" cy="655766"/>
            <wp:effectExtent b="0" l="0" r="0" t="0"/>
            <wp:wrapNone/>
            <wp:docPr descr="Uma imagem com texto&#10;&#10;Descrição gerada automaticamente" id="5" name="image1.png"/>
            <a:graphic>
              <a:graphicData uri="http://schemas.openxmlformats.org/drawingml/2006/picture">
                <pic:pic>
                  <pic:nvPicPr>
                    <pic:cNvPr descr="Uma imagem com texto&#10;&#10;Descrição gerada automaticamente" id="0" name="image1.png"/>
                    <pic:cNvPicPr preferRelativeResize="0"/>
                  </pic:nvPicPr>
                  <pic:blipFill>
                    <a:blip r:embed="rId8"/>
                    <a:srcRect b="0" l="0" r="0" t="0"/>
                    <a:stretch>
                      <a:fillRect/>
                    </a:stretch>
                  </pic:blipFill>
                  <pic:spPr>
                    <a:xfrm>
                      <a:off x="0" y="0"/>
                      <a:ext cx="2277110" cy="655766"/>
                    </a:xfrm>
                    <a:prstGeom prst="rect"/>
                    <a:ln/>
                  </pic:spPr>
                </pic:pic>
              </a:graphicData>
            </a:graphic>
          </wp:anchor>
        </w:drawing>
      </w:r>
    </w:p>
    <w:sectPr>
      <w:headerReference r:id="rId9" w:type="default"/>
      <w:headerReference r:id="rId10" w:type="first"/>
      <w:headerReference r:id="rId11" w:type="even"/>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haroni"/>
  <w:font w:name="Courget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24.5pt;height:122.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24.5pt;height:122.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24.5pt;height:122.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C840B1"/>
    <w:pPr>
      <w:ind w:left="720"/>
      <w:contextualSpacing w:val="1"/>
    </w:pPr>
  </w:style>
  <w:style w:type="paragraph" w:styleId="Cabealho">
    <w:name w:val="header"/>
    <w:basedOn w:val="Normal"/>
    <w:link w:val="CabealhoCarter"/>
    <w:uiPriority w:val="99"/>
    <w:unhideWhenUsed w:val="1"/>
    <w:rsid w:val="00202DA5"/>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202DA5"/>
  </w:style>
  <w:style w:type="paragraph" w:styleId="Rodap">
    <w:name w:val="footer"/>
    <w:basedOn w:val="Normal"/>
    <w:link w:val="RodapCarter"/>
    <w:uiPriority w:val="99"/>
    <w:unhideWhenUsed w:val="1"/>
    <w:rsid w:val="00202DA5"/>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202DA5"/>
  </w:style>
  <w:style w:type="table" w:styleId="TabelacomGrelha">
    <w:name w:val="Table Grid"/>
    <w:basedOn w:val="Tabelanormal"/>
    <w:uiPriority w:val="39"/>
    <w:rsid w:val="008643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b/HaeapM/95/NBdQes4iB8S3PQ==">AMUW2mVilYhfHyvy0ngsJgWnPRWgWh0T1LX85DzDuqKtYyIZxAf5e+8pj0+pILZBzZDSlncB/DGzqqDG8xKnEOzNIz4osd9gNcFmh3cDPBRXjKamapsesQk=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2022-07-20T16:38:00Z</dcterms:created>
  <dc:creator>Nuno José Graça Pessoa</dc:creator>
</cp:coreProperties>
</file>