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7"/>
        <w:pBdr/>
        <w:spacing w:after="120" w:before="0" w:line="276" w:lineRule="auto"/>
        <w:ind/>
        <w:jc w:val="center"/>
        <w:rPr>
          <w:rFonts w:ascii="Google Sans" w:hAnsi="Google Sans" w:eastAsia="Google Sans" w:cs="Google Sans"/>
          <w:b/>
          <w:bCs/>
          <w:color w:val="1f1f1f"/>
          <w:sz w:val="48"/>
          <w:szCs w:val="48"/>
        </w:rPr>
      </w:pPr>
      <w:r>
        <w:rPr>
          <w:rFonts w:ascii="Google Sans" w:hAnsi="Google Sans" w:eastAsia="Google Sans" w:cs="Google Sans"/>
          <w:b/>
          <w:bCs/>
          <w:color w:val="1f1f1f"/>
          <w:sz w:val="48"/>
          <w:szCs w:val="48"/>
        </w:rPr>
        <w:t xml:space="preserve">CATS: </w:t>
      </w:r>
      <w:r/>
    </w:p>
    <w:p w14:paraId="77CBF863">
      <w:pPr>
        <w:pStyle w:val="727"/>
        <w:pBdr/>
        <w:spacing w:after="120" w:before="0" w:line="276" w:lineRule="auto"/>
        <w:ind/>
        <w:jc w:val="center"/>
        <w:rPr/>
      </w:pPr>
      <w:r>
        <w:rPr>
          <w:rFonts w:ascii="Google Sans" w:hAnsi="Google Sans" w:eastAsia="Google Sans" w:cs="Google Sans"/>
          <w:b/>
          <w:bCs/>
          <w:color w:val="1f1f1f"/>
          <w:sz w:val="48"/>
          <w:szCs w:val="48"/>
        </w:rPr>
        <w:t xml:space="preserve">Contextual Ambiguity &amp; Trust Scoring</w:t>
      </w:r>
      <w:r/>
      <w:r/>
    </w:p>
    <w:p>
      <w:pPr>
        <w:pBdr/>
        <w:spacing w:after="240" w:before="0"/>
        <w:ind/>
        <w:rPr/>
      </w:pPr>
      <w:r>
        <w:rPr>
          <w:rFonts w:ascii="Google Sans" w:hAnsi="Google Sans" w:eastAsia="Google Sans" w:cs="Google Sans"/>
          <w:i/>
          <w:iCs/>
          <w:color w:val="444746"/>
          <w:sz w:val="28"/>
          <w:szCs w:val="28"/>
        </w:rPr>
        <w:t>White Paper Tecnico v1.1 — Valutazione dell’Affidabilità delle Fonti OSINT: Architettura Tecnica, Segnali Analitici e Conformità Normativa</w:t>
      </w:r>
      <w:r>
        <w:rPr>
          <w:rFonts w:ascii="Google Sans" w:hAnsi="Google Sans" w:eastAsia="Google Sans" w:cs="Google Sans"/>
          <w:i/>
          <w:iCs/>
          <w:color w:val="444746"/>
          <w:sz w:val="28"/>
          <w:szCs w:val="28"/>
          <w:lang w:val="it-IT"/>
        </w:rPr>
      </w:r>
      <w:r>
        <w:rPr>
          <w:rFonts w:ascii="Google Sans" w:hAnsi="Google Sans" w:eastAsia="Google Sans" w:cs="Google Sans"/>
          <w:i/>
          <w:iCs/>
          <w:color w:val="444746"/>
          <w:sz w:val="28"/>
          <w:szCs w:val="28"/>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c>
          <w:tcPr>
            <w:shd w:val="clear" w:color="auto" w:fill="f8fafd"/>
            <w:tcBorders>
              <w:top w:val="single" w:color="000000" w:sz="6" w:space="0"/>
              <w:left w:val="single" w:color="000000" w:sz="6" w:space="0"/>
              <w:bottom w:val="single" w:color="000000" w:sz="6" w:space="0"/>
              <w:right w:val="single" w:color="000000" w:sz="6" w:space="0"/>
            </w:tcBorders>
            <w:tcMar>
              <w:left w:w="140" w:type="dxa"/>
              <w:top w:w="80" w:type="dxa"/>
              <w:right w:w="140" w:type="dxa"/>
              <w:bottom w:w="80" w:type="dxa"/>
            </w:tcMar>
            <w:tcW w:w="3120" w:type="dxa"/>
            <w:vAlign w:val="center"/>
          </w:tcPr>
          <w:p>
            <w:pPr>
              <w:pBdr/>
              <w:spacing w:after="0" w:before="0" w:line="276" w:lineRule="auto"/>
              <w:ind/>
              <w:jc w:val="left"/>
              <w:rPr/>
            </w:pPr>
            <w:r>
              <w:rPr>
                <w:rFonts w:ascii="Google Sans" w:hAnsi="Google Sans" w:eastAsia="Google Sans" w:cs="Google Sans"/>
                <w:b w:val="0"/>
                <w:bCs w:val="0"/>
                <w:color w:val="1f1f1f"/>
                <w:sz w:val="20"/>
                <w:szCs w:val="20"/>
              </w:rPr>
              <w:t>Versione: v1.1 — Pubblico</w:t>
            </w:r>
            <w:r>
              <w:rPr>
                <w:rFonts w:ascii="Google Sans" w:hAnsi="Google Sans" w:eastAsia="Google Sans" w:cs="Google Sans"/>
                <w:b w:val="0"/>
                <w:bCs w:val="0"/>
                <w:color w:val="1f1f1f"/>
                <w:sz w:val="20"/>
                <w:szCs w:val="20"/>
                <w:lang w:val="it-IT"/>
              </w:rPr>
            </w:r>
            <w:r>
              <w:rPr>
                <w:rFonts w:ascii="Google Sans" w:hAnsi="Google Sans" w:eastAsia="Google Sans" w:cs="Google Sans"/>
                <w:b w:val="0"/>
                <w:bCs w:val="0"/>
                <w:color w:val="1f1f1f"/>
                <w:sz w:val="20"/>
                <w:szCs w:val="20"/>
              </w:rPr>
            </w:r>
            <w:r/>
          </w:p>
        </w:tc>
        <w:tc>
          <w:tcPr>
            <w:shd w:val="clear" w:color="auto" w:fill="f8fafd"/>
            <w:tcBorders>
              <w:top w:val="single" w:color="000000" w:sz="6" w:space="0"/>
              <w:left w:val="single" w:color="000000" w:sz="6" w:space="0"/>
              <w:bottom w:val="single" w:color="000000" w:sz="6" w:space="0"/>
              <w:right w:val="single" w:color="000000" w:sz="6" w:space="0"/>
            </w:tcBorders>
            <w:tcMar>
              <w:left w:w="140" w:type="dxa"/>
              <w:top w:w="80" w:type="dxa"/>
              <w:right w:w="140" w:type="dxa"/>
              <w:bottom w:w="80" w:type="dxa"/>
            </w:tcMar>
            <w:tcW w:w="3120" w:type="dxa"/>
            <w:vAlign w:val="center"/>
          </w:tcPr>
          <w:p>
            <w:pPr>
              <w:pBdr/>
              <w:spacing w:after="0" w:before="0" w:line="276" w:lineRule="auto"/>
              <w:ind/>
              <w:jc w:val="left"/>
              <w:rPr/>
            </w:pPr>
            <w:r>
              <w:rPr>
                <w:rFonts w:ascii="Google Sans" w:hAnsi="Google Sans" w:eastAsia="Google Sans" w:cs="Google Sans"/>
                <w:b w:val="0"/>
                <w:bCs w:val="0"/>
                <w:color w:val="1f1f1f"/>
                <w:sz w:val="20"/>
                <w:szCs w:val="20"/>
              </w:rPr>
              <w:t>Data: Settembre 2026</w:t>
            </w:r>
            <w:r/>
          </w:p>
        </w:tc>
        <w:tc>
          <w:tcPr>
            <w:shd w:val="clear" w:color="auto" w:fill="f8fafd"/>
            <w:tcBorders>
              <w:top w:val="single" w:color="000000" w:sz="6" w:space="0"/>
              <w:left w:val="single" w:color="000000" w:sz="6" w:space="0"/>
              <w:bottom w:val="single" w:color="000000" w:sz="6" w:space="0"/>
              <w:right w:val="single" w:color="000000" w:sz="6" w:space="0"/>
            </w:tcBorders>
            <w:tcMar>
              <w:left w:w="140" w:type="dxa"/>
              <w:top w:w="80" w:type="dxa"/>
              <w:right w:w="140" w:type="dxa"/>
              <w:bottom w:w="80" w:type="dxa"/>
            </w:tcMar>
            <w:tcW w:w="3120" w:type="dxa"/>
            <w:vAlign w:val="center"/>
          </w:tcPr>
          <w:p>
            <w:pPr>
              <w:pBdr/>
              <w:spacing w:after="0" w:before="0" w:line="276" w:lineRule="auto"/>
              <w:ind/>
              <w:jc w:val="left"/>
              <w:rPr/>
            </w:pPr>
            <w:r>
              <w:rPr>
                <w:rFonts w:ascii="Google Sans" w:hAnsi="Google Sans" w:eastAsia="Google Sans" w:cs="Google Sans"/>
                <w:b w:val="0"/>
                <w:bCs w:val="0"/>
                <w:color w:val="1f1f1f"/>
                <w:sz w:val="20"/>
                <w:szCs w:val="20"/>
              </w:rPr>
              <w:t xml:space="preserve">Licenza: MIT</w:t>
            </w:r>
            <w:r/>
          </w:p>
        </w:tc>
      </w:tr>
    </w:tbl>
    <w:p>
      <w:pPr>
        <w:pBdr/>
        <w:spacing w:after="24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Executive Summary</w:t>
      </w:r>
      <w:r/>
    </w:p>
    <w:p>
      <w:pPr>
        <w:pBdr/>
        <w:spacing w:after="240" w:before="0" w:line="276" w:lineRule="auto"/>
        <w:ind/>
        <w:jc w:val="both"/>
        <w:rPr/>
      </w:pPr>
      <w:r>
        <w:rPr>
          <w:rFonts w:ascii="Google Sans" w:hAnsi="Google Sans" w:eastAsia="Google Sans" w:cs="Google Sans"/>
          <w:color w:val="1f1f1f"/>
          <w:sz w:val="22"/>
          <w:szCs w:val="22"/>
        </w:rPr>
        <w:t xml:space="preserve">Il sistema </w:t>
      </w:r>
      <w:r>
        <w:rPr>
          <w:rFonts w:ascii="Google Sans" w:hAnsi="Google Sans" w:eastAsia="Google Sans" w:cs="Google Sans"/>
          <w:b/>
          <w:bCs/>
          <w:color w:val="1f1f1f"/>
          <w:sz w:val="22"/>
          <w:szCs w:val="22"/>
        </w:rPr>
        <w:t xml:space="preserve">CATS</w:t>
      </w:r>
      <w:r>
        <w:rPr>
          <w:rFonts w:ascii="Google Sans" w:hAnsi="Google Sans" w:eastAsia="Google Sans" w:cs="Google Sans"/>
          <w:color w:val="1f1f1f"/>
          <w:sz w:val="22"/>
          <w:szCs w:val="22"/>
        </w:rPr>
        <w:t xml:space="preserve"> (</w:t>
      </w:r>
      <w:r>
        <w:rPr>
          <w:rFonts w:ascii="Google Sans" w:hAnsi="Google Sans" w:eastAsia="Google Sans" w:cs="Google Sans"/>
          <w:b/>
          <w:bCs/>
          <w:color w:val="1f1f1f"/>
          <w:sz w:val="22"/>
          <w:szCs w:val="22"/>
        </w:rPr>
        <w:t xml:space="preserve">Contextual Ambiguity &amp; Trust Scoring</w:t>
      </w:r>
      <w:r>
        <w:rPr>
          <w:rFonts w:ascii="Google Sans" w:hAnsi="Google Sans" w:eastAsia="Google Sans" w:cs="Google Sans"/>
          <w:color w:val="1f1f1f"/>
          <w:sz w:val="22"/>
          <w:szCs w:val="22"/>
        </w:rPr>
        <w:t xml:space="preserve">) è un sistema open-source per la valutazione automatizzata dell’affidabilità delle fonti OSINT (Open Source Intelligence). A differenza degli strumenti di fact-checking tradizionali, CATS non verifica la veridicità dei singoli contenuti, ma analizza i </w:t>
      </w:r>
      <w:r>
        <w:rPr>
          <w:rFonts w:ascii="Google Sans" w:hAnsi="Google Sans" w:eastAsia="Google Sans" w:cs="Google Sans"/>
          <w:i/>
          <w:iCs/>
          <w:color w:val="1f1f1f"/>
          <w:sz w:val="22"/>
          <w:szCs w:val="22"/>
        </w:rPr>
        <w:t xml:space="preserve">pattern comportamentali, linguistici e temporali</w:t>
      </w:r>
      <w:r>
        <w:rPr>
          <w:rFonts w:ascii="Google Sans" w:hAnsi="Google Sans" w:eastAsia="Google Sans" w:cs="Google Sans"/>
          <w:color w:val="1f1f1f"/>
          <w:sz w:val="22"/>
          <w:szCs w:val="22"/>
        </w:rPr>
        <w:t xml:space="preserve"> di una fonte nel tempo, restituendo un punteggio di fiducia ordinale (0–100) con spiegazione trasparente.</w:t>
      </w:r>
      <w:r/>
    </w:p>
    <w:p>
      <w:pPr>
        <w:pBdr/>
        <w:spacing w:after="240" w:before="0" w:line="276" w:lineRule="auto"/>
        <w:ind/>
        <w:jc w:val="both"/>
        <w:rPr/>
      </w:pPr>
      <w:r>
        <w:rPr>
          <w:rFonts w:ascii="Google Sans" w:hAnsi="Google Sans" w:eastAsia="Google Sans" w:cs="Google Sans"/>
          <w:color w:val="1f1f1f"/>
          <w:sz w:val="22"/>
          <w:szCs w:val="22"/>
        </w:rPr>
        <w:t>Il sistema implementa un pipeline basato su FastAPI e Python 3.11, con quattro segnali analitici (coerenza, volatilità, silenzio, gaming) più una penalità asimmetrica di domain-provenance, audit cifrato AES-256-GCM, rate limiting distribuito via Redis e un’API GDPR-compliant con endpoint dedicati agli Artt. 13–22 del Regolamento (UE) 2016/679. I pesi di aggregazione sono calibrati empiricamente e validati su un holdout temporale (§5.4). La classificazione di CATS ai sensi dell’EU AI Act non è determinata in questo documento: è una valutazione che dipende dall’uso concreto e richiede consulenza legale (§7.3).</w:t>
      </w:r>
      <w:r>
        <w:rPr>
          <w:rFonts w:ascii="Google Sans" w:hAnsi="Google Sans" w:eastAsia="Google Sans" w:cs="Google Sans"/>
          <w:color w:val="1f1f1f"/>
          <w:sz w:val="22"/>
          <w:szCs w:val="22"/>
        </w:rPr>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09"/>
        <w:gridCol w:w="2409"/>
        <w:gridCol w:w="2409"/>
        <w:gridCol w:w="2411"/>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160" w:type="dxa"/>
              <w:right w:w="120" w:type="dxa"/>
              <w:bottom w:w="160" w:type="dxa"/>
            </w:tcMar>
            <w:tcW w:w="2409" w:type="dxa"/>
          </w:tcPr>
          <w:p w14:paraId="72EC9ACC">
            <w:pPr>
              <w:pBdr/>
              <w:spacing w:after="40" w:before="0"/>
              <w:ind/>
              <w:jc w:val="center"/>
              <w:rPr/>
            </w:pPr>
            <w:r>
              <w:rPr>
                <w:rFonts w:ascii="Arial" w:hAnsi="Arial" w:eastAsia="Arial" w:cs="Arial"/>
                <w:b/>
                <w:bCs/>
                <w:color w:val="ffffff"/>
                <w:sz w:val="52"/>
                <w:szCs w:val="52"/>
              </w:rPr>
              <w:t xml:space="preserve">4</w:t>
            </w:r>
            <w:r/>
            <w:r/>
          </w:p>
          <w:p w14:paraId="7238F5A4">
            <w:pPr>
              <w:pBdr/>
              <w:spacing w:after="0" w:before="0"/>
              <w:ind/>
              <w:jc w:val="center"/>
              <w:rPr/>
            </w:pPr>
            <w:r>
              <w:rPr>
                <w:rFonts w:ascii="Arial" w:hAnsi="Arial" w:eastAsia="Arial" w:cs="Arial"/>
                <w:color w:val="d0e8ff"/>
                <w:sz w:val="18"/>
                <w:szCs w:val="18"/>
              </w:rPr>
              <w:t xml:space="preserve">Segnali analitici</w:t>
            </w:r>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160" w:type="dxa"/>
              <w:right w:w="120" w:type="dxa"/>
              <w:bottom w:w="160" w:type="dxa"/>
            </w:tcMar>
            <w:tcW w:w="2409" w:type="dxa"/>
          </w:tcPr>
          <w:p w14:paraId="236885A4">
            <w:pPr>
              <w:pBdr/>
              <w:spacing w:after="40" w:before="0"/>
              <w:ind/>
              <w:jc w:val="center"/>
              <w:rPr/>
            </w:pPr>
            <w:r>
              <w:rPr>
                <w:rFonts w:ascii="Arial" w:hAnsi="Arial" w:eastAsia="Arial" w:cs="Arial"/>
                <w:b/>
                <w:bCs/>
                <w:color w:val="ffffff"/>
                <w:sz w:val="52"/>
                <w:szCs w:val="52"/>
              </w:rPr>
              <w:t xml:space="preserve">9</w:t>
            </w:r>
            <w:r/>
            <w:r/>
          </w:p>
          <w:p w14:paraId="1A3B5174">
            <w:pPr>
              <w:pBdr/>
              <w:spacing w:after="0" w:before="0"/>
              <w:ind/>
              <w:jc w:val="center"/>
              <w:rPr/>
            </w:pPr>
            <w:r>
              <w:rPr>
                <w:rFonts w:ascii="Arial" w:hAnsi="Arial" w:eastAsia="Arial" w:cs="Arial"/>
                <w:color w:val="d0e8ff"/>
                <w:sz w:val="18"/>
                <w:szCs w:val="18"/>
              </w:rPr>
              <w:t xml:space="preserve">Fasi del pipeline</w:t>
            </w:r>
            <w:r/>
            <w:r/>
          </w:p>
        </w:tc>
        <w:tc>
          <w:tcPr>
            <w:shd w:val="clear" w:color="ffffff" w:fill="4472c4"/>
            <w:tcBorders>
              <w:top w:val="single" w:color="cccccc" w:sz="1" w:space="0"/>
              <w:left w:val="single" w:color="cccccc" w:sz="1" w:space="0"/>
              <w:bottom w:val="single" w:color="cccccc" w:sz="1" w:space="0"/>
              <w:right w:val="single" w:color="cccccc" w:sz="1" w:space="0"/>
            </w:tcBorders>
            <w:tcMar>
              <w:left w:w="120" w:type="dxa"/>
              <w:top w:w="160" w:type="dxa"/>
              <w:right w:w="120" w:type="dxa"/>
              <w:bottom w:w="160" w:type="dxa"/>
            </w:tcMar>
            <w:tcW w:w="2409" w:type="dxa"/>
          </w:tcPr>
          <w:p w14:paraId="760C2978">
            <w:pPr>
              <w:pBdr/>
              <w:spacing w:after="40" w:before="0"/>
              <w:ind/>
              <w:jc w:val="center"/>
              <w:rPr/>
            </w:pPr>
            <w:r>
              <w:rPr>
                <w:rFonts w:ascii="Arial" w:hAnsi="Arial" w:eastAsia="Arial" w:cs="Arial"/>
                <w:b/>
                <w:bCs/>
                <w:color w:val="ffffff"/>
                <w:sz w:val="52"/>
                <w:szCs w:val="52"/>
              </w:rPr>
              <w:t xml:space="preserve">5</w:t>
            </w:r>
            <w:r/>
            <w:r/>
          </w:p>
          <w:p w14:paraId="59FA78FF">
            <w:pPr>
              <w:pBdr/>
              <w:spacing w:after="0" w:before="0"/>
              <w:ind/>
              <w:jc w:val="center"/>
              <w:rPr/>
            </w:pPr>
            <w:r>
              <w:rPr>
                <w:rFonts w:ascii="Arial" w:hAnsi="Arial" w:eastAsia="Arial" w:cs="Arial"/>
                <w:color w:val="d0e8ff"/>
                <w:sz w:val="18"/>
                <w:szCs w:val="18"/>
              </w:rPr>
              <w:t xml:space="preserve">Bande di rischio</w:t>
            </w:r>
            <w:r/>
            <w:r/>
          </w:p>
        </w:tc>
        <w:tc>
          <w:tcPr>
            <w:shd w:val="clear" w:color="ffffff" w:fill="00736a"/>
            <w:tcBorders>
              <w:top w:val="single" w:color="cccccc" w:sz="1" w:space="0"/>
              <w:left w:val="single" w:color="cccccc" w:sz="1" w:space="0"/>
              <w:bottom w:val="single" w:color="cccccc" w:sz="1" w:space="0"/>
              <w:right w:val="single" w:color="cccccc" w:sz="1" w:space="0"/>
            </w:tcBorders>
            <w:tcMar>
              <w:left w:w="120" w:type="dxa"/>
              <w:top w:w="160" w:type="dxa"/>
              <w:right w:w="120" w:type="dxa"/>
              <w:bottom w:w="160" w:type="dxa"/>
            </w:tcMar>
            <w:tcW w:w="2409" w:type="dxa"/>
          </w:tcPr>
          <w:p w14:paraId="056FC2BD">
            <w:pPr>
              <w:pBdr/>
              <w:spacing w:after="40" w:before="0"/>
              <w:ind/>
              <w:jc w:val="center"/>
              <w:rPr/>
            </w:pPr>
            <w:r>
              <w:rPr>
                <w:rFonts w:ascii="Arial" w:hAnsi="Arial" w:eastAsia="Arial" w:cs="Arial"/>
                <w:b/>
                <w:bCs/>
                <w:color w:val="ffffff"/>
                <w:sz w:val="52"/>
                <w:szCs w:val="52"/>
              </w:rPr>
              <w:t xml:space="preserve">GDPR</w:t>
            </w:r>
            <w:r/>
            <w:r/>
          </w:p>
          <w:p w14:paraId="5DAD74B5">
            <w:pPr>
              <w:pBdr/>
              <w:spacing w:after="0" w:before="0"/>
              <w:ind/>
              <w:jc w:val="center"/>
              <w:rPr/>
            </w:pPr>
            <w:r>
              <w:rPr>
                <w:rFonts w:ascii="Arial" w:hAnsi="Arial" w:eastAsia="Arial" w:cs="Arial"/>
                <w:color w:val="d0e8ff"/>
                <w:sz w:val="18"/>
                <w:szCs w:val="18"/>
              </w:rPr>
              <w:t xml:space="preserve">Art. 13–22 compliant</w:t>
            </w:r>
            <w:r/>
            <w:r/>
          </w:p>
        </w:tc>
      </w:tr>
    </w:tbl>
    <w:p>
      <w:pPr>
        <w:pBdr/>
        <w:spacing w:after="24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1. Introduzione e Analisi del Problema</w:t>
      </w:r>
      <w:r/>
    </w:p>
    <w:p>
      <w:pPr>
        <w:pStyle w:val="729"/>
        <w:pBdr/>
        <w:spacing w:after="120" w:before="240" w:line="276" w:lineRule="auto"/>
        <w:ind/>
        <w:rPr/>
      </w:pPr>
      <w:r>
        <w:rPr>
          <w:rFonts w:ascii="Google Sans" w:hAnsi="Google Sans" w:eastAsia="Google Sans" w:cs="Google Sans"/>
          <w:b/>
          <w:bCs/>
          <w:color w:val="1f1f1f"/>
          <w:sz w:val="28"/>
          <w:szCs w:val="28"/>
        </w:rPr>
        <w:t xml:space="preserve">1.1 Il Problema della Fiducia nelle Fonti OSINT</w:t>
      </w:r>
      <w:r/>
    </w:p>
    <w:p>
      <w:pPr>
        <w:pBdr/>
        <w:spacing w:after="240" w:before="0" w:line="276" w:lineRule="auto"/>
        <w:ind/>
        <w:jc w:val="both"/>
        <w:rPr/>
      </w:pPr>
      <w:r>
        <w:rPr>
          <w:rFonts w:ascii="Google Sans" w:hAnsi="Google Sans" w:eastAsia="Google Sans" w:cs="Google Sans"/>
          <w:color w:val="1f1f1f"/>
          <w:sz w:val="22"/>
          <w:szCs w:val="22"/>
        </w:rPr>
        <w:t xml:space="preserve">L’intelligence open-source si basa sulla raccolta e analisi di informazioni da fonti pubbliche: social media, testate giornalistiche, forum, dataset aperti. La principale sfid</w:t>
      </w:r>
      <w:r>
        <w:rPr>
          <w:rFonts w:ascii="Google Sans" w:hAnsi="Google Sans" w:eastAsia="Google Sans" w:cs="Google Sans"/>
          <w:color w:val="1f1f1f"/>
          <w:sz w:val="22"/>
          <w:szCs w:val="22"/>
        </w:rPr>
        <w:t xml:space="preserve">a operativa non è la disponibilità dei dati, ma la loro affidabilità: fonti che modificano sistematicamente la propria narrativa, che scompaiono per lunghi periodi, o che mostrano pattern di pubblicazione artificiale possono compromettere l’intera analisi.</w:t>
      </w:r>
      <w:r/>
    </w:p>
    <w:p>
      <w:pPr>
        <w:pBdr/>
        <w:spacing w:after="240" w:before="0" w:line="276" w:lineRule="auto"/>
        <w:ind/>
        <w:jc w:val="both"/>
        <w:rPr/>
      </w:pPr>
      <w:r>
        <w:rPr>
          <w:rFonts w:ascii="Google Sans" w:hAnsi="Google Sans" w:eastAsia="Google Sans" w:cs="Google Sans"/>
          <w:color w:val="1f1f1f"/>
          <w:sz w:val="22"/>
          <w:szCs w:val="22"/>
        </w:rPr>
        <w:t xml:space="preserve">La proliferazione di conten</w:t>
      </w:r>
      <w:r>
        <w:rPr>
          <w:rFonts w:ascii="Google Sans" w:hAnsi="Google Sans" w:eastAsia="Google Sans" w:cs="Google Sans"/>
          <w:color w:val="1f1f1f"/>
          <w:sz w:val="22"/>
          <w:szCs w:val="22"/>
        </w:rPr>
        <w:t xml:space="preserve">uti generati da intelligenza artificiale ha reso la distinzione tra fonti autentiche e manipolate estremamente ardua. Gli strumenti attuali mancano di una memoria storica comportamentale che possa rilevare cambiamenti sistematici nella narrativa nel tempo.</w:t>
      </w:r>
      <w:r/>
    </w:p>
    <w:p>
      <w:pPr>
        <w:pStyle w:val="729"/>
        <w:pBdr/>
        <w:spacing w:after="120" w:before="240" w:line="276" w:lineRule="auto"/>
        <w:ind/>
        <w:rPr/>
      </w:pPr>
      <w:r>
        <w:rPr>
          <w:rFonts w:ascii="Google Sans" w:hAnsi="Google Sans" w:eastAsia="Google Sans" w:cs="Google Sans"/>
          <w:b/>
          <w:bCs/>
          <w:color w:val="1f1f1f"/>
          <w:sz w:val="28"/>
          <w:szCs w:val="28"/>
        </w:rPr>
        <w:t xml:space="preserve">1.2 Limiti dei Sistemi Esistenti</w:t>
      </w:r>
      <w:r/>
    </w:p>
    <w:p>
      <w:pPr>
        <w:pBdr/>
        <w:spacing w:after="240" w:before="0" w:line="276" w:lineRule="auto"/>
        <w:ind/>
        <w:jc w:val="both"/>
        <w:rPr/>
      </w:pPr>
      <w:r>
        <w:rPr>
          <w:rFonts w:ascii="Google Sans" w:hAnsi="Google Sans" w:eastAsia="Google Sans" w:cs="Google Sans"/>
          <w:color w:val="1f1f1f"/>
          <w:sz w:val="22"/>
          <w:szCs w:val="22"/>
        </w:rPr>
        <w:t xml:space="preserve">Il panorama attuale degli strumenti OSINT presenta tre limitazioni strutturali:</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 xml:space="preserve">Approccio binario del fact-checking: i sistemi verificano il contenuto (vero/falso), richiedono intervento umano per ogni singolo claim e non scalano con i volumi moderni.</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 xml:space="preserve">Assenza di memoria comportamentale: le fonti modificano i propri pattern per eludere il monitoraggio; gli strumenti attuali non tracciano l’evoluzione storica della fonte.</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 xml:space="preserve">Mancanza di audit trail: l’assenza di spiegazioni trasparenti sul processo di valutazione rende i risultati difficili da verificare e riprodurre.</w:t>
      </w:r>
      <w:r/>
    </w:p>
    <w:p>
      <w:pPr>
        <w:pBdr/>
        <w:spacing w:after="80" w:before="0"/>
        <w:ind/>
        <w:rPr/>
      </w:pPr>
      <w:r/>
      <w:r/>
    </w:p>
    <w:p>
      <w:pPr>
        <w:pStyle w:val="729"/>
        <w:pBdr/>
        <w:spacing w:after="120" w:before="240" w:line="276" w:lineRule="auto"/>
        <w:ind/>
        <w:rPr/>
      </w:pPr>
      <w:r>
        <w:rPr>
          <w:rFonts w:ascii="Google Sans" w:hAnsi="Google Sans" w:eastAsia="Google Sans" w:cs="Google Sans"/>
          <w:b/>
          <w:bCs/>
          <w:color w:val="1f1f1f"/>
          <w:sz w:val="28"/>
          <w:szCs w:val="28"/>
        </w:rPr>
        <w:t xml:space="preserve">1.3 Contesto Normativo</w:t>
      </w:r>
      <w:r/>
    </w:p>
    <w:p>
      <w:pPr>
        <w:pBdr/>
        <w:spacing w:after="240" w:before="0" w:line="276" w:lineRule="auto"/>
        <w:ind/>
        <w:jc w:val="both"/>
        <w:rPr/>
      </w:pPr>
      <w:r>
        <w:rPr>
          <w:rFonts w:ascii="Google Sans" w:hAnsi="Google Sans" w:eastAsia="Google Sans" w:cs="Google Sans"/>
          <w:color w:val="1f1f1f"/>
          <w:sz w:val="22"/>
          <w:szCs w:val="22"/>
        </w:rPr>
        <w:t xml:space="preserve">Il quadro normativo europeo — GDPR (Regolamento UE 2016/679) e EU AI Act (Regolamento UE 2024/1689) — ha imposto nuovi standard di trasparenza per i s</w:t>
      </w:r>
      <w:r>
        <w:rPr>
          <w:rFonts w:ascii="Google Sans" w:hAnsi="Google Sans" w:eastAsia="Google Sans" w:cs="Google Sans"/>
          <w:color w:val="1f1f1f"/>
          <w:sz w:val="22"/>
          <w:szCs w:val="22"/>
        </w:rPr>
        <w:t xml:space="preserve">istemi che effettuano profilazione o decisioni automatizzate. CATS risponde a questi requisiti con endpoint dedicati per l’esercizio dei diritti di informazione e contestazione (Artt. 13–22 GDPR) e con documentazione pubblica delle limitazioni del modello.</w:t>
      </w:r>
      <w:r/>
    </w:p>
    <w:p>
      <w:pPr>
        <w:pStyle w:val="729"/>
      </w:pPr>
      <w:r>
        <w:t>1.4 Stato dell’Arte e Posizionamento</w:t>
      </w:r>
    </w:p>
    <w:p>
      <w:pPr/>
      <w:r>
        <w:t>La stima dell’affidabilità di una fonte dal suo comportamento nel tempo è un campo maturo. Questa sezione colloca CATS rispetto a quella letteratura, perché il §1.2 identifica tre limiti dei sistemi esistenti ma non dimostra quali problemi siano già risolti altrove.</w:t>
      </w:r>
    </w:p>
    <w:p>
      <w:pPr>
        <w:pStyle w:val="729"/>
      </w:pPr>
      <w:r>
        <w:t>1.4.1 Che cosa si misura: quattro oggetti distinti</w:t>
      </w:r>
    </w:p>
    <w:p>
      <w:pPr/>
      <w:r>
        <w:t>La parola «affidabilità» copre in letteratura quattro oggetti diversi, che i sistemi operativi tendono a confondere. CATS stima il primo e soltanto quello.</w:t>
      </w:r>
    </w:p>
    <w:tbl>
      <w:tblPr>
        <w:tblW w:type="auto" w:w="0"/>
        <w:tblLook w:firstColumn="1" w:firstRow="1" w:lastColumn="0" w:lastRow="0" w:noHBand="0" w:noVBand="1" w:val="04A0"/>
      </w:tblPr>
      <w:tblGrid>
        <w:gridCol w:w="3120"/>
        <w:gridCol w:w="3120"/>
        <w:gridCol w:w="3120"/>
      </w:tblGrid>
      <w:tr>
        <w:tc>
          <w:tcPr>
            <w:tcW w:type="dxa" w:w="3120"/>
          </w:tcPr>
          <w:p>
            <w:r>
              <w:rPr>
                <w:b/>
              </w:rPr>
              <w:t>Oggetto</w:t>
            </w:r>
          </w:p>
        </w:tc>
        <w:tc>
          <w:tcPr>
            <w:tcW w:type="dxa" w:w="3120"/>
          </w:tcPr>
          <w:p>
            <w:r>
              <w:rPr>
                <w:b/>
              </w:rPr>
              <w:t>Domanda</w:t>
            </w:r>
          </w:p>
        </w:tc>
        <w:tc>
          <w:tcPr>
            <w:tcW w:type="dxa" w:w="3120"/>
          </w:tcPr>
          <w:p>
            <w:r>
              <w:rPr>
                <w:b/>
              </w:rPr>
              <w:t>Filone di ricerca</w:t>
            </w:r>
          </w:p>
        </w:tc>
      </w:tr>
      <w:tr>
        <w:tc>
          <w:tcPr>
            <w:tcW w:type="dxa" w:w="3120"/>
          </w:tcPr>
          <w:p>
            <w:r>
              <w:t>Fonte</w:t>
            </w:r>
          </w:p>
        </w:tc>
        <w:tc>
          <w:tcPr>
            <w:tcW w:type="dxa" w:w="3120"/>
          </w:tcPr>
          <w:p>
            <w:r>
              <w:t>Quanto spesso questa fonte ha detto il vero?</w:t>
            </w:r>
          </w:p>
        </w:tc>
        <w:tc>
          <w:tcPr>
            <w:tcW w:type="dxa" w:w="3120"/>
          </w:tcPr>
          <w:p>
            <w:r>
              <w:t>Truth discovery, source factuality</w:t>
            </w:r>
          </w:p>
        </w:tc>
      </w:tr>
      <w:tr>
        <w:tc>
          <w:tcPr>
            <w:tcW w:type="dxa" w:w="3120"/>
          </w:tcPr>
          <w:p>
            <w:r>
              <w:t>Claim</w:t>
            </w:r>
          </w:p>
        </w:tc>
        <w:tc>
          <w:tcPr>
            <w:tcW w:type="dxa" w:w="3120"/>
          </w:tcPr>
          <w:p>
            <w:r>
              <w:t>Questo singolo fatto è vero?</w:t>
            </w:r>
          </w:p>
        </w:tc>
        <w:tc>
          <w:tcPr>
            <w:tcW w:type="dxa" w:w="3120"/>
          </w:tcPr>
          <w:p>
            <w:r>
              <w:t>Fact-checking automatico</w:t>
            </w:r>
          </w:p>
        </w:tc>
      </w:tr>
      <w:tr>
        <w:tc>
          <w:tcPr>
            <w:tcW w:type="dxa" w:w="3120"/>
          </w:tcPr>
          <w:p>
            <w:r>
              <w:t>Supporto</w:t>
            </w:r>
          </w:p>
        </w:tc>
        <w:tc>
          <w:tcPr>
            <w:tcW w:type="dxa" w:w="3120"/>
          </w:tcPr>
          <w:p>
            <w:r>
              <w:t>La fonte citata sostiene davvero la frase?</w:t>
            </w:r>
          </w:p>
        </w:tc>
        <w:tc>
          <w:tcPr>
            <w:tcW w:type="dxa" w:w="3120"/>
          </w:tcPr>
          <w:p>
            <w:r>
              <w:t>Attribuzione, NLI</w:t>
            </w:r>
          </w:p>
        </w:tc>
      </w:tr>
      <w:tr>
        <w:tc>
          <w:tcPr>
            <w:tcW w:type="dxa" w:w="3120"/>
          </w:tcPr>
          <w:p>
            <w:r>
              <w:t>Dipendenza</w:t>
            </w:r>
          </w:p>
        </w:tc>
        <w:tc>
          <w:tcPr>
            <w:tcW w:type="dxa" w:w="3120"/>
          </w:tcPr>
          <w:p>
            <w:r>
              <w:t>Le fonti che concordano sono indipendenti?</w:t>
            </w:r>
          </w:p>
        </w:tc>
        <w:tc>
          <w:tcPr>
            <w:tcW w:type="dxa" w:w="3120"/>
          </w:tcPr>
          <w:p>
            <w:r>
              <w:t>Copy detection, source dependence</w:t>
            </w:r>
          </w:p>
        </w:tc>
      </w:tr>
    </w:tbl>
    <w:p>
      <w:pPr/>
      <w:r>
        <w:t>CATS non verifica claim, non controlla che una citazione sostenga una frase e non corregge per la dipendenza fra fonti. Non è una limitazione implicita: è la definizione del perimetro. Due distinzioni pesano sul design. Affidabilità non è fiducia: la prima è una proprietà statistica stimabile dallo storico, la seconda è una decisione dell’analista che dipende dal contesto e dalla posta in gioco. Fonte non è informazione: una fonte affidabile può riportare un’informazione sbagliata, e viceversa.</w:t>
      </w:r>
    </w:p>
    <w:p>
      <w:pPr>
        <w:pStyle w:val="729"/>
      </w:pPr>
      <w:r>
        <w:t>1.4.2 Il metodo non è nuovo, e questo è un punto di forza</w:t>
      </w:r>
    </w:p>
    <w:p>
      <w:pPr/>
      <w:r>
        <w:t>CATS non rivendica un metodo inedito: rivendica di applicare metodi pubblicati a un dominio che la ricerca non copre. Il truth discovery (Li et al., SIGKDD Explorations 2016) stima insieme la verità dei claim e l’affidabilità delle fonti, aggiornando le due stime a vicenda; Knowledge-Based Trust (Dong et al., PVLDB 2015) stima l’affidabilità dai fatti corretti che una pagina contiene anziché dai link. Il Beta Reputation System (Jøsang e Ismail, 2002) modella la reputazione come distribuzione Beta sui riscontri, con un fattore di oblio: ne discendono due proprietà che CATS condivide per scelta progettuale, cioè che una fonte nuova parte neutra e con incertezza alta, e che il punteggio peggiora se il comportamento peggiora. Sul versante delle testate, Baly et al. (EMNLP 2018) valutano l’intera testata anziché il singolo articolo, e Burdisso et al. (NAACL 2024) stimano un grado continuo dal grafo dei link su circa 17.000 fonti, con correlazione di Spearman 0,80 rispetto ai punteggi NewsGuard.</w:t>
      </w:r>
    </w:p>
    <w:p>
      <w:pPr>
        <w:pStyle w:val="729"/>
      </w:pPr>
      <w:r>
        <w:t>1.4.3 Rapporto con l’Admiralty Code</w:t>
      </w:r>
    </w:p>
    <w:p>
      <w:pPr/>
      <w:r>
        <w:t>Lo standard di fatto in intelligence e OSINT è l’Admiralty Code (NATO STANAG 2511, oggi AJP-2.1): due scale separate, affidabilità della fonte da A a F e credibilità dell’informazione da 1 a 6. CATS si colloca interamente sull’asse A–F. La continuità sta nel fatto che lo standard giudica l’affidabilità solo su fonti già usate in passato, assegnando F a una fonte nuova: è la stessa logica comportamentale per cui CATS, senza storico sufficiente, non produce un giudizio ma un flag di evidenza insufficiente. La ricerca recente documenta però tre difetti che una regola esplicita evita per costruzione: gli analisti collassano sulla diagonale A1/B2/C3 usando l’affidabilità della fonte per dedurre la credibilità dell’informazione (Mandel et al., 2025); con segnali discordanti lo stesso analista è poco ripetibile nel tempo (Mandel et al., 2023); e criteri come «autenticità» e «competenza» non sono operazionalizzati (Irwin e Mandel, 2019).</w:t>
      </w:r>
    </w:p>
    <w:p>
      <w:pPr>
        <w:pStyle w:val="729"/>
      </w:pPr>
      <w:r>
        <w:t>1.4.4 Perché nessun LLM produce il punteggio</w:t>
      </w:r>
    </w:p>
    <w:p>
      <w:pPr/>
      <w:r>
        <w:t>Gli studi 2025–2026 sconsigliano l’uso di un modello linguistico come giudice dell’affidabilità di una fonte. I rating prodotti da nove LLM concordano molto fra loro (Spearman 0,79) ma solo moderatamente con gli esperti umani (0,50) (Yang e Menczer, ACM WebSci 2025), e il prior legato al marchio della testata può prevalere sul contenuto dell’articolo. Nessun componente di CATS chiama un LLM per produrre il punteggio: i quattro segnali sono funzioni deterministiche della storia dei messaggi.</w:t>
      </w:r>
    </w:p>
    <w:p>
      <w:pPr>
        <w:pStyle w:val="729"/>
      </w:pPr>
      <w:r>
        <w:t>1.4.5 La lacuna che CATS occupa</w:t>
      </w:r>
    </w:p>
    <w:p>
      <w:pPr/>
      <w:r>
        <w:t>I singoli componenti di un trust score comportamentale sono prior art consolidata. Lo spazio poco coperto è l’applicazione a fonti italiane eterogenee — registri camerali, atti giudiziari, stampa locale — con un output verificabile e leggibile da un giurista. La letteratura valida quasi esclusivamente su rating di testate anglofone (MBFC, NewsGuard, Wikipedia): mancano dataset etichettati sul dominio di destinazione di CATS, ed è anche la sua principale vulnerabilità di validazione (§5.4).</w:t>
      </w:r>
    </w:p>
    <w:p>
      <w:pPr>
        <w:pStyle w:val="728"/>
        <w:pBdr/>
        <w:spacing w:after="120" w:before="320" w:line="276" w:lineRule="auto"/>
        <w:ind/>
        <w:rPr/>
      </w:pPr>
      <w:r>
        <w:rPr>
          <w:rFonts w:ascii="Google Sans" w:hAnsi="Google Sans" w:eastAsia="Google Sans" w:cs="Google Sans"/>
          <w:b/>
          <w:bCs/>
          <w:color w:val="1f1f1f"/>
          <w:sz w:val="36"/>
          <w:szCs w:val="36"/>
        </w:rPr>
        <w:t xml:space="preserve">2. La Soluzione CATS: Trust Structural Evaluation</w:t>
      </w:r>
      <w:r/>
    </w:p>
    <w:p>
      <w:pPr>
        <w:pStyle w:val="729"/>
        <w:pBdr/>
        <w:spacing w:after="120" w:before="240" w:line="276" w:lineRule="auto"/>
        <w:ind/>
        <w:rPr/>
      </w:pPr>
      <w:r>
        <w:rPr>
          <w:rFonts w:ascii="Google Sans" w:hAnsi="Google Sans" w:eastAsia="Google Sans" w:cs="Google Sans"/>
          <w:b/>
          <w:bCs/>
          <w:color w:val="1f1f1f"/>
          <w:sz w:val="28"/>
          <w:szCs w:val="28"/>
        </w:rPr>
        <w:t xml:space="preserve">2.1 Visione Progettuale</w:t>
      </w:r>
      <w:r/>
    </w:p>
    <w:p>
      <w:pPr>
        <w:pBdr/>
        <w:spacing w:after="240" w:before="0" w:line="276" w:lineRule="auto"/>
        <w:ind/>
        <w:jc w:val="both"/>
        <w:rPr/>
      </w:pPr>
      <w:r>
        <w:rPr>
          <w:rFonts w:ascii="Google Sans" w:hAnsi="Google Sans" w:eastAsia="Google Sans" w:cs="Google Sans"/>
          <w:color w:val="1f1f1f"/>
          <w:sz w:val="22"/>
          <w:szCs w:val="22"/>
        </w:rPr>
        <w:t xml:space="preserve">CATS sposta il focus dalla </w:t>
      </w:r>
      <w:r>
        <w:rPr>
          <w:rFonts w:ascii="Google Sans" w:hAnsi="Google Sans" w:eastAsia="Google Sans" w:cs="Google Sans"/>
          <w:i/>
          <w:iCs/>
          <w:color w:val="1f1f1f"/>
          <w:sz w:val="22"/>
          <w:szCs w:val="22"/>
        </w:rPr>
        <w:t xml:space="preserve">validazione del messaggio</w:t>
      </w:r>
      <w:r>
        <w:rPr>
          <w:rFonts w:ascii="Google Sans" w:hAnsi="Google Sans" w:eastAsia="Google Sans" w:cs="Google Sans"/>
          <w:color w:val="1f1f1f"/>
          <w:sz w:val="22"/>
          <w:szCs w:val="22"/>
        </w:rPr>
        <w:t xml:space="preserve"> alla </w:t>
      </w:r>
      <w:r>
        <w:rPr>
          <w:rFonts w:ascii="Google Sans" w:hAnsi="Google Sans" w:eastAsia="Google Sans" w:cs="Google Sans"/>
          <w:b/>
          <w:bCs/>
          <w:color w:val="1f1f1f"/>
          <w:sz w:val="22"/>
          <w:szCs w:val="22"/>
        </w:rPr>
        <w:t xml:space="preserve">valutazione della fonte</w:t>
      </w:r>
      <w:r>
        <w:rPr>
          <w:rFonts w:ascii="Google Sans" w:hAnsi="Google Sans" w:eastAsia="Google Sans" w:cs="Google Sans"/>
          <w:color w:val="1f1f1f"/>
          <w:sz w:val="22"/>
          <w:szCs w:val="22"/>
        </w:rPr>
        <w:t xml:space="preserve">. Il core concept si basa sull’idea che l’affidabilità sia una propri</w:t>
      </w:r>
      <w:r>
        <w:rPr>
          <w:rFonts w:ascii="Google Sans" w:hAnsi="Google Sans" w:eastAsia="Google Sans" w:cs="Google Sans"/>
          <w:color w:val="1f1f1f"/>
          <w:sz w:val="22"/>
          <w:szCs w:val="22"/>
        </w:rPr>
        <w:t xml:space="preserve">età emergente dal comportamento storico di un’entità informativa. Analizzando come una fonte comunica, quanto è costante e se mostra segni di automazione, CATS assegna un punteggio di fiducia senza dover “conoscere” la verità assoluta di ogni singolo post.</w:t>
      </w:r>
      <w:r/>
    </w:p>
    <w:p>
      <w:pPr>
        <w:pStyle w:val="729"/>
        <w:pBdr/>
        <w:spacing w:after="120" w:before="240" w:line="276" w:lineRule="auto"/>
        <w:ind/>
        <w:rPr/>
      </w:pPr>
      <w:r>
        <w:rPr>
          <w:rFonts w:ascii="Google Sans" w:hAnsi="Google Sans" w:eastAsia="Google Sans" w:cs="Google Sans"/>
          <w:b/>
          <w:bCs/>
          <w:color w:val="1f1f1f"/>
          <w:sz w:val="28"/>
          <w:szCs w:val="28"/>
        </w:rPr>
        <w:t xml:space="preserve">2.2 Il Modello Analitico dei Quattro Segnali</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734"/>
        <w:gridCol w:w="2891"/>
        <w:gridCol w:w="2602"/>
        <w:gridCol w:w="2411"/>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34" w:type="dxa"/>
            <w:vAlign w:val="center"/>
          </w:tcPr>
          <w:p w14:paraId="225FF505">
            <w:pPr>
              <w:pBdr/>
              <w:spacing/>
              <w:ind/>
              <w:jc w:val="left"/>
              <w:rPr/>
            </w:pPr>
            <w:r>
              <w:rPr>
                <w:rFonts w:ascii="Arial" w:hAnsi="Arial" w:eastAsia="Arial" w:cs="Arial"/>
                <w:b/>
                <w:bCs/>
                <w:color w:val="ffffff"/>
                <w:sz w:val="20"/>
                <w:szCs w:val="20"/>
              </w:rPr>
              <w:t xml:space="preserve">Segnale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7F35283C">
            <w:pPr>
              <w:pBdr/>
              <w:spacing/>
              <w:ind/>
              <w:jc w:val="left"/>
              <w:rPr/>
            </w:pPr>
            <w:r>
              <w:rPr>
                <w:rFonts w:ascii="Arial" w:hAnsi="Arial" w:eastAsia="Arial" w:cs="Arial"/>
                <w:b/>
                <w:bCs/>
                <w:color w:val="ffffff"/>
                <w:sz w:val="20"/>
                <w:szCs w:val="20"/>
              </w:rPr>
              <w:t xml:space="preserve">Definizione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2" w:type="dxa"/>
            <w:vAlign w:val="center"/>
          </w:tcPr>
          <w:p w14:paraId="304906CA">
            <w:pPr>
              <w:pBdr/>
              <w:spacing/>
              <w:ind/>
              <w:jc w:val="left"/>
              <w:rPr/>
            </w:pPr>
            <w:r>
              <w:rPr>
                <w:rFonts w:ascii="Arial" w:hAnsi="Arial" w:eastAsia="Arial" w:cs="Arial"/>
                <w:b/>
                <w:bCs/>
                <w:color w:val="ffffff"/>
                <w:sz w:val="20"/>
                <w:szCs w:val="20"/>
              </w:rPr>
              <w:t xml:space="preserve">Metodo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1" w:type="dxa"/>
            <w:vAlign w:val="center"/>
          </w:tcPr>
          <w:p w14:paraId="2607DD56">
            <w:pPr>
              <w:pBdr/>
              <w:spacing/>
              <w:ind/>
              <w:jc w:val="left"/>
              <w:rPr/>
            </w:pPr>
            <w:r>
              <w:rPr>
                <w:rFonts w:ascii="Arial" w:hAnsi="Arial" w:eastAsia="Arial" w:cs="Arial"/>
                <w:b/>
                <w:bCs/>
                <w:color w:val="ffffff"/>
                <w:sz w:val="20"/>
                <w:szCs w:val="20"/>
              </w:rPr>
              <w:t xml:space="preserve">Rileva</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34" w:type="dxa"/>
            <w:vAlign w:val="center"/>
          </w:tcPr>
          <w:p w14:paraId="14869F3B">
            <w:pPr>
              <w:pBdr/>
              <w:spacing/>
              <w:ind/>
              <w:jc w:val="left"/>
              <w:rPr/>
            </w:pPr>
            <w:r>
              <w:rPr>
                <w:rFonts w:ascii="Arial" w:hAnsi="Arial" w:eastAsia="Arial" w:cs="Arial"/>
                <w:b/>
                <w:bCs/>
                <w:color w:val="404040"/>
                <w:sz w:val="20"/>
                <w:szCs w:val="20"/>
              </w:rPr>
              <w:t xml:space="preserve">Coerenza</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73846F6A">
            <w:pPr>
              <w:pBdr/>
              <w:spacing/>
              <w:ind/>
              <w:jc w:val="left"/>
              <w:rPr/>
            </w:pPr>
            <w:r>
              <w:rPr>
                <w:rFonts w:ascii="Arial" w:hAnsi="Arial" w:eastAsia="Arial" w:cs="Arial"/>
                <w:b w:val="0"/>
                <w:bCs w:val="0"/>
                <w:color w:val="404040"/>
                <w:sz w:val="20"/>
                <w:szCs w:val="20"/>
              </w:rPr>
              <w:t xml:space="preserve">Stabilità delle entità nominate tra messaggi consecutivi</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2" w:type="dxa"/>
            <w:vAlign w:val="center"/>
          </w:tcPr>
          <w:p w14:paraId="138AEFFF">
            <w:pPr>
              <w:pBdr/>
              <w:spacing/>
              <w:ind/>
              <w:jc w:val="left"/>
              <w:rPr/>
            </w:pPr>
            <w:r>
              <w:rPr>
                <w:rFonts w:ascii="Arial" w:hAnsi="Arial" w:eastAsia="Arial" w:cs="Arial"/>
                <w:b w:val="0"/>
                <w:bCs w:val="0"/>
                <w:color w:val="404040"/>
                <w:sz w:val="20"/>
                <w:szCs w:val="20"/>
              </w:rPr>
              <w:t xml:space="preserve">spaCy NER + Jaccard similarity</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1" w:type="dxa"/>
            <w:vAlign w:val="center"/>
          </w:tcPr>
          <w:p w14:paraId="3AB63D93">
            <w:pPr>
              <w:pBdr/>
              <w:spacing/>
              <w:ind/>
              <w:jc w:val="left"/>
              <w:rPr/>
            </w:pPr>
            <w:r>
              <w:rPr>
                <w:rFonts w:ascii="Arial" w:hAnsi="Arial" w:eastAsia="Arial" w:cs="Arial"/>
                <w:b w:val="0"/>
                <w:bCs w:val="0"/>
                <w:color w:val="404040"/>
                <w:sz w:val="20"/>
                <w:szCs w:val="20"/>
              </w:rPr>
              <w:t xml:space="preserve">Cambio improvviso di focus tematico o narrativa incoerente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34" w:type="dxa"/>
            <w:vAlign w:val="center"/>
          </w:tcPr>
          <w:p w14:paraId="150204B6">
            <w:pPr>
              <w:pBdr/>
              <w:spacing/>
              <w:ind/>
              <w:jc w:val="left"/>
              <w:rPr/>
            </w:pPr>
            <w:r>
              <w:rPr>
                <w:rFonts w:ascii="Arial" w:hAnsi="Arial" w:eastAsia="Arial" w:cs="Arial"/>
                <w:b/>
                <w:bCs/>
                <w:color w:val="404040"/>
                <w:sz w:val="20"/>
                <w:szCs w:val="20"/>
              </w:rPr>
              <w:t xml:space="preserve">Volatilità</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72A50705">
            <w:pPr>
              <w:pBdr/>
              <w:spacing/>
              <w:ind/>
              <w:jc w:val="left"/>
              <w:rPr/>
            </w:pPr>
            <w:r>
              <w:rPr>
                <w:rFonts w:ascii="Arial" w:hAnsi="Arial" w:eastAsia="Arial" w:cs="Arial"/>
                <w:b w:val="0"/>
                <w:bCs w:val="0"/>
                <w:color w:val="404040"/>
                <w:sz w:val="20"/>
                <w:szCs w:val="20"/>
              </w:rPr>
              <w:t xml:space="preserve">Variazioni brusche nel tono emotivo e nel sentiment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2" w:type="dxa"/>
            <w:vAlign w:val="center"/>
          </w:tcPr>
          <w:p w14:paraId="697B8ABA">
            <w:pPr>
              <w:pBdr/>
              <w:spacing/>
              <w:ind/>
              <w:jc w:val="left"/>
              <w:rPr/>
            </w:pPr>
            <w:r>
              <w:rPr>
                <w:rFonts w:ascii="Arial" w:hAnsi="Arial" w:eastAsia="Arial" w:cs="Arial"/>
                <w:b w:val="0"/>
                <w:bCs w:val="0"/>
                <w:color w:val="404040"/>
                <w:sz w:val="20"/>
                <w:szCs w:val="20"/>
              </w:rPr>
              <w:t xml:space="preserve">TextBlob + correzione negazione IT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1" w:type="dxa"/>
            <w:vAlign w:val="center"/>
          </w:tcPr>
          <w:p w14:paraId="064A884A">
            <w:pPr>
              <w:pBdr/>
              <w:spacing/>
              <w:ind/>
              <w:jc w:val="left"/>
              <w:rPr/>
            </w:pPr>
            <w:r>
              <w:rPr>
                <w:rFonts w:ascii="Arial" w:hAnsi="Arial" w:eastAsia="Arial" w:cs="Arial"/>
                <w:b w:val="0"/>
                <w:bCs w:val="0"/>
                <w:color w:val="404040"/>
                <w:sz w:val="20"/>
                <w:szCs w:val="20"/>
              </w:rPr>
              <w:t xml:space="preserve">Instabilità editoriale o manipolazione emotiva</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34" w:type="dxa"/>
            <w:vAlign w:val="center"/>
          </w:tcPr>
          <w:p w14:paraId="1A3AE9D1">
            <w:pPr>
              <w:pBdr/>
              <w:spacing/>
              <w:ind/>
              <w:jc w:val="left"/>
              <w:rPr/>
            </w:pPr>
            <w:r>
              <w:rPr>
                <w:rFonts w:ascii="Arial" w:hAnsi="Arial" w:eastAsia="Arial" w:cs="Arial"/>
                <w:b/>
                <w:bCs/>
                <w:color w:val="404040"/>
                <w:sz w:val="20"/>
                <w:szCs w:val="20"/>
              </w:rPr>
              <w:t xml:space="preserve">Silenzio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0E29BD41">
            <w:pPr>
              <w:pBdr/>
              <w:spacing/>
              <w:ind/>
              <w:jc w:val="left"/>
              <w:rPr/>
            </w:pPr>
            <w:r>
              <w:rPr>
                <w:rFonts w:ascii="Arial" w:hAnsi="Arial" w:eastAsia="Arial" w:cs="Arial"/>
                <w:b w:val="0"/>
                <w:bCs w:val="0"/>
                <w:color w:val="404040"/>
                <w:sz w:val="20"/>
                <w:szCs w:val="20"/>
              </w:rPr>
              <w:t xml:space="preserve">Gap temporali anomali rispetto alla baseline della fonte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2" w:type="dxa"/>
            <w:vAlign w:val="center"/>
          </w:tcPr>
          <w:p w14:paraId="5439EA5C">
            <w:pPr>
              <w:pBdr/>
              <w:spacing/>
              <w:ind/>
              <w:jc w:val="left"/>
              <w:rPr/>
            </w:pPr>
            <w:r>
              <w:rPr>
                <w:rFonts w:ascii="Arial" w:hAnsi="Arial" w:eastAsia="Arial" w:cs="Arial"/>
                <w:b w:val="0"/>
                <w:bCs w:val="0"/>
                <w:color w:val="404040"/>
                <w:sz w:val="20"/>
                <w:szCs w:val="20"/>
              </w:rPr>
              <w:t xml:space="preserve">Analisi gap vs. soglie per source_type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1" w:type="dxa"/>
            <w:vAlign w:val="center"/>
          </w:tcPr>
          <w:p w14:paraId="39709EB3">
            <w:pPr>
              <w:pBdr/>
              <w:spacing/>
              <w:ind/>
              <w:jc w:val="left"/>
              <w:rPr/>
            </w:pPr>
            <w:r>
              <w:rPr>
                <w:rFonts w:ascii="Arial" w:hAnsi="Arial" w:eastAsia="Arial" w:cs="Arial"/>
                <w:b w:val="0"/>
                <w:bCs w:val="0"/>
                <w:color w:val="404040"/>
                <w:sz w:val="20"/>
                <w:szCs w:val="20"/>
              </w:rPr>
              <w:t xml:space="preserve">Inattività sospetta o interruzioni nel flusso pubblicativo</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34" w:type="dxa"/>
            <w:vAlign w:val="center"/>
          </w:tcPr>
          <w:p w14:paraId="158DDAE7">
            <w:pPr>
              <w:pBdr/>
              <w:spacing/>
              <w:ind/>
              <w:jc w:val="left"/>
              <w:rPr/>
            </w:pPr>
            <w:r>
              <w:rPr>
                <w:rFonts w:ascii="Arial" w:hAnsi="Arial" w:eastAsia="Arial" w:cs="Arial"/>
                <w:b/>
                <w:bCs/>
                <w:color w:val="404040"/>
                <w:sz w:val="20"/>
                <w:szCs w:val="20"/>
              </w:rPr>
              <w:t xml:space="preserve">Gaming</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6E581964">
            <w:pPr>
              <w:pBdr/>
              <w:spacing/>
              <w:ind/>
              <w:jc w:val="left"/>
              <w:rPr/>
            </w:pPr>
            <w:r>
              <w:rPr>
                <w:rFonts w:ascii="Arial" w:hAnsi="Arial" w:eastAsia="Arial" w:cs="Arial"/>
                <w:b w:val="0"/>
                <w:bCs w:val="0"/>
                <w:color w:val="404040"/>
                <w:sz w:val="20"/>
                <w:szCs w:val="20"/>
              </w:rPr>
              <w:t xml:space="preserve">Metriche di complessità lessicale e pattern di pubblicazione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2" w:type="dxa"/>
            <w:vAlign w:val="center"/>
          </w:tcPr>
          <w:p w14:paraId="0A98FED5">
            <w:pPr>
              <w:pBdr/>
              <w:spacing/>
              <w:ind/>
              <w:jc w:val="left"/>
              <w:rPr/>
            </w:pPr>
            <w:r>
              <w:rPr>
                <w:rFonts w:ascii="Arial" w:hAnsi="Arial" w:eastAsia="Arial" w:cs="Arial"/>
                <w:b w:val="0"/>
                <w:bCs w:val="0"/>
                <w:color w:val="404040"/>
                <w:sz w:val="20"/>
                <w:szCs w:val="20"/>
              </w:rPr>
              <w:t xml:space="preserve">TTR + ripetizione bigrammi + burst rate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1" w:type="dxa"/>
            <w:vAlign w:val="center"/>
          </w:tcPr>
          <w:p w14:paraId="5A8354BD">
            <w:pPr>
              <w:pBdr/>
              <w:spacing/>
              <w:ind/>
              <w:jc w:val="left"/>
              <w:rPr/>
            </w:pPr>
            <w:r>
              <w:rPr>
                <w:rFonts w:ascii="Arial" w:hAnsi="Arial" w:eastAsia="Arial" w:cs="Arial"/>
                <w:b w:val="0"/>
                <w:bCs w:val="0"/>
                <w:color w:val="404040"/>
                <w:sz w:val="20"/>
                <w:szCs w:val="20"/>
              </w:rPr>
              <w:t xml:space="preserve">Bot, automazione algoritmica, ripetizioni compulsive</w:t>
            </w:r>
            <w:r/>
            <w:r/>
          </w:p>
        </w:tc>
      </w:tr>
    </w:tbl>
    <w:p>
      <w:pPr>
        <w:pBdr/>
        <w:spacing w:after="80" w:before="0"/>
        <w:ind/>
        <w:rPr/>
      </w:pPr>
      <w:r/>
      <w:r/>
    </w:p>
    <w:p>
      <w:pPr/>
      <w:r>
        <w:t>Ai quattro segnali comportamentali si aggiunge, dalla versione ENGINE 1.4 (luglio 2026), una penalità di domain-provenance. Non è un quinto segnale pesato: è un termine asimmetrico che viene sottratto dopo la media ponderata (0,6 × punteggio di red-flag del dominio) e che può solo abbassare il punteggio di un dominio con indizi di clonazione o impersonificazione — TLD sospetti, hosting gratuito, typosquatting, brand su TLD anomali, assenza dai ranking di popolarità. La scelta dell’asimmetria è deliberata: un termine pesato simmetrico premierebbe un dominio pulito, e poiché la maggior parte della disinformazione vive su domini ordinari che non presentano alcun red flag, questo gonfierebbe la coda bassa. La penalità è stata validata sull’holdout futuro: concordanza da 0,755 a 0,775, con ogni correzione a carico di cloni a bassa affidabilità.</w:t>
      </w:r>
    </w:p>
    <w:p>
      <w:pPr>
        <w:pStyle w:val="729"/>
        <w:pBdr/>
        <w:spacing w:after="120" w:before="240" w:line="276" w:lineRule="auto"/>
        <w:ind/>
        <w:rPr/>
      </w:pPr>
      <w:r>
        <w:rPr>
          <w:rFonts w:ascii="Google Sans" w:hAnsi="Google Sans" w:eastAsia="Google Sans" w:cs="Google Sans"/>
          <w:b/>
          <w:bCs/>
          <w:color w:val="1f1f1f"/>
          <w:sz w:val="28"/>
          <w:szCs w:val="28"/>
        </w:rPr>
        <w:t xml:space="preserve">2.3 Caratteristiche Distintive</w:t>
      </w:r>
      <w:r/>
    </w:p>
    <w:p>
      <w:pPr>
        <w:pBdr/>
        <w:spacing w:after="240" w:before="0" w:line="276" w:lineRule="auto"/>
        <w:ind/>
        <w:jc w:val="both"/>
        <w:rPr/>
      </w:pPr>
      <w:r>
        <w:rPr>
          <w:rFonts w:ascii="Google Sans" w:hAnsi="Google Sans" w:eastAsia="Google Sans" w:cs="Google Sans"/>
          <w:color w:val="1f1f1f"/>
          <w:sz w:val="22"/>
          <w:szCs w:val="22"/>
        </w:rPr>
        <w:t>CATS presenta tre caratteristiche distintive: (a) spiegabilità nativa — ogni valutazione genera un trace_id che permette di ricostruire esattamente i segnali contribuenti, superando il limite delle piattaforme black-box; (b) conformità proattiva — endpoint GDPR integrati nativamente fin dalla v1.0; (c) open source (MIT) — codice auditabile pubblicamente, senza dipendenze da componenti proprietari.</w:t>
      </w:r>
      <w:r>
        <w:rPr>
          <w:rFonts w:ascii="Google Sans" w:hAnsi="Google Sans" w:eastAsia="Google Sans" w:cs="Google Sans"/>
          <w:b/>
          <w:bCs/>
          <w:color w:val="1f1f1f"/>
          <w:sz w:val="22"/>
          <w:szCs w:val="22"/>
        </w:rPr>
      </w:r>
      <w:r>
        <w:rPr>
          <w:rFonts w:ascii="Google Sans" w:hAnsi="Google Sans" w:eastAsia="Google Sans" w:cs="Google Sans"/>
          <w:color w:val="1f1f1f"/>
          <w:sz w:val="22"/>
          <w:szCs w:val="22"/>
        </w:rPr>
      </w:r>
      <w:r>
        <w:rPr>
          <w:rFonts w:ascii="Google Sans" w:hAnsi="Google Sans" w:eastAsia="Google Sans" w:cs="Google Sans"/>
          <w:b/>
          <w:bCs/>
          <w:color w:val="1f1f1f"/>
          <w:sz w:val="22"/>
          <w:szCs w:val="22"/>
        </w:rPr>
      </w:r>
      <w:r>
        <w:rPr>
          <w:rFonts w:ascii="Google Sans" w:hAnsi="Google Sans" w:eastAsia="Google Sans" w:cs="Google Sans"/>
          <w:color w:val="1f1f1f"/>
          <w:sz w:val="22"/>
          <w:szCs w:val="22"/>
        </w:rPr>
      </w:r>
      <w:r>
        <w:rPr>
          <w:rFonts w:ascii="Google Sans" w:hAnsi="Google Sans" w:eastAsia="Google Sans" w:cs="Google Sans"/>
          <w:b/>
          <w:bCs/>
          <w:color w:val="1f1f1f"/>
          <w:sz w:val="22"/>
          <w:szCs w:val="22"/>
        </w:rPr>
      </w:r>
      <w:r>
        <w:rPr>
          <w:rFonts w:ascii="Google Sans" w:hAnsi="Google Sans" w:eastAsia="Google Sans" w:cs="Google Sans"/>
          <w:color w:val="1f1f1f"/>
          <w:sz w:val="22"/>
          <w:szCs w:val="22"/>
        </w:rPr>
      </w:r>
      <w:r>
        <w:rPr>
          <w:rFonts w:ascii="Google Sans" w:hAnsi="Google Sans" w:eastAsia="Google Sans" w:cs="Google Sans"/>
          <w:b/>
          <w:bCs/>
          <w:color w:val="1f1f1f"/>
          <w:sz w:val="22"/>
          <w:szCs w:val="22"/>
        </w:rPr>
      </w:r>
      <w:r>
        <w:rPr>
          <w:rFonts w:ascii="Google Sans" w:hAnsi="Google Sans" w:eastAsia="Google Sans" w:cs="Google Sans"/>
          <w:color w:val="1f1f1f"/>
          <w:sz w:val="22"/>
          <w:szCs w:val="22"/>
        </w:rPr>
      </w:r>
      <w:r>
        <w:rPr>
          <w:rFonts w:ascii="Google Sans" w:hAnsi="Google Sans" w:eastAsia="Google Sans" w:cs="Google Sans"/>
          <w:b/>
          <w:bCs/>
          <w:color w:val="1f1f1f"/>
          <w:sz w:val="22"/>
          <w:szCs w:val="22"/>
        </w:rPr>
      </w:r>
      <w:r>
        <w:rPr>
          <w:rFonts w:ascii="Google Sans" w:hAnsi="Google Sans" w:eastAsia="Google Sans" w:cs="Google Sans"/>
          <w:color w:val="1f1f1f"/>
          <w:sz w:val="22"/>
          <w:szCs w:val="22"/>
        </w:rPr>
      </w:r>
      <w:r>
        <w:rPr>
          <w:rFonts w:ascii="Google Sans" w:hAnsi="Google Sans" w:eastAsia="Google Sans" w:cs="Google Sans"/>
          <w:b/>
          <w:bCs/>
          <w:color w:val="1f1f1f"/>
          <w:sz w:val="22"/>
          <w:szCs w:val="22"/>
        </w:rPr>
      </w:r>
      <w:r>
        <w:rPr>
          <w:rFonts w:ascii="Google Sans" w:hAnsi="Google Sans" w:eastAsia="Google Sans" w:cs="Google Sans"/>
          <w:color w:val="1f1f1f"/>
          <w:sz w:val="22"/>
          <w:szCs w:val="22"/>
        </w:rPr>
      </w:r>
      <w:r/>
    </w:p>
    <w:p>
      <w:pPr>
        <w:pStyle w:val="728"/>
        <w:pBdr/>
        <w:spacing w:after="120" w:before="320" w:line="276" w:lineRule="auto"/>
        <w:ind/>
        <w:rPr/>
      </w:pPr>
      <w:r>
        <w:rPr>
          <w:rFonts w:ascii="Google Sans" w:hAnsi="Google Sans" w:eastAsia="Google Sans" w:cs="Google Sans"/>
          <w:b/>
          <w:bCs/>
          <w:color w:val="1f1f1f"/>
          <w:sz w:val="36"/>
          <w:szCs w:val="36"/>
        </w:rPr>
        <w:t xml:space="preserve">3. Architettura Tecnica</w:t>
      </w:r>
      <w:r/>
    </w:p>
    <w:p>
      <w:pPr>
        <w:pStyle w:val="729"/>
        <w:pBdr/>
        <w:spacing w:after="120" w:before="240" w:line="276" w:lineRule="auto"/>
        <w:ind/>
        <w:rPr/>
      </w:pPr>
      <w:r>
        <w:rPr>
          <w:rFonts w:ascii="Google Sans" w:hAnsi="Google Sans" w:eastAsia="Google Sans" w:cs="Google Sans"/>
          <w:b/>
          <w:bCs/>
          <w:color w:val="1f1f1f"/>
          <w:sz w:val="28"/>
          <w:szCs w:val="28"/>
        </w:rPr>
        <w:t xml:space="preserve">3.1 Panoramica del Sistema</w:t>
      </w:r>
      <w:r/>
    </w:p>
    <w:p>
      <w:pPr>
        <w:pBdr/>
        <w:spacing w:after="240" w:before="0" w:line="276" w:lineRule="auto"/>
        <w:ind/>
        <w:jc w:val="both"/>
        <w:rPr/>
      </w:pPr>
      <w:r>
        <w:rPr>
          <w:rFonts w:ascii="Google Sans" w:hAnsi="Google Sans" w:eastAsia="Google Sans" w:cs="Google Sans"/>
          <w:color w:val="1f1f1f"/>
          <w:sz w:val="22"/>
          <w:szCs w:val="22"/>
        </w:rPr>
        <w:t xml:space="preserve">CATS è una REST API a</w:t>
      </w:r>
      <w:r>
        <w:rPr>
          <w:rFonts w:ascii="Google Sans" w:hAnsi="Google Sans" w:eastAsia="Google Sans" w:cs="Google Sans"/>
          <w:color w:val="1f1f1f"/>
          <w:sz w:val="22"/>
          <w:szCs w:val="22"/>
        </w:rPr>
        <w:t xml:space="preserve">sincrona costruita su FastAPI (Python 3.11), con storage persistente su PostgreSQL 16 e rate limiting distribuito su Redis 7. Il deployment è containerizzato con Docker multi-stage (utente non-root, filesystem read-only) e nginx come reverse proxy TLS 1.3.</w:t>
      </w:r>
      <w:r/>
    </w:p>
    <w:p>
      <w:pPr>
        <w:pBdr/>
        <w:spacing w:after="60" w:before="0"/>
        <w:ind/>
        <w:rPr/>
      </w:pPr>
      <w:r/>
      <w:r/>
    </w:p>
    <w:p>
      <w:pPr>
        <w:pBdr/>
        <w:shd w:val="clear" w:color="auto" w:fill="eceff1"/>
        <w:spacing w:after="0" w:before="0"/>
        <w:ind w:right="240" w:left="240"/>
        <w:rPr/>
      </w:pPr>
      <w:r>
        <w:rPr>
          <w:rFonts w:ascii="Courier New" w:hAnsi="Courier New" w:eastAsia="Courier New" w:cs="Courier New"/>
          <w:color w:val="37474f"/>
          <w:sz w:val="18"/>
          <w:szCs w:val="18"/>
        </w:rPr>
        <w:t xml:space="preserve">Client (HTTPS + Bearer Token)</w:t>
      </w:r>
      <w:r/>
    </w:p>
    <w:p>
      <w:pPr>
        <w:pBdr/>
        <w:shd w:val="clear" w:color="auto" w:fill="eceff1"/>
        <w:spacing w:after="0" w:before="0"/>
        <w:ind w:right="240" w:left="240"/>
        <w:rPr/>
      </w:pPr>
      <w:r>
        <w:rPr>
          <w:rFonts w:ascii="Courier New" w:hAnsi="Courier New" w:eastAsia="Courier New" w:cs="Courier New"/>
          <w:color w:val="37474f"/>
          <w:sz w:val="18"/>
          <w:szCs w:val="18"/>
        </w:rPr>
        <w:t xml:space="preserve">    |</w:t>
      </w:r>
      <w:r/>
    </w:p>
    <w:p>
      <w:pPr>
        <w:pBdr/>
        <w:shd w:val="clear" w:color="auto" w:fill="eceff1"/>
        <w:spacing w:after="0" w:before="0"/>
        <w:ind w:right="240" w:left="240"/>
        <w:rPr/>
      </w:pPr>
      <w:r>
        <w:rPr>
          <w:rFonts w:ascii="Courier New" w:hAnsi="Courier New" w:eastAsia="Courier New" w:cs="Courier New"/>
          <w:color w:val="37474f"/>
          <w:sz w:val="18"/>
          <w:szCs w:val="18"/>
        </w:rPr>
        <w:t xml:space="preserve">nginx  (TLS 1.3 · rate 30 req/min per IP)</w:t>
      </w:r>
      <w:r/>
    </w:p>
    <w:p>
      <w:pPr>
        <w:pBdr/>
        <w:shd w:val="clear" w:color="auto" w:fill="eceff1"/>
        <w:spacing w:after="0" w:before="0"/>
        <w:ind w:right="240" w:left="240"/>
        <w:rPr/>
      </w:pPr>
      <w:r>
        <w:rPr>
          <w:rFonts w:ascii="Courier New" w:hAnsi="Courier New" w:eastAsia="Courier New" w:cs="Courier New"/>
          <w:color w:val="37474f"/>
          <w:sz w:val="18"/>
          <w:szCs w:val="18"/>
        </w:rPr>
        <w:t xml:space="preserve">    |</w:t>
      </w:r>
      <w:r/>
    </w:p>
    <w:p>
      <w:pPr>
        <w:pBdr/>
        <w:shd w:val="clear" w:color="auto" w:fill="eceff1"/>
        <w:spacing w:after="0" w:before="0"/>
        <w:ind w:right="240" w:left="240"/>
        <w:rPr/>
      </w:pPr>
      <w:r>
        <w:rPr>
          <w:rFonts w:ascii="Courier New" w:hAnsi="Courier New" w:eastAsia="Courier New" w:cs="Courier New"/>
          <w:color w:val="37474f"/>
          <w:sz w:val="18"/>
          <w:szCs w:val="18"/>
        </w:rPr>
        <w:t xml:space="preserve">FastAPI  —  9-phase evaluation pipeline</w:t>
      </w:r>
      <w:r/>
    </w:p>
    <w:p>
      <w:pPr>
        <w:pBdr/>
        <w:shd w:val="clear" w:color="auto" w:fill="eceff1"/>
        <w:spacing w:after="0" w:before="0"/>
        <w:ind w:right="240" w:left="240"/>
        <w:rPr/>
      </w:pPr>
      <w:r>
        <w:rPr>
          <w:rFonts w:ascii="Courier New" w:hAnsi="Courier New" w:eastAsia="Courier New" w:cs="Courier New"/>
          <w:color w:val="37474f"/>
          <w:sz w:val="18"/>
          <w:szCs w:val="18"/>
        </w:rPr>
        <w:t xml:space="preserve">    |_________________________|</w:t>
      </w:r>
      <w:r/>
    </w:p>
    <w:p>
      <w:pPr>
        <w:pBdr/>
        <w:shd w:val="clear" w:color="auto" w:fill="eceff1"/>
        <w:spacing w:after="0" w:before="0"/>
        <w:ind w:right="240" w:left="240"/>
        <w:rPr/>
      </w:pPr>
      <w:r>
        <w:rPr>
          <w:rFonts w:ascii="Courier New" w:hAnsi="Courier New" w:eastAsia="Courier New" w:cs="Courier New"/>
          <w:color w:val="37474f"/>
          <w:sz w:val="18"/>
          <w:szCs w:val="18"/>
        </w:rPr>
        <w:t xml:space="preserve">Redis 7                 PostgreSQL 16</w:t>
      </w:r>
      <w:r/>
    </w:p>
    <w:p>
      <w:pPr>
        <w:pBdr/>
        <w:shd w:val="clear" w:color="auto" w:fill="eceff1"/>
        <w:spacing w:after="0" w:before="0"/>
        <w:ind w:right="240" w:left="240"/>
        <w:rPr/>
      </w:pPr>
      <w:r>
        <w:rPr>
          <w:rFonts w:ascii="Courier New" w:hAnsi="Courier New" w:eastAsia="Courier New" w:cs="Courier New"/>
          <w:color w:val="37474f"/>
          <w:sz w:val="18"/>
          <w:szCs w:val="18"/>
        </w:rPr>
        <w:t xml:space="preserve">(rate limiting)         (AES-256-GCM audit + APScheduler purge)</w:t>
      </w:r>
      <w:r/>
    </w:p>
    <w:p>
      <w:pPr>
        <w:pBdr/>
        <w:spacing w:after="240" w:before="60"/>
        <w:ind/>
        <w:jc w:val="center"/>
        <w:rPr/>
      </w:pPr>
      <w:r>
        <w:rPr>
          <w:rFonts w:ascii="Google Sans" w:hAnsi="Google Sans" w:eastAsia="Google Sans" w:cs="Google Sans"/>
          <w:i/>
          <w:iCs/>
          <w:color w:val="444746"/>
          <w:sz w:val="18"/>
          <w:szCs w:val="18"/>
        </w:rPr>
        <w:t>Figura 1 — Architettura di sistema CATS v1.1</w:t>
      </w:r>
      <w:r/>
    </w:p>
    <w:p>
      <w:pPr>
        <w:pStyle w:val="729"/>
        <w:pBdr/>
        <w:spacing w:after="120" w:before="240" w:line="276" w:lineRule="auto"/>
        <w:ind/>
        <w:rPr/>
      </w:pPr>
      <w:r>
        <w:rPr>
          <w:rFonts w:ascii="Google Sans" w:hAnsi="Google Sans" w:eastAsia="Google Sans" w:cs="Google Sans"/>
          <w:b/>
          <w:bCs/>
          <w:color w:val="1f1f1f"/>
          <w:sz w:val="28"/>
          <w:szCs w:val="28"/>
        </w:rPr>
        <w:t xml:space="preserve">3.2 Il Pipeline di Valutazione (9 Fasi)</w:t>
      </w:r>
      <w:r/>
    </w:p>
    <w:p>
      <w:pPr>
        <w:pBdr/>
        <w:spacing w:after="240" w:before="0" w:line="276" w:lineRule="auto"/>
        <w:ind/>
        <w:jc w:val="both"/>
        <w:rPr/>
      </w:pPr>
      <w:r>
        <w:rPr>
          <w:rFonts w:ascii="Google Sans" w:hAnsi="Google Sans" w:eastAsia="Google Sans" w:cs="Google Sans"/>
          <w:color w:val="1f1f1f"/>
          <w:sz w:val="22"/>
          <w:szCs w:val="22"/>
        </w:rPr>
        <w:t xml:space="preserve">Ogni chiamata a POST /v1/cats/evaluate attraversa le seguenti fasi in sequenza:</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0"/>
        <w:gridCol w:w="2200"/>
        <w:gridCol w:w="673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1D1A1ADD">
            <w:pPr>
              <w:pBdr/>
              <w:spacing/>
              <w:ind/>
              <w:jc w:val="center"/>
              <w:rPr/>
            </w:pPr>
            <w:r>
              <w:rPr>
                <w:rFonts w:ascii="Arial" w:hAnsi="Arial" w:eastAsia="Arial" w:cs="Arial"/>
                <w:b/>
                <w:bCs/>
                <w:color w:val="ffffff"/>
                <w:sz w:val="20"/>
                <w:szCs w:val="20"/>
              </w:rPr>
              <w:t xml:space="preserve">Fase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3AD38759">
            <w:pPr>
              <w:pBdr/>
              <w:spacing/>
              <w:ind/>
              <w:jc w:val="left"/>
              <w:rPr/>
            </w:pPr>
            <w:r>
              <w:rPr>
                <w:rFonts w:ascii="Arial" w:hAnsi="Arial" w:eastAsia="Arial" w:cs="Arial"/>
                <w:b/>
                <w:bCs/>
                <w:color w:val="ffffff"/>
                <w:sz w:val="20"/>
                <w:szCs w:val="20"/>
              </w:rPr>
              <w:t xml:space="preserve">Modulo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242C8D47">
            <w:pPr>
              <w:pBdr/>
              <w:spacing/>
              <w:ind/>
              <w:jc w:val="left"/>
              <w:rPr/>
            </w:pPr>
            <w:r>
              <w:rPr>
                <w:rFonts w:ascii="Arial" w:hAnsi="Arial" w:eastAsia="Arial" w:cs="Arial"/>
                <w:b/>
                <w:bCs/>
                <w:color w:val="ffffff"/>
                <w:sz w:val="20"/>
                <w:szCs w:val="20"/>
              </w:rPr>
              <w:t xml:space="preserve">Descrizione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27602368">
            <w:pPr>
              <w:pBdr/>
              <w:spacing/>
              <w:ind/>
              <w:jc w:val="center"/>
              <w:rPr/>
            </w:pPr>
            <w:r>
              <w:rPr>
                <w:rFonts w:ascii="Arial" w:hAnsi="Arial" w:eastAsia="Arial" w:cs="Arial"/>
                <w:b/>
                <w:bCs/>
                <w:color w:val="404040"/>
                <w:sz w:val="20"/>
                <w:szCs w:val="20"/>
              </w:rPr>
              <w:t xml:space="preserve">1</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2132EF39">
            <w:pPr>
              <w:pBdr/>
              <w:spacing/>
              <w:ind/>
              <w:jc w:val="left"/>
              <w:rPr/>
            </w:pPr>
            <w:r>
              <w:rPr>
                <w:rFonts w:ascii="Arial" w:hAnsi="Arial" w:eastAsia="Arial" w:cs="Arial"/>
                <w:b/>
                <w:bCs/>
                <w:color w:val="404040"/>
                <w:sz w:val="20"/>
                <w:szCs w:val="20"/>
              </w:rPr>
              <w:t xml:space="preserve">normalize_messages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4A72859C">
            <w:pPr>
              <w:pBdr/>
              <w:spacing/>
              <w:ind/>
              <w:jc w:val="left"/>
              <w:rPr/>
            </w:pPr>
            <w:r>
              <w:rPr>
                <w:rFonts w:ascii="Arial" w:hAnsi="Arial" w:eastAsia="Arial" w:cs="Arial"/>
                <w:b w:val="0"/>
                <w:bCs w:val="0"/>
                <w:color w:val="404040"/>
                <w:sz w:val="20"/>
                <w:szCs w:val="20"/>
              </w:rPr>
              <w:t xml:space="preserve">Validazione, ordinamento UTC, deduplicazione messaggi in input</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63829B27">
            <w:pPr>
              <w:pBdr/>
              <w:spacing/>
              <w:ind/>
              <w:jc w:val="center"/>
              <w:rPr/>
            </w:pPr>
            <w:r>
              <w:rPr>
                <w:rFonts w:ascii="Arial" w:hAnsi="Arial" w:eastAsia="Arial" w:cs="Arial"/>
                <w:b/>
                <w:bCs/>
                <w:color w:val="404040"/>
                <w:sz w:val="20"/>
                <w:szCs w:val="20"/>
              </w:rPr>
              <w:t xml:space="preserve">2</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54DD5B19">
            <w:pPr>
              <w:pBdr/>
              <w:spacing/>
              <w:ind/>
              <w:jc w:val="left"/>
              <w:rPr/>
            </w:pPr>
            <w:r>
              <w:rPr>
                <w:rFonts w:ascii="Arial" w:hAnsi="Arial" w:eastAsia="Arial" w:cs="Arial"/>
                <w:b/>
                <w:bCs/>
                <w:color w:val="404040"/>
                <w:sz w:val="20"/>
                <w:szCs w:val="20"/>
              </w:rPr>
              <w:t xml:space="preserve">compute_coherence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6A1412E7">
            <w:pPr>
              <w:pBdr/>
              <w:spacing/>
              <w:ind/>
              <w:jc w:val="left"/>
              <w:rPr/>
            </w:pPr>
            <w:r>
              <w:rPr>
                <w:rFonts w:ascii="Arial" w:hAnsi="Arial" w:eastAsia="Arial" w:cs="Arial"/>
                <w:b w:val="0"/>
                <w:bCs w:val="0"/>
                <w:color w:val="404040"/>
                <w:sz w:val="20"/>
                <w:szCs w:val="20"/>
              </w:rPr>
              <w:t xml:space="preserve">Estrazione entità (spaCy NER) e calcolo Jaccard similarity tra messaggi consecutivi</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08362705">
            <w:pPr>
              <w:pBdr/>
              <w:spacing/>
              <w:ind/>
              <w:jc w:val="center"/>
              <w:rPr/>
            </w:pPr>
            <w:r>
              <w:rPr>
                <w:rFonts w:ascii="Arial" w:hAnsi="Arial" w:eastAsia="Arial" w:cs="Arial"/>
                <w:b/>
                <w:bCs/>
                <w:color w:val="404040"/>
                <w:sz w:val="20"/>
                <w:szCs w:val="20"/>
              </w:rPr>
              <w:t xml:space="preserve">3</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2F8D9F2C">
            <w:pPr>
              <w:pBdr/>
              <w:spacing/>
              <w:ind/>
              <w:jc w:val="left"/>
              <w:rPr/>
            </w:pPr>
            <w:r>
              <w:rPr>
                <w:rFonts w:ascii="Arial" w:hAnsi="Arial" w:eastAsia="Arial" w:cs="Arial"/>
                <w:b/>
                <w:bCs/>
                <w:color w:val="404040"/>
                <w:sz w:val="20"/>
                <w:szCs w:val="20"/>
              </w:rPr>
              <w:t xml:space="preserve">compute_volatility</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377DB1E6">
            <w:pPr>
              <w:pBdr/>
              <w:spacing/>
              <w:ind/>
              <w:jc w:val="left"/>
              <w:rPr/>
            </w:pPr>
            <w:r>
              <w:rPr>
                <w:rFonts w:ascii="Arial" w:hAnsi="Arial" w:eastAsia="Arial" w:cs="Arial"/>
                <w:b w:val="0"/>
                <w:bCs w:val="0"/>
                <w:color w:val="404040"/>
                <w:sz w:val="20"/>
                <w:szCs w:val="20"/>
              </w:rPr>
              <w:t xml:space="preserve">Rilevamento spike di sentiment (TextBlob + correzione negazione italiana)</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1747C32E">
            <w:pPr>
              <w:pBdr/>
              <w:spacing/>
              <w:ind/>
              <w:jc w:val="center"/>
              <w:rPr/>
            </w:pPr>
            <w:r>
              <w:rPr>
                <w:rFonts w:ascii="Arial" w:hAnsi="Arial" w:eastAsia="Arial" w:cs="Arial"/>
                <w:b/>
                <w:bCs/>
                <w:color w:val="404040"/>
                <w:sz w:val="20"/>
                <w:szCs w:val="20"/>
              </w:rPr>
              <w:t xml:space="preserve">4</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41BD043C">
            <w:pPr>
              <w:pBdr/>
              <w:spacing/>
              <w:ind/>
              <w:jc w:val="left"/>
              <w:rPr/>
            </w:pPr>
            <w:r>
              <w:rPr>
                <w:rFonts w:ascii="Arial" w:hAnsi="Arial" w:eastAsia="Arial" w:cs="Arial"/>
                <w:b/>
                <w:bCs/>
                <w:color w:val="404040"/>
                <w:sz w:val="20"/>
                <w:szCs w:val="20"/>
              </w:rPr>
              <w:t xml:space="preserve">compute_silence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1C10D1D3">
            <w:pPr>
              <w:pBdr/>
              <w:spacing/>
              <w:ind/>
              <w:jc w:val="left"/>
              <w:rPr/>
            </w:pPr>
            <w:r>
              <w:rPr>
                <w:rFonts w:ascii="Arial" w:hAnsi="Arial" w:eastAsia="Arial" w:cs="Arial"/>
                <w:b w:val="0"/>
                <w:bCs w:val="0"/>
                <w:color w:val="404040"/>
                <w:sz w:val="20"/>
                <w:szCs w:val="20"/>
              </w:rPr>
              <w:t xml:space="preserve">Analisi gap temporali anomali rispetto alle soglie per tipo di fonte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4C6949AF">
            <w:pPr>
              <w:pBdr/>
              <w:spacing/>
              <w:ind/>
              <w:jc w:val="center"/>
              <w:rPr/>
            </w:pPr>
            <w:r>
              <w:rPr>
                <w:rFonts w:ascii="Arial" w:hAnsi="Arial" w:eastAsia="Arial" w:cs="Arial"/>
                <w:b/>
                <w:bCs/>
                <w:color w:val="404040"/>
                <w:sz w:val="20"/>
                <w:szCs w:val="20"/>
              </w:rPr>
              <w:t xml:space="preserve">5</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2FBFEEB6">
            <w:pPr>
              <w:pBdr/>
              <w:spacing/>
              <w:ind/>
              <w:jc w:val="left"/>
              <w:rPr/>
            </w:pPr>
            <w:r>
              <w:rPr>
                <w:rFonts w:ascii="Arial" w:hAnsi="Arial" w:eastAsia="Arial" w:cs="Arial"/>
                <w:b/>
                <w:bCs/>
                <w:color w:val="404040"/>
                <w:sz w:val="20"/>
                <w:szCs w:val="20"/>
              </w:rPr>
              <w:t xml:space="preserve">compute_gaming</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2B07CFFE">
            <w:pPr>
              <w:pBdr/>
              <w:spacing/>
              <w:ind/>
              <w:jc w:val="left"/>
              <w:rPr/>
            </w:pPr>
            <w:r>
              <w:rPr>
                <w:rFonts w:ascii="Arial" w:hAnsi="Arial" w:eastAsia="Arial" w:cs="Arial"/>
                <w:b w:val="0"/>
                <w:bCs w:val="0"/>
                <w:color w:val="404040"/>
                <w:sz w:val="20"/>
                <w:szCs w:val="20"/>
              </w:rPr>
              <w:t xml:space="preserve">Calcolo TTR, ripetizione bigrammi, burst rate, diversità lessicale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6D234C3B">
            <w:pPr>
              <w:pBdr/>
              <w:spacing/>
              <w:ind/>
              <w:jc w:val="center"/>
              <w:rPr/>
            </w:pPr>
            <w:r>
              <w:rPr>
                <w:rFonts w:ascii="Arial" w:hAnsi="Arial" w:eastAsia="Arial" w:cs="Arial"/>
                <w:b/>
                <w:bCs/>
                <w:color w:val="404040"/>
                <w:sz w:val="20"/>
                <w:szCs w:val="20"/>
              </w:rPr>
              <w:t xml:space="preserve">6</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68D70CA7">
            <w:pPr>
              <w:pBdr/>
              <w:spacing/>
              <w:ind/>
              <w:jc w:val="left"/>
              <w:rPr/>
            </w:pPr>
            <w:r>
              <w:rPr>
                <w:rFonts w:ascii="Arial" w:hAnsi="Arial" w:eastAsia="Arial" w:cs="Arial"/>
                <w:b/>
                <w:bCs/>
                <w:color w:val="404040"/>
                <w:sz w:val="20"/>
                <w:szCs w:val="20"/>
              </w:rPr>
              <w:t xml:space="preserve">get_dynamic_weights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094BC263">
            <w:pPr>
              <w:pBdr/>
              <w:spacing/>
              <w:ind/>
              <w:jc w:val="left"/>
              <w:rPr/>
            </w:pPr>
            <w:r>
              <w:rPr>
                <w:rFonts w:ascii="Arial" w:hAnsi="Arial" w:eastAsia="Arial" w:cs="Arial"/>
                <w:b w:val="0"/>
                <w:bCs w:val="0"/>
                <w:color w:val="404040"/>
                <w:sz w:val="20"/>
                <w:szCs w:val="20"/>
              </w:rPr>
              <w:t xml:space="preserve">Selezione matrice pesi contestuale (social / news / default)</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5A7CD5F4">
            <w:pPr>
              <w:pBdr/>
              <w:spacing/>
              <w:ind/>
              <w:jc w:val="center"/>
              <w:rPr/>
            </w:pPr>
            <w:r>
              <w:rPr>
                <w:rFonts w:ascii="Arial" w:hAnsi="Arial" w:eastAsia="Arial" w:cs="Arial"/>
                <w:b/>
                <w:bCs/>
                <w:color w:val="404040"/>
                <w:sz w:val="20"/>
                <w:szCs w:val="20"/>
              </w:rPr>
              <w:t xml:space="preserve">7</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0147EFCC">
            <w:pPr>
              <w:pBdr/>
              <w:spacing/>
              <w:ind/>
              <w:jc w:val="left"/>
              <w:rPr/>
            </w:pPr>
            <w:r>
              <w:rPr>
                <w:rFonts w:ascii="Arial" w:hAnsi="Arial" w:eastAsia="Arial" w:cs="Arial"/>
                <w:b/>
                <w:bCs/>
                <w:color w:val="404040"/>
                <w:sz w:val="20"/>
                <w:szCs w:val="20"/>
              </w:rPr>
              <w:t xml:space="preserve">aggregate_score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2CDB37AC">
            <w:pPr>
              <w:pBdr/>
              <w:spacing/>
              <w:ind/>
              <w:jc w:val="left"/>
              <w:rPr/>
            </w:pPr>
            <w:r>
              <w:rPr>
                <w:rFonts w:ascii="Arial" w:hAnsi="Arial" w:eastAsia="Arial" w:cs="Arial"/>
                <w:b w:val="0"/>
                <w:bCs w:val="0"/>
                <w:color w:val="404040"/>
                <w:sz w:val="20"/>
                <w:szCs w:val="20"/>
              </w:rPr>
              <w:t xml:space="preserve">Media ponderata dei quattro segnali → score 0–100</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7025A2BF">
            <w:pPr>
              <w:pBdr/>
              <w:spacing/>
              <w:ind/>
              <w:jc w:val="center"/>
              <w:rPr/>
            </w:pPr>
            <w:r>
              <w:rPr>
                <w:rFonts w:ascii="Arial" w:hAnsi="Arial" w:eastAsia="Arial" w:cs="Arial"/>
                <w:b/>
                <w:bCs/>
                <w:color w:val="404040"/>
                <w:sz w:val="20"/>
                <w:szCs w:val="20"/>
              </w:rPr>
              <w:t xml:space="preserve">8</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4F480E03">
            <w:pPr>
              <w:pBdr/>
              <w:spacing/>
              <w:ind/>
              <w:jc w:val="left"/>
              <w:rPr/>
            </w:pPr>
            <w:r>
              <w:rPr>
                <w:rFonts w:ascii="Arial" w:hAnsi="Arial" w:eastAsia="Arial" w:cs="Arial"/>
                <w:b/>
                <w:bCs/>
                <w:color w:val="404040"/>
                <w:sz w:val="20"/>
                <w:szCs w:val="20"/>
              </w:rPr>
              <w:t xml:space="preserve">determine_band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30663ADF">
            <w:pPr>
              <w:pBdr/>
              <w:spacing/>
              <w:ind/>
              <w:jc w:val="left"/>
              <w:rPr/>
            </w:pPr>
            <w:r>
              <w:rPr>
                <w:rFonts w:ascii="Arial" w:hAnsi="Arial" w:eastAsia="Arial" w:cs="Arial"/>
                <w:b w:val="0"/>
                <w:bCs w:val="0"/>
                <w:color w:val="404040"/>
                <w:sz w:val="20"/>
                <w:szCs w:val="20"/>
              </w:rPr>
              <w:t xml:space="preserve">Classificazione ordinale in 5 bande di affidabilità</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vAlign w:val="center"/>
          </w:tcPr>
          <w:p w14:paraId="152FB1B1">
            <w:pPr>
              <w:pBdr/>
              <w:spacing/>
              <w:ind/>
              <w:jc w:val="center"/>
              <w:rPr/>
            </w:pPr>
            <w:r>
              <w:rPr>
                <w:rFonts w:ascii="Arial" w:hAnsi="Arial" w:eastAsia="Arial" w:cs="Arial"/>
                <w:b/>
                <w:bCs/>
                <w:color w:val="404040"/>
                <w:sz w:val="20"/>
                <w:szCs w:val="20"/>
              </w:rPr>
              <w:t xml:space="preserve">9</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14:paraId="5F062EAE">
            <w:pPr>
              <w:pBdr/>
              <w:spacing/>
              <w:ind/>
              <w:jc w:val="left"/>
              <w:rPr/>
            </w:pPr>
            <w:r>
              <w:rPr>
                <w:rFonts w:ascii="Arial" w:hAnsi="Arial" w:eastAsia="Arial" w:cs="Arial"/>
                <w:b/>
                <w:bCs/>
                <w:color w:val="404040"/>
                <w:sz w:val="20"/>
                <w:szCs w:val="20"/>
              </w:rPr>
              <w:t xml:space="preserve">log_evaluation</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38" w:type="dxa"/>
            <w:vAlign w:val="center"/>
          </w:tcPr>
          <w:p w14:paraId="2E1BC1EA">
            <w:pPr>
              <w:pBdr/>
              <w:spacing/>
              <w:ind/>
              <w:jc w:val="left"/>
              <w:rPr/>
            </w:pPr>
            <w:r>
              <w:rPr>
                <w:rFonts w:ascii="Arial" w:hAnsi="Arial" w:eastAsia="Arial" w:cs="Arial"/>
                <w:b w:val="0"/>
                <w:bCs w:val="0"/>
                <w:color w:val="404040"/>
                <w:sz w:val="20"/>
                <w:szCs w:val="20"/>
              </w:rPr>
              <w:t xml:space="preserve">Scrittura audit log cifrato AES-256-GCM in PostgreSQL</w:t>
            </w:r>
            <w:r/>
            <w:r/>
          </w:p>
        </w:tc>
      </w:tr>
    </w:tbl>
    <w:p>
      <w:pPr>
        <w:pBdr/>
        <w:spacing w:after="8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4. Segnali Analitici — Dettaglio Tecnico</w:t>
      </w:r>
      <w:r/>
    </w:p>
    <w:p>
      <w:pPr>
        <w:pStyle w:val="729"/>
        <w:pBdr/>
        <w:spacing w:after="120" w:before="240" w:line="276" w:lineRule="auto"/>
        <w:ind/>
        <w:rPr/>
      </w:pPr>
      <w:r>
        <w:rPr>
          <w:rFonts w:ascii="Google Sans" w:hAnsi="Google Sans" w:eastAsia="Google Sans" w:cs="Google Sans"/>
          <w:b/>
          <w:bCs/>
          <w:color w:val="1f1f1f"/>
          <w:sz w:val="28"/>
          <w:szCs w:val="28"/>
        </w:rPr>
        <w:t xml:space="preserve">4.1 Coerenza (Coherence)</w:t>
      </w:r>
      <w:r/>
    </w:p>
    <w:p>
      <w:pPr>
        <w:pBdr/>
        <w:spacing w:after="240" w:before="0" w:line="276" w:lineRule="auto"/>
        <w:ind/>
        <w:jc w:val="both"/>
        <w:rPr/>
      </w:pPr>
      <w:r>
        <w:rPr>
          <w:rFonts w:ascii="Google Sans" w:hAnsi="Google Sans" w:eastAsia="Google Sans" w:cs="Google Sans"/>
          <w:color w:val="1f1f1f"/>
          <w:sz w:val="22"/>
          <w:szCs w:val="22"/>
        </w:rPr>
        <w:t xml:space="preserve">Misura la consistenza tematica di una fonte nel tempo tramite Named Entity Recognition (NER) via spaCy </w:t>
      </w:r>
      <w:r>
        <w:rPr>
          <w:rFonts w:ascii="Courier New" w:hAnsi="Courier New" w:eastAsia="Courier New" w:cs="Courier New"/>
          <w:color w:val="37474f"/>
          <w:sz w:val="22"/>
          <w:szCs w:val="22"/>
        </w:rPr>
        <w:t xml:space="preserve">it_core_news_lg</w:t>
      </w:r>
      <w:r>
        <w:rPr>
          <w:rFonts w:ascii="Google Sans" w:hAnsi="Google Sans" w:eastAsia="Google Sans" w:cs="Google Sans"/>
          <w:color w:val="1f1f1f"/>
          <w:sz w:val="22"/>
          <w:szCs w:val="22"/>
        </w:rPr>
        <w:t xml:space="preserve">, estraendo entità di tipo PER, ORG, GPE, LOC. La coerenza è la media delle similarità di Jaccard tra coppie consecutive:</w:t>
      </w:r>
      <w:r/>
    </w:p>
    <w:p>
      <w:pPr>
        <w:pBdr/>
        <w:shd w:val="clear" w:color="auto" w:fill="eceff1"/>
        <w:spacing w:after="80" w:before="80"/>
        <w:ind/>
        <w:jc w:val="center"/>
        <w:rPr/>
      </w:pPr>
      <w:r>
        <w:rPr>
          <w:rFonts w:ascii="Courier New" w:hAnsi="Courier New" w:eastAsia="Courier New" w:cs="Courier New"/>
          <w:b/>
          <w:bCs/>
          <w:color w:val="37474f"/>
          <w:sz w:val="22"/>
          <w:szCs w:val="22"/>
        </w:rPr>
        <w:t xml:space="preserve">Jaccard(A, B)  =  |A ∩ B|  /  |A ∪ B|</w:t>
      </w:r>
      <w:r/>
    </w:p>
    <w:p>
      <w:pPr>
        <w:pBdr/>
        <w:spacing w:after="240" w:before="0" w:line="276" w:lineRule="auto"/>
        <w:ind/>
        <w:jc w:val="both"/>
        <w:rPr/>
      </w:pPr>
      <w:r>
        <w:rPr>
          <w:rFonts w:ascii="Google Sans" w:hAnsi="Google Sans" w:eastAsia="Google Sans" w:cs="Google Sans"/>
          <w:color w:val="1f1f1f"/>
          <w:sz w:val="22"/>
          <w:szCs w:val="22"/>
        </w:rPr>
        <w:t xml:space="preserve">Una coerenza bassa indica che la fonte cambia sistematicamente i soggetti discussi: segnale di incoerenza narrativa o cambio di orientamento editoriale.</w:t>
      </w:r>
      <w:r/>
    </w:p>
    <w:p>
      <w:pPr>
        <w:pStyle w:val="729"/>
        <w:pBdr/>
        <w:spacing w:after="120" w:before="240" w:line="276" w:lineRule="auto"/>
        <w:ind/>
        <w:rPr/>
      </w:pPr>
      <w:r>
        <w:rPr>
          <w:rFonts w:ascii="Google Sans" w:hAnsi="Google Sans" w:eastAsia="Google Sans" w:cs="Google Sans"/>
          <w:b/>
          <w:bCs/>
          <w:color w:val="1f1f1f"/>
          <w:sz w:val="28"/>
          <w:szCs w:val="28"/>
        </w:rPr>
        <w:t xml:space="preserve">4.2 Volatilità (Volatility)</w:t>
      </w:r>
      <w:r/>
    </w:p>
    <w:p>
      <w:pPr>
        <w:pBdr/>
        <w:spacing w:after="240" w:before="0" w:line="276" w:lineRule="auto"/>
        <w:ind/>
        <w:jc w:val="both"/>
        <w:rPr/>
      </w:pPr>
      <w:r>
        <w:rPr>
          <w:rFonts w:ascii="Google Sans" w:hAnsi="Google Sans" w:eastAsia="Google Sans" w:cs="Google Sans"/>
          <w:color w:val="1f1f1f"/>
          <w:sz w:val="22"/>
          <w:szCs w:val="22"/>
        </w:rPr>
        <w:t xml:space="preserve">Rileva variazioni brusche nel tono narrativo. Il sentiment di ciascun messaggio è calcolato via TextBlob con correzione per la negazione italiana (parole-chiave: </w:t>
      </w:r>
      <w:r>
        <w:rPr>
          <w:rFonts w:ascii="Google Sans" w:hAnsi="Google Sans" w:eastAsia="Google Sans" w:cs="Google Sans"/>
          <w:i/>
          <w:iCs/>
          <w:color w:val="1f1f1f"/>
          <w:sz w:val="22"/>
          <w:szCs w:val="22"/>
        </w:rPr>
        <w:t xml:space="preserve">non, no, mai, niente, nessuno, senza</w:t>
      </w:r>
      <w:r>
        <w:rPr>
          <w:rFonts w:ascii="Google Sans" w:hAnsi="Google Sans" w:eastAsia="Google Sans" w:cs="Google Sans"/>
          <w:color w:val="1f1f1f"/>
          <w:sz w:val="22"/>
          <w:szCs w:val="22"/>
        </w:rPr>
        <w:t xml:space="preserve">). Uno spike è definito come |delta_sentiment| &gt; 0.4 tra messaggi consecutivi.</w:t>
      </w:r>
      <w:r/>
    </w:p>
    <w:p>
      <w:pPr>
        <w:pStyle w:val="729"/>
        <w:pBdr/>
        <w:spacing w:after="120" w:before="240" w:line="276" w:lineRule="auto"/>
        <w:ind/>
        <w:rPr/>
      </w:pPr>
      <w:r>
        <w:rPr>
          <w:rFonts w:ascii="Google Sans" w:hAnsi="Google Sans" w:eastAsia="Google Sans" w:cs="Google Sans"/>
          <w:b/>
          <w:bCs/>
          <w:color w:val="1f1f1f"/>
          <w:sz w:val="28"/>
          <w:szCs w:val="28"/>
        </w:rPr>
        <w:t xml:space="preserve">4.3 Silenzio (Silence)</w:t>
      </w:r>
      <w:r/>
    </w:p>
    <w:p>
      <w:pPr>
        <w:pBdr/>
        <w:spacing w:after="240" w:before="0" w:line="276" w:lineRule="auto"/>
        <w:ind/>
        <w:jc w:val="both"/>
        <w:rPr/>
      </w:pPr>
      <w:r>
        <w:rPr>
          <w:rFonts w:ascii="Google Sans" w:hAnsi="Google Sans" w:eastAsia="Google Sans" w:cs="Google Sans"/>
          <w:color w:val="1f1f1f"/>
          <w:sz w:val="22"/>
          <w:szCs w:val="22"/>
        </w:rPr>
        <w:t>Rileva gap temporali anomali nel ritmo di pubblicazione. La soglia è 96 ore, configurabile per tipo di fonte; il valore precedente di 72 ore è stato rivisto al rialzo nell’agosto 2026 dopo un retune validato su holdout (correlazione di rango con l’etichetta da −0,43 a −0,47). Il punteggio è la percentuale di gap superiori alla soglia rispetto al totale.</w:t>
      </w:r>
      <w:r/>
    </w:p>
    <w:p>
      <w:pPr>
        <w:pStyle w:val="729"/>
        <w:pBdr/>
        <w:spacing w:after="120" w:before="240" w:line="276" w:lineRule="auto"/>
        <w:ind/>
        <w:rPr/>
      </w:pPr>
      <w:r>
        <w:rPr>
          <w:rFonts w:ascii="Google Sans" w:hAnsi="Google Sans" w:eastAsia="Google Sans" w:cs="Google Sans"/>
          <w:b/>
          <w:bCs/>
          <w:color w:val="1f1f1f"/>
          <w:sz w:val="28"/>
          <w:szCs w:val="28"/>
        </w:rPr>
        <w:t xml:space="preserve">4.4 Gaming</w:t>
      </w:r>
      <w:r/>
    </w:p>
    <w:p>
      <w:pPr>
        <w:pBdr/>
        <w:spacing w:after="240" w:before="0" w:line="276" w:lineRule="auto"/>
        <w:ind/>
        <w:jc w:val="both"/>
        <w:rPr/>
      </w:pPr>
      <w:r>
        <w:rPr>
          <w:rFonts w:ascii="Google Sans" w:hAnsi="Google Sans" w:eastAsia="Google Sans" w:cs="Google Sans"/>
          <w:color w:val="1f1f1f"/>
          <w:sz w:val="22"/>
          <w:szCs w:val="22"/>
        </w:rPr>
        <w:t xml:space="preserve">Rileva pattern di manipolazione algoritmica attraverso quattro sotto-metriche:</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20"/>
        <w:gridCol w:w="2891"/>
        <w:gridCol w:w="4627"/>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293DA4D2">
            <w:pPr>
              <w:pBdr/>
              <w:spacing/>
              <w:ind/>
              <w:jc w:val="left"/>
              <w:rPr/>
            </w:pPr>
            <w:r>
              <w:rPr>
                <w:rFonts w:ascii="Arial" w:hAnsi="Arial" w:eastAsia="Arial" w:cs="Arial"/>
                <w:b/>
                <w:bCs/>
                <w:color w:val="ffffff"/>
                <w:sz w:val="20"/>
                <w:szCs w:val="20"/>
              </w:rPr>
              <w:t xml:space="preserve">Metrica</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6547FF3F">
            <w:pPr>
              <w:pBdr/>
              <w:spacing/>
              <w:ind/>
              <w:jc w:val="left"/>
              <w:rPr/>
            </w:pPr>
            <w:r>
              <w:rPr>
                <w:rFonts w:ascii="Arial" w:hAnsi="Arial" w:eastAsia="Arial" w:cs="Arial"/>
                <w:b/>
                <w:bCs/>
                <w:color w:val="ffffff"/>
                <w:sz w:val="20"/>
                <w:szCs w:val="20"/>
              </w:rPr>
              <w:t xml:space="preserve">Formula</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27" w:type="dxa"/>
            <w:vAlign w:val="center"/>
          </w:tcPr>
          <w:p w14:paraId="50CC45C7">
            <w:pPr>
              <w:pBdr/>
              <w:spacing/>
              <w:ind/>
              <w:jc w:val="left"/>
              <w:rPr/>
            </w:pPr>
            <w:r>
              <w:rPr>
                <w:rFonts w:ascii="Arial" w:hAnsi="Arial" w:eastAsia="Arial" w:cs="Arial"/>
                <w:b/>
                <w:bCs/>
                <w:color w:val="ffffff"/>
                <w:sz w:val="20"/>
                <w:szCs w:val="20"/>
              </w:rPr>
              <w:t xml:space="preserve">Rileva</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71E4ED11">
            <w:pPr>
              <w:pBdr/>
              <w:spacing/>
              <w:ind/>
              <w:jc w:val="left"/>
              <w:rPr/>
            </w:pPr>
            <w:r>
              <w:rPr>
                <w:rFonts w:ascii="Arial" w:hAnsi="Arial" w:eastAsia="Arial" w:cs="Arial"/>
                <w:b/>
                <w:bCs/>
                <w:color w:val="404040"/>
                <w:sz w:val="20"/>
                <w:szCs w:val="20"/>
              </w:rPr>
              <w:t xml:space="preserve">TTR (Type-Token Ratio)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1C55C102">
            <w:pPr>
              <w:pBdr/>
              <w:spacing/>
              <w:ind/>
              <w:jc w:val="left"/>
              <w:rPr/>
            </w:pPr>
            <w:r>
              <w:rPr>
                <w:rFonts w:ascii="Arial" w:hAnsi="Arial" w:eastAsia="Arial" w:cs="Arial"/>
                <w:b w:val="0"/>
                <w:bCs w:val="0"/>
                <w:color w:val="404040"/>
                <w:sz w:val="20"/>
                <w:szCs w:val="20"/>
              </w:rPr>
              <w:t xml:space="preserve">1 − |vocab_unici| / |token_totali|</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27" w:type="dxa"/>
            <w:vAlign w:val="center"/>
          </w:tcPr>
          <w:p w14:paraId="43F35D3F">
            <w:pPr>
              <w:pBdr/>
              <w:spacing/>
              <w:ind/>
              <w:jc w:val="left"/>
              <w:rPr/>
            </w:pPr>
            <w:r>
              <w:rPr>
                <w:rFonts w:ascii="Arial" w:hAnsi="Arial" w:eastAsia="Arial" w:cs="Arial"/>
                <w:b w:val="0"/>
                <w:bCs w:val="0"/>
                <w:color w:val="404040"/>
                <w:sz w:val="20"/>
                <w:szCs w:val="20"/>
              </w:rPr>
              <w:t xml:space="preserve">Bassa diversità lessicale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3EAADB97">
            <w:pPr>
              <w:pBdr/>
              <w:spacing/>
              <w:ind/>
              <w:jc w:val="left"/>
              <w:rPr/>
            </w:pPr>
            <w:r>
              <w:rPr>
                <w:rFonts w:ascii="Arial" w:hAnsi="Arial" w:eastAsia="Arial" w:cs="Arial"/>
                <w:b/>
                <w:bCs/>
                <w:color w:val="404040"/>
                <w:sz w:val="20"/>
                <w:szCs w:val="20"/>
              </w:rPr>
              <w:t xml:space="preserve">Repetition</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54937F13">
            <w:pPr>
              <w:pBdr/>
              <w:spacing/>
              <w:ind/>
              <w:jc w:val="left"/>
              <w:rPr/>
            </w:pPr>
            <w:r>
              <w:rPr>
                <w:rFonts w:ascii="Arial" w:hAnsi="Arial" w:eastAsia="Arial" w:cs="Arial"/>
                <w:b w:val="0"/>
                <w:bCs w:val="0"/>
                <w:color w:val="404040"/>
                <w:sz w:val="20"/>
                <w:szCs w:val="20"/>
              </w:rPr>
              <w:t xml:space="preserve">max(freq_bigrammi − 1) / 10</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27" w:type="dxa"/>
            <w:vAlign w:val="center"/>
          </w:tcPr>
          <w:p w14:paraId="178C12ED">
            <w:pPr>
              <w:pBdr/>
              <w:spacing/>
              <w:ind/>
              <w:jc w:val="left"/>
              <w:rPr/>
            </w:pPr>
            <w:r>
              <w:rPr>
                <w:rFonts w:ascii="Arial" w:hAnsi="Arial" w:eastAsia="Arial" w:cs="Arial"/>
                <w:b w:val="0"/>
                <w:bCs w:val="0"/>
                <w:color w:val="404040"/>
                <w:sz w:val="20"/>
                <w:szCs w:val="20"/>
              </w:rPr>
              <w:t xml:space="preserve">Ripetizione compulsiva di frasi</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1556BE3E">
            <w:pPr>
              <w:pBdr/>
              <w:spacing/>
              <w:ind/>
              <w:jc w:val="left"/>
              <w:rPr/>
            </w:pPr>
            <w:r>
              <w:rPr>
                <w:rFonts w:ascii="Arial" w:hAnsi="Arial" w:eastAsia="Arial" w:cs="Arial"/>
                <w:b/>
                <w:bCs/>
                <w:color w:val="404040"/>
                <w:sz w:val="20"/>
                <w:szCs w:val="20"/>
              </w:rPr>
              <w:t xml:space="preserve">Burst</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70739371">
            <w:pPr>
              <w:pBdr/>
              <w:spacing/>
              <w:ind/>
              <w:jc w:val="left"/>
              <w:rPr/>
            </w:pPr>
            <w:r>
              <w:rPr>
                <w:rFonts w:ascii="Arial" w:hAnsi="Arial" w:eastAsia="Arial" w:cs="Arial"/>
                <w:b w:val="0"/>
                <w:bCs w:val="0"/>
                <w:color w:val="404040"/>
                <w:sz w:val="20"/>
                <w:szCs w:val="20"/>
              </w:rPr>
              <w:t xml:space="preserve">% intervalli &lt; avg/3</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27" w:type="dxa"/>
            <w:vAlign w:val="center"/>
          </w:tcPr>
          <w:p w14:paraId="71E689D4">
            <w:pPr>
              <w:pBdr/>
              <w:spacing/>
              <w:ind/>
              <w:jc w:val="left"/>
              <w:rPr/>
            </w:pPr>
            <w:r>
              <w:rPr>
                <w:rFonts w:ascii="Arial" w:hAnsi="Arial" w:eastAsia="Arial" w:cs="Arial"/>
                <w:b w:val="0"/>
                <w:bCs w:val="0"/>
                <w:color w:val="404040"/>
                <w:sz w:val="20"/>
                <w:szCs w:val="20"/>
              </w:rPr>
              <w:t xml:space="preserve">Pattern di pubblicazione a raffiche (bot)</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3F4E8155">
            <w:pPr>
              <w:pBdr/>
              <w:spacing/>
              <w:ind/>
              <w:jc w:val="left"/>
              <w:rPr/>
            </w:pPr>
            <w:r>
              <w:rPr>
                <w:rFonts w:ascii="Arial" w:hAnsi="Arial" w:eastAsia="Arial" w:cs="Arial"/>
                <w:b/>
                <w:bCs/>
                <w:color w:val="404040"/>
                <w:sz w:val="20"/>
                <w:szCs w:val="20"/>
              </w:rPr>
              <w:t xml:space="preserve">Vocab Diversity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91" w:type="dxa"/>
            <w:vAlign w:val="center"/>
          </w:tcPr>
          <w:p w14:paraId="366B2455">
            <w:pPr>
              <w:pBdr/>
              <w:spacing/>
              <w:ind/>
              <w:jc w:val="left"/>
              <w:rPr/>
            </w:pPr>
            <w:r>
              <w:rPr>
                <w:rFonts w:ascii="Arial" w:hAnsi="Arial" w:eastAsia="Arial" w:cs="Arial"/>
                <w:b w:val="0"/>
                <w:bCs w:val="0"/>
                <w:color w:val="404040"/>
                <w:sz w:val="20"/>
                <w:szCs w:val="20"/>
              </w:rPr>
              <w:t xml:space="preserve">1 − |unici| / |totale| (per testi &gt;50 token)</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27" w:type="dxa"/>
            <w:vAlign w:val="center"/>
          </w:tcPr>
          <w:p w14:paraId="5D5C5A88">
            <w:pPr>
              <w:pBdr/>
              <w:spacing/>
              <w:ind/>
              <w:jc w:val="left"/>
              <w:rPr/>
            </w:pPr>
            <w:r>
              <w:rPr>
                <w:rFonts w:ascii="Arial" w:hAnsi="Arial" w:eastAsia="Arial" w:cs="Arial"/>
                <w:b w:val="0"/>
                <w:bCs w:val="0"/>
                <w:color w:val="404040"/>
                <w:sz w:val="20"/>
                <w:szCs w:val="20"/>
              </w:rPr>
              <w:t xml:space="preserve">Lessico artificialmente omogeneo</w:t>
            </w:r>
            <w:r/>
            <w:r/>
          </w:p>
        </w:tc>
      </w:tr>
    </w:tbl>
    <w:p>
      <w:pPr>
        <w:pBdr/>
        <w:spacing w:after="8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5. Modello di Scoring e Classificazione</w:t>
      </w:r>
      <w:r/>
    </w:p>
    <w:p>
      <w:pPr>
        <w:pStyle w:val="729"/>
        <w:pBdr/>
        <w:spacing w:after="120" w:before="240" w:line="276" w:lineRule="auto"/>
        <w:ind/>
        <w:rPr/>
      </w:pPr>
      <w:r>
        <w:rPr>
          <w:rFonts w:ascii="Google Sans" w:hAnsi="Google Sans" w:eastAsia="Google Sans" w:cs="Google Sans"/>
          <w:b/>
          <w:bCs/>
          <w:color w:val="1f1f1f"/>
          <w:sz w:val="28"/>
          <w:szCs w:val="28"/>
        </w:rPr>
        <w:t xml:space="preserve">5.1 Aggregazione Ponderata</w:t>
      </w:r>
      <w:r/>
    </w:p>
    <w:p>
      <w:pPr>
        <w:pBdr/>
        <w:spacing w:after="240" w:before="0" w:line="276" w:lineRule="auto"/>
        <w:ind/>
        <w:jc w:val="both"/>
        <w:rPr/>
      </w:pPr>
      <w:r>
        <w:rPr>
          <w:rFonts w:ascii="Google Sans" w:hAnsi="Google Sans" w:eastAsia="Google Sans" w:cs="Google Sans"/>
          <w:color w:val="1f1f1f"/>
          <w:sz w:val="22"/>
          <w:szCs w:val="22"/>
        </w:rPr>
        <w:t xml:space="preserve">Il trust score finale è la media ponderata dei quattro segnali:</w:t>
      </w:r>
      <w:r/>
    </w:p>
    <w:p>
      <w:pPr>
        <w:pBdr/>
        <w:shd w:val="clear" w:color="auto" w:fill="eceff1"/>
        <w:spacing w:after="80" w:before="80"/>
        <w:ind/>
        <w:jc w:val="center"/>
        <w:rPr/>
      </w:pPr>
      <w:r>
        <w:rPr>
          <w:rFonts w:ascii="Courier New" w:hAnsi="Courier New" w:eastAsia="Courier New" w:cs="Courier New"/>
          <w:b/>
          <w:bCs/>
          <w:color w:val="37474f"/>
          <w:sz w:val="22"/>
          <w:szCs w:val="22"/>
        </w:rPr>
        <w:t xml:space="preserve">score  =  Σ (signal_i × weight_i)  /  Σ (weight_i)</w:t>
      </w:r>
      <w:r/>
    </w:p>
    <w:p>
      <w:pPr>
        <w:pStyle w:val="729"/>
        <w:pBdr/>
        <w:spacing w:after="120" w:before="240" w:line="276" w:lineRule="auto"/>
        <w:ind/>
        <w:rPr/>
      </w:pPr>
      <w:r>
        <w:rPr>
          <w:rFonts w:ascii="Google Sans" w:hAnsi="Google Sans" w:eastAsia="Google Sans" w:cs="Google Sans"/>
          <w:b/>
          <w:bCs/>
          <w:color w:val="1f1f1f"/>
          <w:sz w:val="28"/>
          <w:szCs w:val="28"/>
        </w:rPr>
        <w:t xml:space="preserve">5.2 Matrice dei Pesi per Tipo di Fonte</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27"/>
        <w:gridCol w:w="1927"/>
        <w:gridCol w:w="1927"/>
        <w:gridCol w:w="1927"/>
        <w:gridCol w:w="1930"/>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01A55011">
            <w:pPr>
              <w:pBdr/>
              <w:spacing/>
              <w:ind/>
              <w:jc w:val="left"/>
              <w:rPr/>
            </w:pPr>
            <w:r>
              <w:rPr>
                <w:rFonts w:ascii="Arial" w:hAnsi="Arial" w:eastAsia="Arial" w:cs="Arial"/>
                <w:b/>
                <w:bCs/>
                <w:color w:val="ffffff"/>
                <w:sz w:val="20"/>
                <w:szCs w:val="20"/>
              </w:rPr>
              <w:t xml:space="preserve">Tipo fonte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6540D66C">
            <w:pPr>
              <w:pBdr/>
              <w:spacing/>
              <w:ind/>
              <w:jc w:val="center"/>
              <w:rPr/>
            </w:pPr>
            <w:r>
              <w:rPr>
                <w:rFonts w:ascii="Arial" w:hAnsi="Arial" w:eastAsia="Arial" w:cs="Arial"/>
                <w:b/>
                <w:bCs/>
                <w:color w:val="ffffff"/>
                <w:sz w:val="20"/>
                <w:szCs w:val="20"/>
              </w:rPr>
              <w:t xml:space="preserve">Coerenza</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6021101A">
            <w:pPr>
              <w:pBdr/>
              <w:spacing/>
              <w:ind/>
              <w:jc w:val="center"/>
              <w:rPr/>
            </w:pPr>
            <w:r>
              <w:rPr>
                <w:rFonts w:ascii="Arial" w:hAnsi="Arial" w:eastAsia="Arial" w:cs="Arial"/>
                <w:b/>
                <w:bCs/>
                <w:color w:val="ffffff"/>
                <w:sz w:val="20"/>
                <w:szCs w:val="20"/>
              </w:rPr>
              <w:t xml:space="preserve">Volatilità</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4FB8B56F">
            <w:pPr>
              <w:pBdr/>
              <w:spacing/>
              <w:ind/>
              <w:jc w:val="center"/>
              <w:rPr/>
            </w:pPr>
            <w:r>
              <w:rPr>
                <w:rFonts w:ascii="Arial" w:hAnsi="Arial" w:eastAsia="Arial" w:cs="Arial"/>
                <w:b/>
                <w:bCs/>
                <w:color w:val="ffffff"/>
                <w:sz w:val="20"/>
                <w:szCs w:val="20"/>
              </w:rPr>
              <w:t xml:space="preserve">Silenzio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30" w:type="dxa"/>
            <w:vAlign w:val="center"/>
          </w:tcPr>
          <w:p w14:paraId="6CD4E024">
            <w:pPr>
              <w:pBdr/>
              <w:spacing/>
              <w:ind/>
              <w:jc w:val="center"/>
              <w:rPr/>
            </w:pPr>
            <w:r>
              <w:rPr>
                <w:rFonts w:ascii="Arial" w:hAnsi="Arial" w:eastAsia="Arial" w:cs="Arial"/>
                <w:b/>
                <w:bCs/>
                <w:color w:val="ffffff"/>
                <w:sz w:val="20"/>
                <w:szCs w:val="20"/>
              </w:rPr>
              <w:t xml:space="preserve">Gaming</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1A9594BE">
            <w:pPr>
              <w:pBdr/>
              <w:spacing/>
              <w:ind/>
              <w:jc w:val="left"/>
              <w:rPr/>
            </w:pPr>
            <w:r>
              <w:rPr>
                <w:rFonts w:ascii="Arial" w:hAnsi="Arial" w:eastAsia="Arial" w:cs="Arial"/>
                <w:b/>
                <w:bCs/>
                <w:color w:val="404040"/>
                <w:sz w:val="20"/>
                <w:szCs w:val="20"/>
              </w:rPr>
              <w:t xml:space="preserve">social</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24386218">
            <w:pPr>
              <w:pBdr/>
              <w:spacing/>
              <w:ind/>
              <w:jc w:val="center"/>
              <w:rPr/>
            </w:pPr>
            <w:r>
              <w:rPr>
                <w:rFonts w:ascii="Arial" w:hAnsi="Arial" w:eastAsia="Arial" w:cs="Arial"/>
                <w:b w:val="0"/>
                <w:bCs w:val="0"/>
                <w:color w:val="404040"/>
                <w:sz w:val="20"/>
                <w:szCs w:val="20"/>
              </w:rPr>
              <w:t xml:space="preserve">0.25</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48584446">
            <w:pPr>
              <w:pBdr/>
              <w:spacing/>
              <w:ind/>
              <w:jc w:val="center"/>
              <w:rPr/>
            </w:pPr>
            <w:r>
              <w:rPr>
                <w:rFonts w:ascii="Arial" w:hAnsi="Arial" w:eastAsia="Arial" w:cs="Arial"/>
                <w:b w:val="0"/>
                <w:bCs w:val="0"/>
                <w:color w:val="404040"/>
                <w:sz w:val="20"/>
                <w:szCs w:val="20"/>
              </w:rPr>
              <w:t xml:space="preserve">0.30 ★</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383EEE41">
            <w:pPr>
              <w:pBdr/>
              <w:spacing/>
              <w:ind/>
              <w:jc w:val="center"/>
              <w:rPr/>
            </w:pPr>
            <w:r>
              <w:rPr>
                <w:rFonts w:ascii="Arial" w:hAnsi="Arial" w:eastAsia="Arial" w:cs="Arial"/>
                <w:b w:val="0"/>
                <w:bCs w:val="0"/>
                <w:color w:val="404040"/>
                <w:sz w:val="20"/>
                <w:szCs w:val="20"/>
              </w:rPr>
              <w:t xml:space="preserve">0.20</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30" w:type="dxa"/>
            <w:vAlign w:val="center"/>
          </w:tcPr>
          <w:p w14:paraId="444DE574">
            <w:pPr>
              <w:pBdr/>
              <w:spacing/>
              <w:ind/>
              <w:jc w:val="center"/>
              <w:rPr/>
            </w:pPr>
            <w:r>
              <w:rPr>
                <w:rFonts w:ascii="Arial" w:hAnsi="Arial" w:eastAsia="Arial" w:cs="Arial"/>
                <w:b w:val="0"/>
                <w:bCs w:val="0"/>
                <w:color w:val="404040"/>
                <w:sz w:val="20"/>
                <w:szCs w:val="20"/>
              </w:rPr>
              <w:t xml:space="preserve">0.25</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7FEC1C3B">
            <w:pPr>
              <w:pBdr/>
              <w:spacing/>
              <w:ind/>
              <w:jc w:val="left"/>
              <w:rPr/>
            </w:pPr>
            <w:r>
              <w:rPr>
                <w:rFonts w:ascii="Arial" w:hAnsi="Arial" w:eastAsia="Arial" w:cs="Arial"/>
                <w:b/>
                <w:bCs/>
                <w:color w:val="404040"/>
                <w:sz w:val="20"/>
                <w:szCs w:val="20"/>
              </w:rPr>
              <w:t xml:space="preserve">news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692053AF">
            <w:pPr>
              <w:pBdr/>
              <w:spacing/>
              <w:ind/>
              <w:jc w:val="center"/>
              <w:rPr/>
            </w:pPr>
            <w:r>
              <w:rPr>
                <w:rFonts w:ascii="Arial" w:hAnsi="Arial" w:eastAsia="Arial" w:cs="Arial"/>
                <w:b w:val="0"/>
                <w:bCs w:val="0"/>
                <w:color w:val="404040"/>
                <w:sz w:val="20"/>
                <w:szCs w:val="20"/>
              </w:rPr>
              <w:t xml:space="preserve">0.35 ★</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52BCBBFD">
            <w:pPr>
              <w:pBdr/>
              <w:spacing/>
              <w:ind/>
              <w:jc w:val="center"/>
              <w:rPr/>
            </w:pPr>
            <w:r>
              <w:rPr>
                <w:rFonts w:ascii="Arial" w:hAnsi="Arial" w:eastAsia="Arial" w:cs="Arial"/>
                <w:b w:val="0"/>
                <w:bCs w:val="0"/>
                <w:color w:val="404040"/>
                <w:sz w:val="20"/>
                <w:szCs w:val="20"/>
              </w:rPr>
              <w:t xml:space="preserve">0.20</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3C24C199">
            <w:pPr>
              <w:pBdr/>
              <w:spacing/>
              <w:ind/>
              <w:jc w:val="center"/>
              <w:rPr/>
            </w:pPr>
            <w:r>
              <w:rPr>
                <w:rFonts w:ascii="Arial" w:hAnsi="Arial" w:eastAsia="Arial" w:cs="Arial"/>
                <w:b w:val="0"/>
                <w:bCs w:val="0"/>
                <w:color w:val="404040"/>
                <w:sz w:val="20"/>
                <w:szCs w:val="20"/>
              </w:rPr>
              <w:t xml:space="preserve">0.25</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30" w:type="dxa"/>
            <w:vAlign w:val="center"/>
          </w:tcPr>
          <w:p w14:paraId="364AB173">
            <w:pPr>
              <w:pBdr/>
              <w:spacing/>
              <w:ind/>
              <w:jc w:val="center"/>
              <w:rPr/>
            </w:pPr>
            <w:r>
              <w:rPr>
                <w:rFonts w:ascii="Arial" w:hAnsi="Arial" w:eastAsia="Arial" w:cs="Arial"/>
                <w:b w:val="0"/>
                <w:bCs w:val="0"/>
                <w:color w:val="404040"/>
                <w:sz w:val="20"/>
                <w:szCs w:val="20"/>
              </w:rPr>
              <w:t xml:space="preserve">0.20</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669918D6">
            <w:pPr>
              <w:pBdr/>
              <w:spacing/>
              <w:ind/>
              <w:jc w:val="left"/>
              <w:rPr/>
            </w:pPr>
            <w:r>
              <w:rPr>
                <w:rFonts w:ascii="Arial" w:hAnsi="Arial" w:eastAsia="Arial" w:cs="Arial"/>
                <w:b/>
                <w:bCs/>
                <w:color w:val="404040"/>
                <w:sz w:val="20"/>
                <w:szCs w:val="20"/>
              </w:rPr>
              <w:t xml:space="preserve">default</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0313B003">
            <w:pPr>
              <w:pBdr/>
              <w:spacing/>
              <w:ind/>
              <w:jc w:val="center"/>
              <w:rPr/>
            </w:pPr>
            <w:r>
              <w:rPr>
                <w:rFonts w:ascii="Arial" w:hAnsi="Arial" w:eastAsia="Arial" w:cs="Arial"/>
                <w:b w:val="0"/>
                <w:bCs w:val="0"/>
                <w:color w:val="404040"/>
                <w:sz w:val="20"/>
                <w:szCs w:val="20"/>
              </w:rPr>
              <w:t xml:space="preserve">0.30</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30F363E3">
            <w:pPr>
              <w:pBdr/>
              <w:spacing/>
              <w:ind/>
              <w:jc w:val="center"/>
              <w:rPr/>
            </w:pPr>
            <w:r>
              <w:rPr>
                <w:rFonts w:ascii="Arial" w:hAnsi="Arial" w:eastAsia="Arial" w:cs="Arial"/>
                <w:b w:val="0"/>
                <w:bCs w:val="0"/>
                <w:color w:val="404040"/>
                <w:sz w:val="20"/>
                <w:szCs w:val="20"/>
              </w:rPr>
              <w:t xml:space="preserve">0.25</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7" w:type="dxa"/>
            <w:vAlign w:val="center"/>
          </w:tcPr>
          <w:p w14:paraId="12F5AB59">
            <w:pPr>
              <w:pBdr/>
              <w:spacing/>
              <w:ind/>
              <w:jc w:val="center"/>
              <w:rPr/>
            </w:pPr>
            <w:r>
              <w:rPr>
                <w:rFonts w:ascii="Arial" w:hAnsi="Arial" w:eastAsia="Arial" w:cs="Arial"/>
                <w:b w:val="0"/>
                <w:bCs w:val="0"/>
                <w:color w:val="404040"/>
                <w:sz w:val="20"/>
                <w:szCs w:val="20"/>
              </w:rPr>
              <w:t xml:space="preserve">0.25</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30" w:type="dxa"/>
            <w:vAlign w:val="center"/>
          </w:tcPr>
          <w:p w14:paraId="7E7BA3FE">
            <w:pPr>
              <w:pBdr/>
              <w:spacing/>
              <w:ind/>
              <w:jc w:val="center"/>
              <w:rPr/>
            </w:pPr>
            <w:r>
              <w:rPr>
                <w:rFonts w:ascii="Arial" w:hAnsi="Arial" w:eastAsia="Arial" w:cs="Arial"/>
                <w:b w:val="0"/>
                <w:bCs w:val="0"/>
                <w:color w:val="404040"/>
                <w:sz w:val="20"/>
                <w:szCs w:val="20"/>
              </w:rPr>
              <w:t xml:space="preserve">0.20</w:t>
            </w:r>
            <w:r/>
            <w:r/>
          </w:p>
        </w:tc>
      </w:tr>
    </w:tbl>
    <w:p>
      <w:pPr>
        <w:pBdr/>
        <w:spacing w:after="240" w:before="60"/>
        <w:ind/>
        <w:jc w:val="center"/>
        <w:rPr/>
      </w:pPr>
      <w:r>
        <w:rPr>
          <w:rFonts w:ascii="Google Sans" w:hAnsi="Google Sans" w:eastAsia="Google Sans" w:cs="Google Sans"/>
          <w:i/>
          <w:iCs/>
          <w:color w:val="444746"/>
          <w:sz w:val="18"/>
          <w:szCs w:val="18"/>
        </w:rPr>
        <w:t>La somma dei pesi per ogni tipo di fonte = 1.0 (verificata a compile-time). La tabella sopra riporta le stime iniziali WP 4.1. I pesi effettivamente spediti in produzione sono quelli calibrati empiricamente su dataset etichettato (per le fonti news: coerenza 0,395, silenzio 0,469, volatilità 0,077, gaming 0,059) e vivono in data/calibrated_weights.json; il processo e la validazione sono descritti in §5.4. I pesi calibrati assumono il backend SBERT per la coerenza: con il backend NER di default quel contributo è in larga parte perduto.</w:t>
      </w:r>
      <w:r/>
    </w:p>
    <w:p>
      <w:pPr>
        <w:pStyle w:val="729"/>
        <w:pBdr/>
        <w:spacing w:after="120" w:before="240" w:line="276" w:lineRule="auto"/>
        <w:ind/>
        <w:rPr/>
      </w:pPr>
      <w:r>
        <w:rPr>
          <w:rFonts w:ascii="Google Sans" w:hAnsi="Google Sans" w:eastAsia="Google Sans" w:cs="Google Sans"/>
          <w:b/>
          <w:bCs/>
          <w:color w:val="1f1f1f"/>
          <w:sz w:val="28"/>
          <w:szCs w:val="28"/>
        </w:rPr>
        <w:t xml:space="preserve">5.3 Bande di Affidabilità</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00"/>
        <w:gridCol w:w="2400"/>
        <w:gridCol w:w="573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14:paraId="529A2002">
            <w:pPr>
              <w:pBdr/>
              <w:spacing/>
              <w:ind/>
              <w:jc w:val="center"/>
              <w:rPr/>
            </w:pPr>
            <w:r>
              <w:rPr>
                <w:rFonts w:ascii="Arial" w:hAnsi="Arial" w:eastAsia="Arial" w:cs="Arial"/>
                <w:b/>
                <w:bCs/>
                <w:color w:val="ffffff"/>
                <w:sz w:val="20"/>
                <w:szCs w:val="20"/>
              </w:rPr>
              <w:t xml:space="preserve">Score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cPr>
          <w:p w14:paraId="0F03A865">
            <w:pPr>
              <w:pBdr/>
              <w:spacing/>
              <w:ind/>
              <w:jc w:val="left"/>
              <w:rPr/>
            </w:pPr>
            <w:r>
              <w:rPr>
                <w:rFonts w:ascii="Arial" w:hAnsi="Arial" w:eastAsia="Arial" w:cs="Arial"/>
                <w:b/>
                <w:bCs/>
                <w:color w:val="ffffff"/>
                <w:sz w:val="20"/>
                <w:szCs w:val="20"/>
              </w:rPr>
              <w:t xml:space="preserve">Banda</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8" w:type="dxa"/>
            <w:vAlign w:val="center"/>
          </w:tcPr>
          <w:p w14:paraId="5883C7BF">
            <w:pPr>
              <w:pBdr/>
              <w:spacing/>
              <w:ind/>
              <w:jc w:val="left"/>
              <w:rPr/>
            </w:pPr>
            <w:r>
              <w:rPr>
                <w:rFonts w:ascii="Arial" w:hAnsi="Arial" w:eastAsia="Arial" w:cs="Arial"/>
                <w:b/>
                <w:bCs/>
                <w:color w:val="ffffff"/>
                <w:sz w:val="20"/>
                <w:szCs w:val="20"/>
              </w:rPr>
              <w:t xml:space="preserve">Azione raccomandata</w:t>
            </w:r>
            <w:r/>
            <w:r/>
          </w:p>
        </w:tc>
      </w:tr>
      <w:tr>
        <w:trPr/>
        <w:tc>
          <w:tcPr>
            <w:shd w:val="clear" w:color="ffffff" w:fill="d4edda"/>
            <w:tcBorders>
              <w:top w:val="single" w:color="cccccc" w:sz="1" w:space="0"/>
              <w:left w:val="single" w:color="cccccc" w:sz="1" w:space="0"/>
              <w:bottom w:val="single" w:color="cccccc" w:sz="1" w:space="0"/>
              <w:right w:val="single" w:color="cccccc" w:sz="1" w:space="0"/>
            </w:tcBorders>
            <w:tcMar>
              <w:left w:w="80" w:type="dxa"/>
              <w:top w:w="80" w:type="dxa"/>
              <w:right w:w="80" w:type="dxa"/>
              <w:bottom w:w="80" w:type="dxa"/>
            </w:tcMar>
            <w:tcW w:w="1500" w:type="dxa"/>
          </w:tcPr>
          <w:p w14:paraId="72F2D120">
            <w:pPr>
              <w:pBdr/>
              <w:spacing/>
              <w:ind/>
              <w:jc w:val="center"/>
              <w:rPr/>
            </w:pPr>
            <w:r>
              <w:rPr>
                <w:rFonts w:ascii="Arial" w:hAnsi="Arial" w:eastAsia="Arial" w:cs="Arial"/>
                <w:b/>
                <w:bCs/>
                <w:color w:val="404040"/>
                <w:sz w:val="20"/>
                <w:szCs w:val="20"/>
              </w:rPr>
              <w:t xml:space="preserve">80–100</w:t>
            </w:r>
            <w:r/>
            <w:r/>
          </w:p>
        </w:tc>
        <w:tc>
          <w:tcPr>
            <w:shd w:val="clear" w:color="ffffff" w:fill="d4ed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2FA16934">
            <w:pPr>
              <w:pBdr/>
              <w:spacing/>
              <w:ind/>
              <w:rPr/>
            </w:pPr>
            <w:r>
              <w:rPr>
                <w:rFonts w:ascii="Courier New" w:hAnsi="Courier New" w:eastAsia="Courier New" w:cs="Courier New"/>
                <w:b/>
                <w:bCs/>
                <w:color w:val="404040"/>
                <w:sz w:val="20"/>
                <w:szCs w:val="20"/>
              </w:rPr>
              <w:t xml:space="preserve">high</w:t>
            </w:r>
            <w:r/>
            <w:r/>
          </w:p>
        </w:tc>
        <w:tc>
          <w:tcPr>
            <w:shd w:val="clear" w:color="ffffff" w:fill="d4ed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8" w:type="dxa"/>
          </w:tcPr>
          <w:p w14:paraId="689CC5CB">
            <w:pPr>
              <w:pBdr/>
              <w:spacing/>
              <w:ind/>
              <w:rPr/>
            </w:pPr>
            <w:r>
              <w:rPr>
                <w:rFonts w:ascii="Arial" w:hAnsi="Arial" w:eastAsia="Arial" w:cs="Arial"/>
                <w:color w:val="404040"/>
                <w:sz w:val="20"/>
                <w:szCs w:val="20"/>
              </w:rPr>
              <w:t xml:space="preserve">Fonte usabile per OSINT</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80" w:type="dxa"/>
              <w:top w:w="80" w:type="dxa"/>
              <w:right w:w="80" w:type="dxa"/>
              <w:bottom w:w="80" w:type="dxa"/>
            </w:tcMar>
            <w:tcW w:w="1500" w:type="dxa"/>
          </w:tcPr>
          <w:p w14:paraId="1BBC4AC3">
            <w:pPr>
              <w:pBdr/>
              <w:spacing/>
              <w:ind/>
              <w:jc w:val="center"/>
              <w:rPr/>
            </w:pPr>
            <w:r>
              <w:rPr>
                <w:rFonts w:ascii="Arial" w:hAnsi="Arial" w:eastAsia="Arial" w:cs="Arial"/>
                <w:b/>
                <w:bCs/>
                <w:color w:val="404040"/>
                <w:sz w:val="20"/>
                <w:szCs w:val="20"/>
              </w:rPr>
              <w:t xml:space="preserve">60–79</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2A9562B4">
            <w:pPr>
              <w:pBdr/>
              <w:spacing/>
              <w:ind/>
              <w:rPr/>
            </w:pPr>
            <w:r>
              <w:rPr>
                <w:rFonts w:ascii="Courier New" w:hAnsi="Courier New" w:eastAsia="Courier New" w:cs="Courier New"/>
                <w:b/>
                <w:bCs/>
                <w:color w:val="404040"/>
                <w:sz w:val="20"/>
                <w:szCs w:val="20"/>
              </w:rPr>
              <w:t xml:space="preserve">medium_high</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8" w:type="dxa"/>
          </w:tcPr>
          <w:p w14:paraId="11FE6FFB">
            <w:pPr>
              <w:pBdr/>
              <w:spacing/>
              <w:ind/>
              <w:rPr/>
            </w:pPr>
            <w:r>
              <w:rPr>
                <w:rFonts w:ascii="Arial" w:hAnsi="Arial" w:eastAsia="Arial" w:cs="Arial"/>
                <w:color w:val="404040"/>
                <w:sz w:val="20"/>
                <w:szCs w:val="20"/>
              </w:rPr>
              <w:t xml:space="preserve">Cross-validare le affermazioni principali</w:t>
            </w:r>
            <w:r/>
            <w:r/>
          </w:p>
        </w:tc>
      </w:tr>
      <w:tr>
        <w:trPr/>
        <w:tc>
          <w:tcPr>
            <w:shd w:val="clear" w:color="ffffff" w:fill="fff3cd"/>
            <w:tcBorders>
              <w:top w:val="single" w:color="cccccc" w:sz="1" w:space="0"/>
              <w:left w:val="single" w:color="cccccc" w:sz="1" w:space="0"/>
              <w:bottom w:val="single" w:color="cccccc" w:sz="1" w:space="0"/>
              <w:right w:val="single" w:color="cccccc" w:sz="1" w:space="0"/>
            </w:tcBorders>
            <w:tcMar>
              <w:left w:w="80" w:type="dxa"/>
              <w:top w:w="80" w:type="dxa"/>
              <w:right w:w="80" w:type="dxa"/>
              <w:bottom w:w="80" w:type="dxa"/>
            </w:tcMar>
            <w:tcW w:w="1500" w:type="dxa"/>
          </w:tcPr>
          <w:p w14:paraId="08872727">
            <w:pPr>
              <w:pBdr/>
              <w:spacing/>
              <w:ind/>
              <w:jc w:val="center"/>
              <w:rPr/>
            </w:pPr>
            <w:r>
              <w:rPr>
                <w:rFonts w:ascii="Arial" w:hAnsi="Arial" w:eastAsia="Arial" w:cs="Arial"/>
                <w:b/>
                <w:bCs/>
                <w:color w:val="404040"/>
                <w:sz w:val="20"/>
                <w:szCs w:val="20"/>
              </w:rPr>
              <w:t xml:space="preserve">40–59</w:t>
            </w:r>
            <w:r/>
            <w:r/>
          </w:p>
        </w:tc>
        <w:tc>
          <w:tcPr>
            <w:shd w:val="clear" w:color="ffffff" w:fill="fff3c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593E07BD">
            <w:pPr>
              <w:pBdr/>
              <w:spacing/>
              <w:ind/>
              <w:rPr/>
            </w:pPr>
            <w:r>
              <w:rPr>
                <w:rFonts w:ascii="Courier New" w:hAnsi="Courier New" w:eastAsia="Courier New" w:cs="Courier New"/>
                <w:b/>
                <w:bCs/>
                <w:color w:val="404040"/>
                <w:sz w:val="20"/>
                <w:szCs w:val="20"/>
              </w:rPr>
              <w:t xml:space="preserve">medium</w:t>
            </w:r>
            <w:r/>
            <w:r/>
          </w:p>
        </w:tc>
        <w:tc>
          <w:tcPr>
            <w:shd w:val="clear" w:color="ffffff" w:fill="fff3c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8" w:type="dxa"/>
          </w:tcPr>
          <w:p w14:paraId="6082C29C">
            <w:pPr>
              <w:pBdr/>
              <w:spacing/>
              <w:ind/>
              <w:rPr/>
            </w:pPr>
            <w:r>
              <w:rPr>
                <w:rFonts w:ascii="Arial" w:hAnsi="Arial" w:eastAsia="Arial" w:cs="Arial"/>
                <w:color w:val="404040"/>
                <w:sz w:val="20"/>
                <w:szCs w:val="20"/>
              </w:rPr>
              <w:t xml:space="preserve">Review umana raccomandata</w:t>
            </w:r>
            <w:r/>
            <w:r/>
          </w:p>
        </w:tc>
      </w:tr>
      <w:tr>
        <w:trPr/>
        <w:tc>
          <w:tcPr>
            <w:shd w:val="clear" w:color="ffffff" w:fill="fdecea"/>
            <w:tcBorders>
              <w:top w:val="single" w:color="cccccc" w:sz="1" w:space="0"/>
              <w:left w:val="single" w:color="cccccc" w:sz="1" w:space="0"/>
              <w:bottom w:val="single" w:color="cccccc" w:sz="1" w:space="0"/>
              <w:right w:val="single" w:color="cccccc" w:sz="1" w:space="0"/>
            </w:tcBorders>
            <w:tcMar>
              <w:left w:w="80" w:type="dxa"/>
              <w:top w:w="80" w:type="dxa"/>
              <w:right w:w="80" w:type="dxa"/>
              <w:bottom w:w="80" w:type="dxa"/>
            </w:tcMar>
            <w:tcW w:w="1500" w:type="dxa"/>
          </w:tcPr>
          <w:p w14:paraId="70C214F8">
            <w:pPr>
              <w:pBdr/>
              <w:spacing/>
              <w:ind/>
              <w:jc w:val="center"/>
              <w:rPr/>
            </w:pPr>
            <w:r>
              <w:rPr>
                <w:rFonts w:ascii="Arial" w:hAnsi="Arial" w:eastAsia="Arial" w:cs="Arial"/>
                <w:b/>
                <w:bCs/>
                <w:color w:val="404040"/>
                <w:sz w:val="20"/>
                <w:szCs w:val="20"/>
              </w:rPr>
              <w:t xml:space="preserve">20–39</w:t>
            </w:r>
            <w:r/>
            <w:r/>
          </w:p>
        </w:tc>
        <w:tc>
          <w:tcPr>
            <w:shd w:val="clear" w:color="ffffff" w:fill="fdece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059588A5">
            <w:pPr>
              <w:pBdr/>
              <w:spacing/>
              <w:ind/>
              <w:rPr/>
            </w:pPr>
            <w:r>
              <w:rPr>
                <w:rFonts w:ascii="Courier New" w:hAnsi="Courier New" w:eastAsia="Courier New" w:cs="Courier New"/>
                <w:b/>
                <w:bCs/>
                <w:color w:val="404040"/>
                <w:sz w:val="20"/>
                <w:szCs w:val="20"/>
              </w:rPr>
              <w:t xml:space="preserve">low</w:t>
            </w:r>
            <w:r/>
            <w:r/>
          </w:p>
        </w:tc>
        <w:tc>
          <w:tcPr>
            <w:shd w:val="clear" w:color="ffffff" w:fill="fdece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8" w:type="dxa"/>
          </w:tcPr>
          <w:p w14:paraId="60D74E94">
            <w:pPr>
              <w:pBdr/>
              <w:spacing/>
              <w:ind/>
              <w:rPr/>
            </w:pPr>
            <w:r>
              <w:rPr>
                <w:rFonts w:ascii="Arial" w:hAnsi="Arial" w:eastAsia="Arial" w:cs="Arial"/>
                <w:color w:val="404040"/>
                <w:sz w:val="20"/>
                <w:szCs w:val="20"/>
              </w:rPr>
              <w:t xml:space="preserve">Review umana obbligatoria</w:t>
            </w:r>
            <w:r/>
            <w:r/>
          </w:p>
        </w:tc>
      </w:tr>
      <w:tr>
        <w:trPr/>
        <w:tc>
          <w:tcPr>
            <w:shd w:val="clear" w:color="ffffff" w:fill="f5c6cb"/>
            <w:tcBorders>
              <w:top w:val="single" w:color="cccccc" w:sz="1" w:space="0"/>
              <w:left w:val="single" w:color="cccccc" w:sz="1" w:space="0"/>
              <w:bottom w:val="single" w:color="cccccc" w:sz="1" w:space="0"/>
              <w:right w:val="single" w:color="cccccc" w:sz="1" w:space="0"/>
            </w:tcBorders>
            <w:tcMar>
              <w:left w:w="80" w:type="dxa"/>
              <w:top w:w="80" w:type="dxa"/>
              <w:right w:w="80" w:type="dxa"/>
              <w:bottom w:w="80" w:type="dxa"/>
            </w:tcMar>
            <w:tcW w:w="1500" w:type="dxa"/>
          </w:tcPr>
          <w:p w14:paraId="2D8219CB">
            <w:pPr>
              <w:pBdr/>
              <w:spacing/>
              <w:ind/>
              <w:jc w:val="center"/>
              <w:rPr/>
            </w:pPr>
            <w:r>
              <w:rPr>
                <w:rFonts w:ascii="Arial" w:hAnsi="Arial" w:eastAsia="Arial" w:cs="Arial"/>
                <w:b/>
                <w:bCs/>
                <w:color w:val="404040"/>
                <w:sz w:val="20"/>
                <w:szCs w:val="20"/>
              </w:rPr>
              <w:t xml:space="preserve">0–19</w:t>
            </w:r>
            <w:r/>
            <w:r/>
          </w:p>
        </w:tc>
        <w:tc>
          <w:tcPr>
            <w:shd w:val="clear" w:color="ffffff" w:fill="f5c6c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58443536">
            <w:pPr>
              <w:pBdr/>
              <w:spacing/>
              <w:ind/>
              <w:rPr/>
            </w:pPr>
            <w:r>
              <w:rPr>
                <w:rFonts w:ascii="Courier New" w:hAnsi="Courier New" w:eastAsia="Courier New" w:cs="Courier New"/>
                <w:b/>
                <w:bCs/>
                <w:color w:val="404040"/>
                <w:sz w:val="20"/>
                <w:szCs w:val="20"/>
              </w:rPr>
              <w:t xml:space="preserve">very_low</w:t>
            </w:r>
            <w:r/>
            <w:r/>
          </w:p>
        </w:tc>
        <w:tc>
          <w:tcPr>
            <w:shd w:val="clear" w:color="ffffff" w:fill="f5c6c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8" w:type="dxa"/>
          </w:tcPr>
          <w:p w14:paraId="0ED3B157">
            <w:pPr>
              <w:pBdr/>
              <w:spacing/>
              <w:ind/>
              <w:rPr/>
            </w:pPr>
            <w:r>
              <w:rPr>
                <w:rFonts w:ascii="Arial" w:hAnsi="Arial" w:eastAsia="Arial" w:cs="Arial"/>
                <w:color w:val="404040"/>
                <w:sz w:val="20"/>
                <w:szCs w:val="20"/>
              </w:rPr>
              <w:t xml:space="preserve">Non utilizzare senza validazione indipendente</w:t>
            </w:r>
            <w:r/>
            <w:r/>
          </w:p>
        </w:tc>
      </w:tr>
    </w:tbl>
    <w:p>
      <w:pPr>
        <w:pBdr/>
        <w:spacing w:after="80" w:before="0"/>
        <w:ind/>
        <w:rPr/>
      </w:pPr>
      <w:r/>
      <w:r/>
    </w:p>
    <w:p>
      <w:pPr>
        <w:pStyle w:val="729"/>
      </w:pPr>
      <w:r>
        <w:t>5.4 Validazione Empirica</w:t>
      </w:r>
    </w:p>
    <w:p>
      <w:pPr/>
      <w:r>
        <w:t>I pesi di §5.2 non sono stime a priori: sono calibrati con un algoritmo genetico su un dataset etichettato e validati su un holdout separato nel tempo, cioè su fonti e finestre temporali mai viste in calibrazione. Le etichette provengono da distant supervision su Media Bias/Fact Check. Il protocollo e i findings completi sono pubblici nel repository (docs/calibration.md e i findings datati).</w:t>
      </w:r>
    </w:p>
    <w:tbl>
      <w:tblPr>
        <w:tblW w:type="auto" w:w="0"/>
        <w:tblLook w:firstColumn="1" w:firstRow="1" w:lastColumn="0" w:lastRow="0" w:noHBand="0" w:noVBand="1" w:val="04A0"/>
      </w:tblPr>
      <w:tblGrid>
        <w:gridCol w:w="3120"/>
        <w:gridCol w:w="3120"/>
        <w:gridCol w:w="3120"/>
      </w:tblGrid>
      <w:tr>
        <w:tc>
          <w:tcPr>
            <w:tcW w:type="dxa" w:w="3120"/>
          </w:tcPr>
          <w:p>
            <w:r>
              <w:rPr>
                <w:b/>
              </w:rPr>
              <w:t>Misura</w:t>
            </w:r>
          </w:p>
        </w:tc>
        <w:tc>
          <w:tcPr>
            <w:tcW w:type="dxa" w:w="3120"/>
          </w:tcPr>
          <w:p>
            <w:r>
              <w:rPr>
                <w:b/>
              </w:rPr>
              <w:t>Valore</w:t>
            </w:r>
          </w:p>
        </w:tc>
        <w:tc>
          <w:tcPr>
            <w:tcW w:type="dxa" w:w="3120"/>
          </w:tcPr>
          <w:p>
            <w:r>
              <w:rPr>
                <w:b/>
              </w:rPr>
              <w:t>Che cosa dice</w:t>
            </w:r>
          </w:p>
        </w:tc>
      </w:tr>
      <w:tr>
        <w:tc>
          <w:tcPr>
            <w:tcW w:type="dxa" w:w="3120"/>
          </w:tcPr>
          <w:p>
            <w:r>
              <w:t>Concordanza a coppie (AUC-like)</w:t>
            </w:r>
          </w:p>
        </w:tc>
        <w:tc>
          <w:tcPr>
            <w:tcW w:type="dxa" w:w="3120"/>
          </w:tcPr>
          <w:p>
            <w:r>
              <w:t>0,750</w:t>
            </w:r>
          </w:p>
        </w:tc>
        <w:tc>
          <w:tcPr>
            <w:tcW w:type="dxa" w:w="3120"/>
          </w:tcPr>
          <w:p>
            <w:r>
              <w:t>Ordinamento corretto di tre coppie di fonti su quattro</w:t>
            </w:r>
          </w:p>
        </w:tc>
      </w:tr>
      <w:tr>
        <w:tc>
          <w:tcPr>
            <w:tcW w:type="dxa" w:w="3120"/>
          </w:tcPr>
          <w:p>
            <w:r>
              <w:t>Concordanza con penalità di dominio</w:t>
            </w:r>
          </w:p>
        </w:tc>
        <w:tc>
          <w:tcPr>
            <w:tcW w:type="dxa" w:w="3120"/>
          </w:tcPr>
          <w:p>
            <w:r>
              <w:t>0,762</w:t>
            </w:r>
          </w:p>
        </w:tc>
        <w:tc>
          <w:tcPr>
            <w:tcW w:type="dxa" w:w="3120"/>
          </w:tcPr>
          <w:p>
            <w:r>
              <w:t>Contributo della penalità ENGINE 1.4</w:t>
            </w:r>
          </w:p>
        </w:tc>
      </w:tr>
      <w:tr>
        <w:tc>
          <w:tcPr>
            <w:tcW w:type="dxa" w:w="3120"/>
          </w:tcPr>
          <w:p>
            <w:r>
              <w:t>Spearman con l’etichetta</w:t>
            </w:r>
          </w:p>
        </w:tc>
        <w:tc>
          <w:tcPr>
            <w:tcW w:type="dxa" w:w="3120"/>
          </w:tcPr>
          <w:p>
            <w:r>
              <w:t>+0,554</w:t>
            </w:r>
          </w:p>
        </w:tc>
        <w:tc>
          <w:tcPr>
            <w:tcW w:type="dxa" w:w="3120"/>
          </w:tcPr>
          <w:p>
            <w:r>
              <w:t>Correlazione di rango sull’holdout futuro</w:t>
            </w:r>
          </w:p>
        </w:tc>
      </w:tr>
      <w:tr>
        <w:tc>
          <w:tcPr>
            <w:tcW w:type="dxa" w:w="3120"/>
          </w:tcPr>
          <w:p>
            <w:r>
              <w:t>Accordo di banda entro una banda</w:t>
            </w:r>
          </w:p>
        </w:tc>
        <w:tc>
          <w:tcPr>
            <w:tcW w:type="dxa" w:w="3120"/>
          </w:tcPr>
          <w:p>
            <w:r>
              <w:t>79,2 %</w:t>
            </w:r>
          </w:p>
        </w:tc>
        <w:tc>
          <w:tcPr>
            <w:tcW w:type="dxa" w:w="3120"/>
          </w:tcPr>
          <w:p>
            <w:r>
              <w:t>Accordo esatto: 26,4 %</w:t>
            </w:r>
          </w:p>
        </w:tc>
      </w:tr>
      <w:tr>
        <w:tc>
          <w:tcPr>
            <w:tcW w:type="dxa" w:w="3120"/>
          </w:tcPr>
          <w:p>
            <w:r>
              <w:t>Macro-F1 (affidabile / inaffidabile)</w:t>
            </w:r>
          </w:p>
        </w:tc>
        <w:tc>
          <w:tcPr>
            <w:tcW w:type="dxa" w:w="3120"/>
          </w:tcPr>
          <w:p>
            <w:r>
              <w:t>0,692</w:t>
            </w:r>
          </w:p>
        </w:tc>
        <w:tc>
          <w:tcPr>
            <w:tcW w:type="dxa" w:w="3120"/>
          </w:tcPr>
          <w:p>
            <w:r>
              <w:t>Split binario alla soglia di banda 40</w:t>
            </w:r>
          </w:p>
        </w:tc>
      </w:tr>
      <w:tr>
        <w:tc>
          <w:tcPr>
            <w:tcW w:type="dxa" w:w="3120"/>
          </w:tcPr>
          <w:p>
            <w:r>
              <w:t>Recall sulla classe inaffidabile</w:t>
            </w:r>
          </w:p>
        </w:tc>
        <w:tc>
          <w:tcPr>
            <w:tcW w:type="dxa" w:w="3120"/>
          </w:tcPr>
          <w:p>
            <w:r>
              <w:t>0,333</w:t>
            </w:r>
          </w:p>
        </w:tc>
        <w:tc>
          <w:tcPr>
            <w:tcW w:type="dxa" w:w="3120"/>
          </w:tcPr>
          <w:p>
            <w:r>
              <w:t>5 fonti riconosciute su 15 etichettate tali</w:t>
            </w:r>
          </w:p>
        </w:tc>
      </w:tr>
      <w:tr>
        <w:tc>
          <w:tcPr>
            <w:tcW w:type="dxa" w:w="3120"/>
          </w:tcPr>
          <w:p>
            <w:r>
              <w:t>Precisione sulla classe inaffidabile</w:t>
            </w:r>
          </w:p>
        </w:tc>
        <w:tc>
          <w:tcPr>
            <w:tcW w:type="dxa" w:w="3120"/>
          </w:tcPr>
          <w:p>
            <w:r>
              <w:t>1,000</w:t>
            </w:r>
          </w:p>
        </w:tc>
        <w:tc>
          <w:tcPr>
            <w:tcW w:type="dxa" w:w="3120"/>
          </w:tcPr>
          <w:p>
            <w:r>
              <w:t>Nessun falso positivo, su 5 predizioni</w:t>
            </w:r>
          </w:p>
        </w:tc>
      </w:tr>
    </w:tbl>
    <w:p>
      <w:pPr/>
      <w:r>
        <w:t>La lettura onesta di questa tabella è che il sistema sbaglia raramente quando dichiara una fonte inaffidabile, ma ne riconosce solo un terzo. È il limite principale di CATS e non è marginale: chi usa il punteggio per escludere fonti deve sapere che l’assenza di un segnale non è evidenza di affidabilità. Tre cautele accompagnano ogni numero qui sopra. Il campione è piccolo (56 fonti in calibrazione, 53 in holdout), quindi le cifre sono indicative e non un’accuratezza certificata; la precisione di 1,000 è misurata su cinque predizioni soltanto. Le etichette sono distant supervision, sbilanciate verso testate anglofone, mentre lo stack NLP è ottimizzato per l’italiano. E la discriminazione poggia in larga parte su un solo segnale: sull’holdout il silenzio ha correlazione di rango −0,47, gli altri tre restano sotto 0,1 in valore assoluto, il che significa che una fonte avversaria capace di mantenere una cadenza di pubblicazione regolare neutralizza il segnale portante.</w:t>
      </w:r>
    </w:p>
    <w:p>
      <w:pPr/>
      <w:r>
        <w:t>Vale anche una nota operativa: i pesi spediti sono calibrati con il backend SBERT per la coerenza. Con il backend NER di default quel contributo è in larga parte perduto e la concordanza attesa scende verso 0,62. Una distribuzione che voglia riprodurre i numeri di questa sezione deve installare le dipendenze SBERT e impostare COHERENCE_BACKEND=sbert.</w:t>
      </w:r>
    </w:p>
    <w:p>
      <w:pPr>
        <w:pStyle w:val="728"/>
        <w:pBdr/>
        <w:spacing w:after="120" w:before="320" w:line="276" w:lineRule="auto"/>
        <w:ind/>
        <w:rPr/>
      </w:pPr>
      <w:r>
        <w:rPr>
          <w:rFonts w:ascii="Google Sans" w:hAnsi="Google Sans" w:eastAsia="Google Sans" w:cs="Google Sans"/>
          <w:b/>
          <w:bCs/>
          <w:color w:val="1f1f1f"/>
          <w:sz w:val="36"/>
          <w:szCs w:val="36"/>
        </w:rPr>
        <w:t xml:space="preserve">6. API Reference</w:t>
      </w:r>
      <w:r/>
    </w:p>
    <w:p>
      <w:pPr>
        <w:pStyle w:val="729"/>
        <w:pBdr/>
        <w:spacing w:after="120" w:before="240" w:line="276" w:lineRule="auto"/>
        <w:ind/>
        <w:rPr/>
      </w:pPr>
      <w:r>
        <w:rPr>
          <w:rFonts w:ascii="Google Sans" w:hAnsi="Google Sans" w:eastAsia="Google Sans" w:cs="Google Sans"/>
          <w:b/>
          <w:bCs/>
          <w:color w:val="1f1f1f"/>
          <w:sz w:val="28"/>
          <w:szCs w:val="28"/>
        </w:rPr>
        <w:t xml:space="preserve">6.1 Autenticazione</w:t>
      </w:r>
      <w:r/>
    </w:p>
    <w:p>
      <w:pPr>
        <w:pBdr/>
        <w:spacing w:after="240" w:before="0" w:line="276" w:lineRule="auto"/>
        <w:ind/>
        <w:jc w:val="both"/>
        <w:rPr/>
      </w:pPr>
      <w:r>
        <w:rPr>
          <w:rFonts w:ascii="Google Sans" w:hAnsi="Google Sans" w:eastAsia="Google Sans" w:cs="Google Sans"/>
          <w:color w:val="1f1f1f"/>
          <w:sz w:val="22"/>
          <w:szCs w:val="22"/>
        </w:rPr>
        <w:t xml:space="preserve">Tutte le chiamate richiedono l’header </w:t>
      </w:r>
      <w:r>
        <w:rPr>
          <w:rFonts w:ascii="Courier New" w:hAnsi="Courier New" w:eastAsia="Courier New" w:cs="Courier New"/>
          <w:color w:val="37474f"/>
          <w:sz w:val="22"/>
          <w:szCs w:val="22"/>
        </w:rPr>
        <w:t xml:space="preserve">Authorization: Bearer &lt;API_KEY&gt;</w:t>
      </w:r>
      <w:r>
        <w:rPr>
          <w:rFonts w:ascii="Google Sans" w:hAnsi="Google Sans" w:eastAsia="Google Sans" w:cs="Google Sans"/>
          <w:color w:val="1f1f1f"/>
          <w:sz w:val="22"/>
          <w:szCs w:val="22"/>
        </w:rPr>
        <w:t xml:space="preserve">. Il sistema supporta la rotazione a doppia chiave (</w:t>
      </w:r>
      <w:r>
        <w:rPr>
          <w:rFonts w:ascii="Courier New" w:hAnsi="Courier New" w:eastAsia="Courier New" w:cs="Courier New"/>
          <w:color w:val="37474f"/>
          <w:sz w:val="22"/>
          <w:szCs w:val="22"/>
        </w:rPr>
        <w:t xml:space="preserve">cats_api_key + cats_api_key_prev</w:t>
      </w:r>
      <w:r>
        <w:rPr>
          <w:rFonts w:ascii="Google Sans" w:hAnsi="Google Sans" w:eastAsia="Google Sans" w:cs="Google Sans"/>
          <w:color w:val="1f1f1f"/>
          <w:sz w:val="22"/>
          <w:szCs w:val="22"/>
        </w:rPr>
        <w:t xml:space="preserve">) per aggiornamenti di sicurezza senza downtime.</w:t>
      </w:r>
      <w:r/>
    </w:p>
    <w:p>
      <w:pPr>
        <w:pStyle w:val="729"/>
        <w:pBdr/>
        <w:spacing w:after="120" w:before="240" w:line="276" w:lineRule="auto"/>
        <w:ind/>
        <w:rPr/>
      </w:pPr>
      <w:r>
        <w:rPr>
          <w:rFonts w:ascii="Google Sans" w:hAnsi="Google Sans" w:eastAsia="Google Sans" w:cs="Google Sans"/>
          <w:b/>
          <w:bCs/>
          <w:color w:val="1f1f1f"/>
          <w:sz w:val="28"/>
          <w:szCs w:val="28"/>
        </w:rPr>
        <w:t xml:space="preserve">6.2 Endpoint</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80"/>
        <w:gridCol w:w="3000"/>
        <w:gridCol w:w="605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0" w:type="dxa"/>
            <w:vAlign w:val="center"/>
          </w:tcPr>
          <w:p w14:paraId="0790C41C">
            <w:pPr>
              <w:pBdr/>
              <w:spacing/>
              <w:ind/>
              <w:jc w:val="left"/>
              <w:rPr/>
            </w:pPr>
            <w:r>
              <w:rPr>
                <w:rFonts w:ascii="Arial" w:hAnsi="Arial" w:eastAsia="Arial" w:cs="Arial"/>
                <w:b/>
                <w:bCs/>
                <w:color w:val="ffffff"/>
                <w:sz w:val="20"/>
                <w:szCs w:val="20"/>
              </w:rPr>
              <w:t xml:space="preserve">Metodo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2628C0EE">
            <w:pPr>
              <w:pBdr/>
              <w:spacing/>
              <w:ind/>
              <w:jc w:val="left"/>
              <w:rPr/>
            </w:pPr>
            <w:r>
              <w:rPr>
                <w:rFonts w:ascii="Arial" w:hAnsi="Arial" w:eastAsia="Arial" w:cs="Arial"/>
                <w:b/>
                <w:bCs/>
                <w:color w:val="ffffff"/>
                <w:sz w:val="20"/>
                <w:szCs w:val="20"/>
              </w:rPr>
              <w:t xml:space="preserve">Path</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vAlign w:val="center"/>
          </w:tcPr>
          <w:p w14:paraId="47DC2D04">
            <w:pPr>
              <w:pBdr/>
              <w:spacing/>
              <w:ind/>
              <w:jc w:val="left"/>
              <w:rPr/>
            </w:pPr>
            <w:r>
              <w:rPr>
                <w:rFonts w:ascii="Arial" w:hAnsi="Arial" w:eastAsia="Arial" w:cs="Arial"/>
                <w:b/>
                <w:bCs/>
                <w:color w:val="ffffff"/>
                <w:sz w:val="20"/>
                <w:szCs w:val="20"/>
              </w:rPr>
              <w:t xml:space="preserve">Descrizione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60" w:type="dxa"/>
              <w:top w:w="80" w:type="dxa"/>
              <w:right w:w="60" w:type="dxa"/>
              <w:bottom w:w="80" w:type="dxa"/>
            </w:tcMar>
            <w:tcW w:w="580" w:type="dxa"/>
          </w:tcPr>
          <w:p w14:paraId="77E50AC5">
            <w:pPr>
              <w:pBdr/>
              <w:spacing/>
              <w:ind/>
              <w:jc w:val="center"/>
              <w:rPr/>
            </w:pPr>
            <w:r>
              <w:rPr>
                <w:rFonts w:ascii="Courier New" w:hAnsi="Courier New" w:eastAsia="Courier New" w:cs="Courier New"/>
                <w:b/>
                <w:bCs/>
                <w:color w:val="1a3a5c"/>
                <w:sz w:val="18"/>
                <w:szCs w:val="18"/>
              </w:rPr>
              <w:t xml:space="preserve">POST</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14:paraId="60251631">
            <w:pPr>
              <w:pBdr/>
              <w:spacing/>
              <w:ind/>
              <w:rPr/>
            </w:pPr>
            <w:r>
              <w:rPr>
                <w:rFonts w:ascii="Courier New" w:hAnsi="Courier New" w:eastAsia="Courier New" w:cs="Courier New"/>
                <w:color w:val="404040"/>
                <w:sz w:val="18"/>
                <w:szCs w:val="18"/>
              </w:rPr>
              <w:t xml:space="preserve">/v1/cats/evaluate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tcPr>
          <w:p w14:paraId="3D7A045C">
            <w:pPr>
              <w:pBdr/>
              <w:spacing/>
              <w:ind/>
              <w:rPr/>
            </w:pPr>
            <w:r>
              <w:rPr>
                <w:rFonts w:ascii="Arial" w:hAnsi="Arial" w:eastAsia="Arial" w:cs="Arial"/>
                <w:color w:val="404040"/>
                <w:sz w:val="18"/>
                <w:szCs w:val="18"/>
              </w:rPr>
              <w:t xml:space="preserve">Pipeline completo: score, banda, segnali, requires_review</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60" w:type="dxa"/>
              <w:top w:w="80" w:type="dxa"/>
              <w:right w:w="60" w:type="dxa"/>
              <w:bottom w:w="80" w:type="dxa"/>
            </w:tcMar>
            <w:tcW w:w="580" w:type="dxa"/>
          </w:tcPr>
          <w:p w14:paraId="4DD62FB6">
            <w:pPr>
              <w:pBdr/>
              <w:spacing/>
              <w:ind/>
              <w:jc w:val="center"/>
              <w:rPr/>
            </w:pPr>
            <w:r>
              <w:rPr>
                <w:rFonts w:ascii="Courier New" w:hAnsi="Courier New" w:eastAsia="Courier New" w:cs="Courier New"/>
                <w:b/>
                <w:bCs/>
                <w:color w:val="1a3a5c"/>
                <w:sz w:val="18"/>
                <w:szCs w:val="18"/>
              </w:rPr>
              <w:t xml:space="preserve">GET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14:paraId="06C09BD4">
            <w:pPr>
              <w:pBdr/>
              <w:spacing/>
              <w:ind/>
              <w:rPr/>
            </w:pPr>
            <w:r>
              <w:rPr>
                <w:rFonts w:ascii="Courier New" w:hAnsi="Courier New" w:eastAsia="Courier New" w:cs="Courier New"/>
                <w:color w:val="404040"/>
                <w:sz w:val="18"/>
                <w:szCs w:val="18"/>
              </w:rPr>
              <w:t xml:space="preserve">/v1/cats/explain/{trace_id}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tcPr>
          <w:p w14:paraId="05F9DBDF">
            <w:pPr>
              <w:pBdr/>
              <w:spacing/>
              <w:ind/>
              <w:rPr/>
            </w:pPr>
            <w:r>
              <w:rPr>
                <w:rFonts w:ascii="Arial" w:hAnsi="Arial" w:eastAsia="Arial" w:cs="Arial"/>
                <w:color w:val="404040"/>
                <w:sz w:val="18"/>
                <w:szCs w:val="18"/>
              </w:rPr>
              <w:t xml:space="preserve">GDPR Art.14/22 — scomposizione del punteggio con disclaimer</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60" w:type="dxa"/>
              <w:top w:w="80" w:type="dxa"/>
              <w:right w:w="60" w:type="dxa"/>
              <w:bottom w:w="80" w:type="dxa"/>
            </w:tcMar>
            <w:tcW w:w="580" w:type="dxa"/>
          </w:tcPr>
          <w:p w14:paraId="571D6F25">
            <w:pPr>
              <w:pBdr/>
              <w:spacing/>
              <w:ind/>
              <w:jc w:val="center"/>
              <w:rPr/>
            </w:pPr>
            <w:r>
              <w:rPr>
                <w:rFonts w:ascii="Courier New" w:hAnsi="Courier New" w:eastAsia="Courier New" w:cs="Courier New"/>
                <w:b/>
                <w:bCs/>
                <w:color w:val="1a3a5c"/>
                <w:sz w:val="18"/>
                <w:szCs w:val="18"/>
              </w:rPr>
              <w:t xml:space="preserve">POST</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14:paraId="6769F602">
            <w:pPr>
              <w:pBdr/>
              <w:spacing/>
              <w:ind/>
              <w:rPr/>
            </w:pPr>
            <w:r>
              <w:rPr>
                <w:rFonts w:ascii="Courier New" w:hAnsi="Courier New" w:eastAsia="Courier New" w:cs="Courier New"/>
                <w:color w:val="404040"/>
                <w:sz w:val="18"/>
                <w:szCs w:val="18"/>
              </w:rPr>
              <w:t xml:space="preserve">/v1/cats/contest/{trace_id}</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tcPr>
          <w:p w14:paraId="1303915B">
            <w:pPr>
              <w:pBdr/>
              <w:spacing/>
              <w:ind/>
              <w:rPr/>
            </w:pPr>
            <w:r>
              <w:rPr>
                <w:rFonts w:ascii="Arial" w:hAnsi="Arial" w:eastAsia="Arial" w:cs="Arial"/>
                <w:color w:val="404040"/>
                <w:sz w:val="18"/>
                <w:szCs w:val="18"/>
              </w:rPr>
              <w:t xml:space="preserve">GDPR Art.22 — contestazione di una decisione automatizzata</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60" w:type="dxa"/>
              <w:top w:w="80" w:type="dxa"/>
              <w:right w:w="60" w:type="dxa"/>
              <w:bottom w:w="80" w:type="dxa"/>
            </w:tcMar>
            <w:tcW w:w="580" w:type="dxa"/>
          </w:tcPr>
          <w:p w14:paraId="28421D28">
            <w:pPr>
              <w:pBdr/>
              <w:spacing/>
              <w:ind/>
              <w:jc w:val="center"/>
              <w:rPr/>
            </w:pPr>
            <w:r>
              <w:rPr>
                <w:rFonts w:ascii="Courier New" w:hAnsi="Courier New" w:eastAsia="Courier New" w:cs="Courier New"/>
                <w:b/>
                <w:bCs/>
                <w:color w:val="1a3a5c"/>
                <w:sz w:val="18"/>
                <w:szCs w:val="18"/>
              </w:rPr>
              <w:t xml:space="preserve">POST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14:paraId="7ECD0387">
            <w:pPr>
              <w:pBdr/>
              <w:spacing/>
              <w:ind/>
              <w:rPr/>
            </w:pPr>
            <w:r>
              <w:rPr>
                <w:rFonts w:ascii="Courier New" w:hAnsi="Courier New" w:eastAsia="Courier New" w:cs="Courier New"/>
                <w:color w:val="404040"/>
                <w:sz w:val="18"/>
                <w:szCs w:val="18"/>
              </w:rPr>
              <w:t xml:space="preserve">/v1/cats/review/{trace_id}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tcPr>
          <w:p w14:paraId="09BC79B9">
            <w:pPr>
              <w:pBdr/>
              <w:spacing/>
              <w:ind/>
              <w:rPr/>
            </w:pPr>
            <w:r>
              <w:rPr>
                <w:rFonts w:ascii="Arial" w:hAnsi="Arial" w:eastAsia="Arial" w:cs="Arial"/>
                <w:color w:val="404040"/>
                <w:sz w:val="18"/>
                <w:szCs w:val="18"/>
              </w:rPr>
              <w:t xml:space="preserve">Registra richiesta di revisione umana</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60" w:type="dxa"/>
              <w:top w:w="80" w:type="dxa"/>
              <w:right w:w="60" w:type="dxa"/>
              <w:bottom w:w="80" w:type="dxa"/>
            </w:tcMar>
            <w:tcW w:w="580" w:type="dxa"/>
          </w:tcPr>
          <w:p w14:paraId="72143D40">
            <w:pPr>
              <w:pBdr/>
              <w:spacing/>
              <w:ind/>
              <w:jc w:val="center"/>
              <w:rPr/>
            </w:pPr>
            <w:r>
              <w:rPr>
                <w:rFonts w:ascii="Courier New" w:hAnsi="Courier New" w:eastAsia="Courier New" w:cs="Courier New"/>
                <w:b/>
                <w:bCs/>
                <w:color w:val="1a3a5c"/>
                <w:sz w:val="18"/>
                <w:szCs w:val="18"/>
              </w:rPr>
              <w:t xml:space="preserve">GET</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14:paraId="20AB91AD">
            <w:pPr>
              <w:pBdr/>
              <w:spacing/>
              <w:ind/>
              <w:rPr/>
            </w:pPr>
            <w:r>
              <w:rPr>
                <w:rFonts w:ascii="Courier New" w:hAnsi="Courier New" w:eastAsia="Courier New" w:cs="Courier New"/>
                <w:color w:val="404040"/>
                <w:sz w:val="18"/>
                <w:szCs w:val="18"/>
              </w:rPr>
              <w:t xml:space="preserve">/v1/cats/stats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tcPr>
          <w:p w14:paraId="496AA592">
            <w:pPr>
              <w:pBdr/>
              <w:spacing/>
              <w:ind/>
              <w:rPr/>
            </w:pPr>
            <w:r>
              <w:rPr>
                <w:rFonts w:ascii="Arial" w:hAnsi="Arial" w:eastAsia="Arial" w:cs="Arial"/>
                <w:color w:val="404040"/>
                <w:sz w:val="18"/>
                <w:szCs w:val="18"/>
              </w:rPr>
              <w:t xml:space="preserve">Statistiche aggregate (totale valutazioni, media score, bande)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60" w:type="dxa"/>
              <w:top w:w="80" w:type="dxa"/>
              <w:right w:w="60" w:type="dxa"/>
              <w:bottom w:w="80" w:type="dxa"/>
            </w:tcMar>
            <w:tcW w:w="580" w:type="dxa"/>
          </w:tcPr>
          <w:p w14:paraId="3C05D325">
            <w:pPr>
              <w:pBdr/>
              <w:spacing/>
              <w:ind/>
              <w:jc w:val="center"/>
              <w:rPr/>
            </w:pPr>
            <w:r>
              <w:rPr>
                <w:rFonts w:ascii="Courier New" w:hAnsi="Courier New" w:eastAsia="Courier New" w:cs="Courier New"/>
                <w:b/>
                <w:bCs/>
                <w:color w:val="1a3a5c"/>
                <w:sz w:val="18"/>
                <w:szCs w:val="18"/>
              </w:rPr>
              <w:t xml:space="preserve">GET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14:paraId="615A6E52">
            <w:pPr>
              <w:pBdr/>
              <w:spacing/>
              <w:ind/>
              <w:rPr/>
            </w:pPr>
            <w:r>
              <w:rPr>
                <w:rFonts w:ascii="Courier New" w:hAnsi="Courier New" w:eastAsia="Courier New" w:cs="Courier New"/>
                <w:color w:val="404040"/>
                <w:sz w:val="18"/>
                <w:szCs w:val="18"/>
              </w:rPr>
              <w:t xml:space="preserve">/health</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tcPr>
          <w:p w14:paraId="66C64362">
            <w:pPr>
              <w:pBdr/>
              <w:spacing/>
              <w:ind/>
              <w:rPr/>
            </w:pPr>
            <w:r>
              <w:rPr>
                <w:rFonts w:ascii="Arial" w:hAnsi="Arial" w:eastAsia="Arial" w:cs="Arial"/>
                <w:color w:val="404040"/>
                <w:sz w:val="18"/>
                <w:szCs w:val="18"/>
              </w:rPr>
              <w:t xml:space="preserve">Health check profondo: API + Redis + PostgreSQL + NLP</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60" w:type="dxa"/>
              <w:top w:w="80" w:type="dxa"/>
              <w:right w:w="60" w:type="dxa"/>
              <w:bottom w:w="80" w:type="dxa"/>
            </w:tcMar>
            <w:tcW w:w="580" w:type="dxa"/>
          </w:tcPr>
          <w:p w14:paraId="635896BA">
            <w:pPr>
              <w:pBdr/>
              <w:spacing/>
              <w:ind/>
              <w:jc w:val="center"/>
              <w:rPr/>
            </w:pPr>
            <w:r>
              <w:rPr>
                <w:rFonts w:ascii="Courier New" w:hAnsi="Courier New" w:eastAsia="Courier New" w:cs="Courier New"/>
                <w:b/>
                <w:bCs/>
                <w:color w:val="1a3a5c"/>
                <w:sz w:val="18"/>
                <w:szCs w:val="18"/>
              </w:rPr>
              <w:t xml:space="preserve">GET</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14:paraId="37ACE923">
            <w:pPr>
              <w:pBdr/>
              <w:spacing/>
              <w:ind/>
              <w:rPr/>
            </w:pPr>
            <w:r>
              <w:rPr>
                <w:rFonts w:ascii="Courier New" w:hAnsi="Courier New" w:eastAsia="Courier New" w:cs="Courier New"/>
                <w:color w:val="404040"/>
                <w:sz w:val="18"/>
                <w:szCs w:val="18"/>
              </w:rPr>
              <w:t xml:space="preserve">/metrics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58" w:type="dxa"/>
          </w:tcPr>
          <w:p w14:paraId="494DDBF1">
            <w:pPr>
              <w:pBdr/>
              <w:spacing/>
              <w:ind/>
              <w:rPr/>
            </w:pPr>
            <w:r>
              <w:rPr>
                <w:rFonts w:ascii="Arial" w:hAnsi="Arial" w:eastAsia="Arial" w:cs="Arial"/>
                <w:color w:val="404040"/>
                <w:sz w:val="18"/>
                <w:szCs w:val="18"/>
              </w:rPr>
              <w:t xml:space="preserve">Endpoint Prometheus (placeholder — da integrare con prometheus-client)</w:t>
            </w:r>
            <w:r/>
            <w:r/>
          </w:p>
        </w:tc>
      </w:tr>
    </w:tbl>
    <w:p>
      <w:pPr>
        <w:pBdr/>
        <w:spacing w:after="80" w:before="0"/>
        <w:ind/>
        <w:rPr/>
      </w:pPr>
      <w:r/>
      <w:r/>
    </w:p>
    <w:p>
      <w:pPr>
        <w:pStyle w:val="729"/>
        <w:pBdr/>
        <w:spacing w:after="120" w:before="240" w:line="276" w:lineRule="auto"/>
        <w:ind/>
        <w:rPr/>
      </w:pPr>
      <w:r>
        <w:rPr>
          <w:rFonts w:ascii="Google Sans" w:hAnsi="Google Sans" w:eastAsia="Google Sans" w:cs="Google Sans"/>
          <w:b/>
          <w:bCs/>
          <w:color w:val="1f1f1f"/>
          <w:sz w:val="28"/>
          <w:szCs w:val="28"/>
        </w:rPr>
        <w:t xml:space="preserve">6.3 Esempio di Richiesta e Risposta</w:t>
      </w:r>
      <w:r/>
    </w:p>
    <w:p>
      <w:pPr>
        <w:pBdr/>
        <w:shd w:val="clear" w:color="auto" w:fill="eceff1"/>
        <w:spacing w:after="0" w:before="0"/>
        <w:ind w:right="240" w:left="240"/>
        <w:rPr/>
      </w:pPr>
      <w:r>
        <w:rPr>
          <w:rFonts w:ascii="Courier New" w:hAnsi="Courier New" w:eastAsia="Courier New" w:cs="Courier New"/>
          <w:color w:val="37474f"/>
          <w:sz w:val="18"/>
          <w:szCs w:val="18"/>
        </w:rPr>
        <w:t xml:space="preserve">POST /v1/cats/evaluate</w:t>
      </w:r>
      <w:r/>
    </w:p>
    <w:p>
      <w:pPr>
        <w:pBdr/>
        <w:shd w:val="clear" w:color="auto" w:fill="eceff1"/>
        <w:spacing w:after="0" w:before="0"/>
        <w:ind w:right="240" w:left="240"/>
        <w:rPr/>
      </w:pPr>
      <w:r>
        <w:rPr>
          <w:rFonts w:ascii="Courier New" w:hAnsi="Courier New" w:eastAsia="Courier New" w:cs="Courier New"/>
          <w:color w:val="37474f"/>
          <w:sz w:val="18"/>
          <w:szCs w:val="18"/>
        </w:rPr>
        <w:t xml:space="preserve">Authorization: Bearer &lt;API_KEY&gt;</w:t>
      </w:r>
      <w:r/>
    </w:p>
    <w:p>
      <w:pPr>
        <w:pBdr/>
        <w:shd w:val="clear" w:color="auto" w:fill="eceff1"/>
        <w:spacing w:after="0" w:before="0"/>
        <w:ind w:right="240" w:left="240"/>
        <w:rPr/>
      </w:pPr>
      <w:r>
        <w:rPr>
          <w:rFonts w:ascii="Courier New" w:hAnsi="Courier New" w:eastAsia="Courier New" w:cs="Courier New"/>
          <w:color w:val="37474f"/>
          <w:sz w:val="18"/>
          <w:szCs w:val="18"/>
        </w:rPr>
        <w:t xml:space="preserve">Content-Type: application/json</w:t>
      </w:r>
      <w:r/>
    </w:p>
    <w:p>
      <w:pPr>
        <w:pBdr/>
        <w:shd w:val="clear" w:color="auto" w:fill="eceff1"/>
        <w:spacing w:after="0" w:before="0"/>
        <w:ind w:right="240" w:left="240"/>
        <w:rPr/>
      </w:pPr>
      <w:r>
        <w:rPr>
          <w:rFonts w:ascii="Courier New" w:hAnsi="Courier New" w:eastAsia="Courier New" w:cs="Courier New"/>
          <w:color w:val="37474f"/>
          <w:sz w:val="18"/>
          <w:szCs w:val="18"/>
        </w:rPr>
      </w:r>
      <w:r/>
    </w:p>
    <w:p>
      <w:pPr>
        <w:pBdr/>
        <w:shd w:val="clear" w:color="auto" w:fill="eceff1"/>
        <w:spacing w:after="0" w:before="0"/>
        <w:ind w:right="240" w:left="240"/>
        <w:rPr/>
      </w:pPr>
      <w:r>
        <w:rPr>
          <w:rFonts w:ascii="Courier New" w:hAnsi="Courier New" w:eastAsia="Courier New" w:cs="Courier New"/>
          <w:color w:val="37474f"/>
          <w:sz w:val="18"/>
          <w:szCs w:val="18"/>
        </w:rPr>
        <w:t xml:space="preserve">{</w:t>
      </w:r>
      <w:r/>
    </w:p>
    <w:p>
      <w:pPr>
        <w:pBdr/>
        <w:shd w:val="clear" w:color="auto" w:fill="eceff1"/>
        <w:spacing w:after="0" w:before="0"/>
        <w:ind w:right="240" w:left="240"/>
        <w:rPr/>
      </w:pPr>
      <w:r>
        <w:rPr>
          <w:rFonts w:ascii="Courier New" w:hAnsi="Courier New" w:eastAsia="Courier New" w:cs="Courier New"/>
          <w:color w:val="37474f"/>
          <w:sz w:val="18"/>
          <w:szCs w:val="18"/>
        </w:rPr>
        <w:t xml:space="preserve">  "source_id": "twitter:example_handle",</w:t>
      </w:r>
      <w:r/>
    </w:p>
    <w:p>
      <w:pPr>
        <w:pBdr/>
        <w:shd w:val="clear" w:color="auto" w:fill="eceff1"/>
        <w:spacing w:after="0" w:before="0"/>
        <w:ind w:right="240" w:left="240"/>
        <w:rPr/>
      </w:pPr>
      <w:r>
        <w:rPr>
          <w:rFonts w:ascii="Courier New" w:hAnsi="Courier New" w:eastAsia="Courier New" w:cs="Courier New"/>
          <w:color w:val="37474f"/>
          <w:sz w:val="18"/>
          <w:szCs w:val="18"/>
        </w:rPr>
        <w:t xml:space="preserve">  "messages": [</w:t>
      </w:r>
      <w:r/>
    </w:p>
    <w:p>
      <w:pPr>
        <w:pBdr/>
        <w:shd w:val="clear" w:color="auto" w:fill="eceff1"/>
        <w:spacing w:after="0" w:before="0"/>
        <w:ind w:right="240" w:left="240"/>
        <w:rPr/>
      </w:pPr>
      <w:r>
        <w:rPr>
          <w:rFonts w:ascii="Courier New" w:hAnsi="Courier New" w:eastAsia="Courier New" w:cs="Courier New"/>
          <w:color w:val="37474f"/>
          <w:sz w:val="18"/>
          <w:szCs w:val="18"/>
        </w:rPr>
        <w:t xml:space="preserve">    {"timestamp": "2026-01-01T08:00:00Z", "text": "Governo annuncia piano economico."},</w:t>
      </w:r>
      <w:r/>
    </w:p>
    <w:p>
      <w:pPr>
        <w:pBdr/>
        <w:shd w:val="clear" w:color="auto" w:fill="eceff1"/>
        <w:spacing w:after="0" w:before="0"/>
        <w:ind w:right="240" w:left="240"/>
        <w:rPr/>
      </w:pPr>
      <w:r>
        <w:rPr>
          <w:rFonts w:ascii="Courier New" w:hAnsi="Courier New" w:eastAsia="Courier New" w:cs="Courier New"/>
          <w:color w:val="37474f"/>
          <w:sz w:val="18"/>
          <w:szCs w:val="18"/>
        </w:rPr>
        <w:t xml:space="preserve">    {"timestamp": "2026-01-01T09:00:00Z", "text": "Protesta dei lavoratori in piazza."},</w:t>
      </w:r>
      <w:r/>
    </w:p>
    <w:p>
      <w:pPr>
        <w:pBdr/>
        <w:shd w:val="clear" w:color="auto" w:fill="eceff1"/>
        <w:spacing w:after="0" w:before="0"/>
        <w:ind w:right="240" w:left="240"/>
        <w:rPr/>
      </w:pPr>
      <w:r>
        <w:rPr>
          <w:rFonts w:ascii="Courier New" w:hAnsi="Courier New" w:eastAsia="Courier New" w:cs="Courier New"/>
          <w:color w:val="37474f"/>
          <w:sz w:val="18"/>
          <w:szCs w:val="18"/>
        </w:rPr>
        <w:t xml:space="preserve">    {"timestamp": "2026-01-01T10:00:00Z", "text": "Parlamento discute la legge di bilancio."}</w:t>
      </w:r>
      <w:r/>
    </w:p>
    <w:p>
      <w:pPr>
        <w:pBdr/>
        <w:shd w:val="clear" w:color="auto" w:fill="eceff1"/>
        <w:spacing w:after="0" w:before="0"/>
        <w:ind w:right="240" w:left="240"/>
        <w:rPr/>
      </w:pPr>
      <w:r>
        <w:rPr>
          <w:rFonts w:ascii="Courier New" w:hAnsi="Courier New" w:eastAsia="Courier New" w:cs="Courier New"/>
          <w:color w:val="37474f"/>
          <w:sz w:val="18"/>
          <w:szCs w:val="18"/>
        </w:rPr>
        <w:t xml:space="preserve">  ],</w:t>
      </w:r>
      <w:r/>
    </w:p>
    <w:p>
      <w:pPr>
        <w:pBdr/>
        <w:shd w:val="clear" w:color="auto" w:fill="eceff1"/>
        <w:spacing w:after="0" w:before="0"/>
        <w:ind w:right="240" w:left="240"/>
        <w:rPr/>
      </w:pPr>
      <w:r>
        <w:rPr>
          <w:rFonts w:ascii="Courier New" w:hAnsi="Courier New" w:eastAsia="Courier New" w:cs="Courier New"/>
          <w:color w:val="37474f"/>
          <w:sz w:val="18"/>
          <w:szCs w:val="18"/>
        </w:rPr>
        <w:t xml:space="preserve">  "context": {"source_type": "social"}</w:t>
      </w:r>
      <w:r/>
    </w:p>
    <w:p>
      <w:pPr>
        <w:pBdr/>
        <w:shd w:val="clear" w:color="auto" w:fill="eceff1"/>
        <w:spacing w:after="0" w:before="0"/>
        <w:ind w:right="240" w:left="240"/>
        <w:rPr/>
      </w:pPr>
      <w:r>
        <w:rPr>
          <w:rFonts w:ascii="Courier New" w:hAnsi="Courier New" w:eastAsia="Courier New" w:cs="Courier New"/>
          <w:color w:val="37474f"/>
          <w:sz w:val="18"/>
          <w:szCs w:val="18"/>
        </w:rPr>
        <w:t xml:space="preserve">}</w:t>
      </w:r>
      <w:r/>
    </w:p>
    <w:p>
      <w:pPr>
        <w:pBdr/>
        <w:shd w:val="clear" w:color="auto" w:fill="eceff1"/>
        <w:spacing w:after="0" w:before="0"/>
        <w:ind w:right="240" w:left="240"/>
        <w:rPr/>
      </w:pPr>
      <w:r>
        <w:rPr>
          <w:rFonts w:ascii="Courier New" w:hAnsi="Courier New" w:eastAsia="Courier New" w:cs="Courier New"/>
          <w:color w:val="37474f"/>
          <w:sz w:val="18"/>
          <w:szCs w:val="18"/>
        </w:rPr>
      </w:r>
      <w:r/>
    </w:p>
    <w:p>
      <w:pPr>
        <w:pBdr/>
        <w:shd w:val="clear" w:color="auto" w:fill="eceff1"/>
        <w:spacing w:after="0" w:before="0"/>
        <w:ind w:right="240" w:left="240"/>
        <w:rPr/>
      </w:pPr>
      <w:r>
        <w:rPr>
          <w:rFonts w:ascii="Courier New" w:hAnsi="Courier New" w:eastAsia="Courier New" w:cs="Courier New"/>
          <w:color w:val="37474f"/>
          <w:sz w:val="18"/>
          <w:szCs w:val="18"/>
        </w:rPr>
        <w:t xml:space="preserve">// Risposta 200 OK</w:t>
      </w:r>
      <w:r/>
    </w:p>
    <w:p>
      <w:pPr>
        <w:pBdr/>
        <w:shd w:val="clear" w:color="auto" w:fill="eceff1"/>
        <w:spacing w:after="0" w:before="0"/>
        <w:ind w:right="240" w:left="240"/>
        <w:rPr/>
      </w:pPr>
      <w:r>
        <w:rPr>
          <w:rFonts w:ascii="Courier New" w:hAnsi="Courier New" w:eastAsia="Courier New" w:cs="Courier New"/>
          <w:color w:val="37474f"/>
          <w:sz w:val="18"/>
          <w:szCs w:val="18"/>
        </w:rPr>
        <w:t xml:space="preserve">{</w:t>
      </w:r>
      <w:r/>
    </w:p>
    <w:p>
      <w:pPr>
        <w:pBdr/>
        <w:shd w:val="clear" w:color="auto" w:fill="eceff1"/>
        <w:spacing w:after="0" w:before="0"/>
        <w:ind w:right="240" w:left="240"/>
        <w:rPr/>
      </w:pPr>
      <w:r>
        <w:rPr>
          <w:rFonts w:ascii="Courier New" w:hAnsi="Courier New" w:eastAsia="Courier New" w:cs="Courier New"/>
          <w:color w:val="37474f"/>
          <w:sz w:val="18"/>
          <w:szCs w:val="18"/>
        </w:rPr>
        <w:t xml:space="preserve">  "trace_id": "550e8400-e29b-41d4-a716-446655440000",</w:t>
      </w:r>
      <w:r/>
    </w:p>
    <w:p>
      <w:pPr>
        <w:pBdr/>
        <w:shd w:val="clear" w:color="auto" w:fill="eceff1"/>
        <w:spacing w:after="0" w:before="0"/>
        <w:ind w:right="240" w:left="240"/>
        <w:rPr/>
      </w:pPr>
      <w:r>
        <w:rPr>
          <w:rFonts w:ascii="Courier New" w:hAnsi="Courier New" w:eastAsia="Courier New" w:cs="Courier New"/>
          <w:color w:val="37474f"/>
          <w:sz w:val="18"/>
          <w:szCs w:val="18"/>
        </w:rPr>
        <w:t xml:space="preserve">  "score": 68.4,</w:t>
      </w:r>
      <w:r/>
    </w:p>
    <w:p>
      <w:pPr>
        <w:pBdr/>
        <w:shd w:val="clear" w:color="auto" w:fill="eceff1"/>
        <w:spacing w:after="0" w:before="0"/>
        <w:ind w:right="240" w:left="240"/>
        <w:rPr/>
      </w:pPr>
      <w:r>
        <w:rPr>
          <w:rFonts w:ascii="Courier New" w:hAnsi="Courier New" w:eastAsia="Courier New" w:cs="Courier New"/>
          <w:color w:val="37474f"/>
          <w:sz w:val="18"/>
          <w:szCs w:val="18"/>
        </w:rPr>
        <w:t xml:space="preserve">  "band": "medium_high",</w:t>
      </w:r>
      <w:r/>
    </w:p>
    <w:p>
      <w:pPr>
        <w:pBdr/>
        <w:shd w:val="clear" w:color="auto" w:fill="eceff1"/>
        <w:spacing w:after="0" w:before="0"/>
        <w:ind w:right="240" w:left="240"/>
        <w:rPr/>
      </w:pPr>
      <w:r>
        <w:rPr>
          <w:rFonts w:ascii="Courier New" w:hAnsi="Courier New" w:eastAsia="Courier New" w:cs="Courier New"/>
          <w:color w:val="37474f"/>
          <w:sz w:val="18"/>
          <w:szCs w:val="18"/>
        </w:rPr>
        <w:t xml:space="preserve">  "requires_review": false,</w:t>
      </w:r>
      <w:r/>
    </w:p>
    <w:p>
      <w:pPr>
        <w:pBdr/>
        <w:shd w:val="clear" w:color="auto" w:fill="eceff1"/>
        <w:spacing w:after="0" w:before="0"/>
        <w:ind w:right="240" w:left="240"/>
        <w:rPr/>
      </w:pPr>
      <w:r>
        <w:rPr>
          <w:rFonts w:ascii="Courier New" w:hAnsi="Courier New" w:eastAsia="Courier New" w:cs="Courier New"/>
          <w:color w:val="37474f"/>
          <w:sz w:val="18"/>
          <w:szCs w:val="18"/>
        </w:rPr>
        <w:t xml:space="preserve">  "signals": [</w:t>
      </w:r>
      <w:r/>
    </w:p>
    <w:p>
      <w:pPr>
        <w:pBdr/>
        <w:shd w:val="clear" w:color="auto" w:fill="eceff1"/>
        <w:spacing w:after="0" w:before="0"/>
        <w:ind w:right="240" w:left="240"/>
        <w:rPr/>
      </w:pPr>
      <w:r>
        <w:rPr>
          <w:rFonts w:ascii="Courier New" w:hAnsi="Courier New" w:eastAsia="Courier New" w:cs="Courier New"/>
          <w:color w:val="37474f"/>
          <w:sz w:val="18"/>
          <w:szCs w:val="18"/>
        </w:rPr>
        <w:t xml:space="preserve">    {"name": "coherence",  "value": 71.2, "confidence": 0.30},</w:t>
      </w:r>
      <w:r/>
    </w:p>
    <w:p>
      <w:pPr>
        <w:pBdr/>
        <w:shd w:val="clear" w:color="auto" w:fill="eceff1"/>
        <w:spacing w:after="0" w:before="0"/>
        <w:ind w:right="240" w:left="240"/>
        <w:rPr/>
      </w:pPr>
      <w:r>
        <w:rPr>
          <w:rFonts w:ascii="Courier New" w:hAnsi="Courier New" w:eastAsia="Courier New" w:cs="Courier New"/>
          <w:color w:val="37474f"/>
          <w:sz w:val="18"/>
          <w:szCs w:val="18"/>
        </w:rPr>
        <w:t xml:space="preserve">    {"name": "volatility", "value": 55.0, "confidence": 0.15},</w:t>
      </w:r>
      <w:r/>
    </w:p>
    <w:p>
      <w:pPr>
        <w:pBdr/>
        <w:shd w:val="clear" w:color="auto" w:fill="eceff1"/>
        <w:spacing w:after="0" w:before="0"/>
        <w:ind w:right="240" w:left="240"/>
        <w:rPr/>
      </w:pPr>
      <w:r>
        <w:rPr>
          <w:rFonts w:ascii="Courier New" w:hAnsi="Courier New" w:eastAsia="Courier New" w:cs="Courier New"/>
          <w:color w:val="37474f"/>
          <w:sz w:val="18"/>
          <w:szCs w:val="18"/>
        </w:rPr>
        <w:t xml:space="preserve">    {"name": "silence",    "value": 0.0,  "confidence": 0.10},</w:t>
      </w:r>
      <w:r/>
    </w:p>
    <w:p>
      <w:pPr>
        <w:pBdr/>
        <w:shd w:val="clear" w:color="auto" w:fill="eceff1"/>
        <w:spacing w:after="0" w:before="0"/>
        <w:ind w:right="240" w:left="240"/>
        <w:rPr/>
      </w:pPr>
      <w:r>
        <w:rPr>
          <w:rFonts w:ascii="Courier New" w:hAnsi="Courier New" w:eastAsia="Courier New" w:cs="Courier New"/>
          <w:color w:val="37474f"/>
          <w:sz w:val="18"/>
          <w:szCs w:val="18"/>
        </w:rPr>
        <w:t xml:space="preserve">    {"name": "gaming",     "value": 12.8, "confidence": 0.06}</w:t>
      </w:r>
      <w:r/>
    </w:p>
    <w:p>
      <w:pPr>
        <w:pBdr/>
        <w:shd w:val="clear" w:color="auto" w:fill="eceff1"/>
        <w:spacing w:after="0" w:before="0"/>
        <w:ind w:right="240" w:left="240"/>
        <w:rPr/>
      </w:pPr>
      <w:r>
        <w:rPr>
          <w:rFonts w:ascii="Courier New" w:hAnsi="Courier New" w:eastAsia="Courier New" w:cs="Courier New"/>
          <w:color w:val="37474f"/>
          <w:sz w:val="18"/>
          <w:szCs w:val="18"/>
        </w:rPr>
        <w:t xml:space="preserve">  ]</w:t>
      </w:r>
      <w:r/>
    </w:p>
    <w:p>
      <w:pPr>
        <w:pBdr/>
        <w:shd w:val="clear" w:color="auto" w:fill="eceff1"/>
        <w:spacing w:after="0" w:before="0"/>
        <w:ind w:right="240" w:left="240"/>
        <w:rPr/>
      </w:pPr>
      <w:r>
        <w:rPr>
          <w:rFonts w:ascii="Courier New" w:hAnsi="Courier New" w:eastAsia="Courier New" w:cs="Courier New"/>
          <w:color w:val="37474f"/>
          <w:sz w:val="18"/>
          <w:szCs w:val="18"/>
        </w:rPr>
        <w:t xml:space="preserve">}</w:t>
      </w:r>
      <w:r/>
    </w:p>
    <w:p>
      <w:pPr>
        <w:pBdr/>
        <w:spacing w:after="8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7. Sicurezza, Resilienza e Conformità</w:t>
      </w:r>
      <w:r/>
    </w:p>
    <w:p>
      <w:pPr>
        <w:pStyle w:val="729"/>
        <w:pBdr/>
        <w:spacing w:after="120" w:before="240" w:line="276" w:lineRule="auto"/>
        <w:ind/>
        <w:rPr/>
      </w:pPr>
      <w:r>
        <w:rPr>
          <w:rFonts w:ascii="Google Sans" w:hAnsi="Google Sans" w:eastAsia="Google Sans" w:cs="Google Sans"/>
          <w:b/>
          <w:bCs/>
          <w:color w:val="1f1f1f"/>
          <w:sz w:val="28"/>
          <w:szCs w:val="28"/>
        </w:rPr>
        <w:t xml:space="preserve">7.1 Controlli di Sicurezza</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0"/>
        <w:gridCol w:w="683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1295CD02">
            <w:pPr>
              <w:pBdr/>
              <w:spacing/>
              <w:ind/>
              <w:jc w:val="left"/>
              <w:rPr/>
            </w:pPr>
            <w:r>
              <w:rPr>
                <w:rFonts w:ascii="Arial" w:hAnsi="Arial" w:eastAsia="Arial" w:cs="Arial"/>
                <w:b/>
                <w:bCs/>
                <w:color w:val="ffffff"/>
                <w:sz w:val="20"/>
                <w:szCs w:val="20"/>
              </w:rPr>
              <w:t xml:space="preserve">Controllo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46EF8DE4">
            <w:pPr>
              <w:pBdr/>
              <w:spacing/>
              <w:ind/>
              <w:jc w:val="left"/>
              <w:rPr/>
            </w:pPr>
            <w:r>
              <w:rPr>
                <w:rFonts w:ascii="Arial" w:hAnsi="Arial" w:eastAsia="Arial" w:cs="Arial"/>
                <w:b/>
                <w:bCs/>
                <w:color w:val="ffffff"/>
                <w:sz w:val="20"/>
                <w:szCs w:val="20"/>
              </w:rPr>
              <w:t xml:space="preserve">Implementazione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65406CE0">
            <w:pPr>
              <w:pBdr/>
              <w:spacing/>
              <w:ind/>
              <w:jc w:val="left"/>
              <w:rPr/>
            </w:pPr>
            <w:r>
              <w:rPr>
                <w:rFonts w:ascii="Arial" w:hAnsi="Arial" w:eastAsia="Arial" w:cs="Arial"/>
                <w:b/>
                <w:bCs/>
                <w:color w:val="404040"/>
                <w:sz w:val="20"/>
                <w:szCs w:val="20"/>
              </w:rPr>
              <w:t xml:space="preserve">Auth API</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001BF2C8">
            <w:pPr>
              <w:pBdr/>
              <w:spacing/>
              <w:ind/>
              <w:jc w:val="left"/>
              <w:rPr/>
            </w:pPr>
            <w:r>
              <w:rPr>
                <w:rFonts w:ascii="Arial" w:hAnsi="Arial" w:eastAsia="Arial" w:cs="Arial"/>
                <w:b w:val="0"/>
                <w:bCs w:val="0"/>
                <w:color w:val="404040"/>
                <w:sz w:val="20"/>
                <w:szCs w:val="20"/>
              </w:rPr>
              <w:t xml:space="preserve">Bearer token + rotazione doppia chiave senza downtime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70B10E89">
            <w:pPr>
              <w:pBdr/>
              <w:spacing/>
              <w:ind/>
              <w:jc w:val="left"/>
              <w:rPr/>
            </w:pPr>
            <w:r>
              <w:rPr>
                <w:rFonts w:ascii="Arial" w:hAnsi="Arial" w:eastAsia="Arial" w:cs="Arial"/>
                <w:b/>
                <w:bCs/>
                <w:color w:val="404040"/>
                <w:sz w:val="20"/>
                <w:szCs w:val="20"/>
              </w:rPr>
              <w:t xml:space="preserve">JWT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35354879">
            <w:pPr>
              <w:pBdr/>
              <w:spacing/>
              <w:ind/>
              <w:jc w:val="left"/>
              <w:rPr/>
            </w:pPr>
            <w:r>
              <w:rPr>
                <w:rFonts w:ascii="Arial" w:hAnsi="Arial" w:eastAsia="Arial" w:cs="Arial"/>
                <w:b w:val="0"/>
                <w:bCs w:val="0"/>
                <w:color w:val="404040"/>
                <w:sz w:val="20"/>
                <w:szCs w:val="20"/>
              </w:rPr>
              <w:t xml:space="preserve">RS256 con keypair RSA 2048 rigenerata a ogni avvio di processo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71C4BBF4">
            <w:pPr>
              <w:pBdr/>
              <w:spacing/>
              <w:ind/>
              <w:jc w:val="left"/>
              <w:rPr/>
            </w:pPr>
            <w:r>
              <w:rPr>
                <w:rFonts w:ascii="Arial" w:hAnsi="Arial" w:eastAsia="Arial" w:cs="Arial"/>
                <w:b/>
                <w:bCs/>
                <w:color w:val="404040"/>
                <w:sz w:val="20"/>
                <w:szCs w:val="20"/>
              </w:rPr>
              <w:t xml:space="preserve">Rate Limiting</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2BC438F5">
            <w:pPr>
              <w:pBdr/>
              <w:spacing/>
              <w:ind/>
              <w:jc w:val="left"/>
              <w:rPr/>
            </w:pPr>
            <w:r>
              <w:rPr>
                <w:rFonts w:ascii="Arial" w:hAnsi="Arial" w:eastAsia="Arial" w:cs="Arial"/>
                <w:b w:val="0"/>
                <w:bCs w:val="0"/>
                <w:color w:val="404040"/>
                <w:sz w:val="20"/>
                <w:szCs w:val="20"/>
              </w:rPr>
              <w:t xml:space="preserve">Sliding-window Lua su Redis, 30 req/min per IP (atomico)</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1FFF0514">
            <w:pPr>
              <w:pBdr/>
              <w:spacing/>
              <w:ind/>
              <w:jc w:val="left"/>
              <w:rPr/>
            </w:pPr>
            <w:r>
              <w:rPr>
                <w:rFonts w:ascii="Arial" w:hAnsi="Arial" w:eastAsia="Arial" w:cs="Arial"/>
                <w:b/>
                <w:bCs/>
                <w:color w:val="404040"/>
                <w:sz w:val="20"/>
                <w:szCs w:val="20"/>
              </w:rPr>
              <w:t xml:space="preserve">Audit Log</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5559710F">
            <w:pPr>
              <w:pBdr/>
              <w:spacing/>
              <w:ind/>
              <w:jc w:val="left"/>
              <w:rPr/>
            </w:pPr>
            <w:r>
              <w:rPr>
                <w:rFonts w:ascii="Arial" w:hAnsi="Arial" w:eastAsia="Arial" w:cs="Arial"/>
                <w:b w:val="0"/>
                <w:bCs w:val="0"/>
                <w:color w:val="404040"/>
                <w:sz w:val="20"/>
                <w:szCs w:val="20"/>
              </w:rPr>
              <w:t xml:space="preserve">AES-256-GCM con nonce random 96 bit; chiave validata a 32 byte esatti</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34B9D1AA">
            <w:pPr>
              <w:pBdr/>
              <w:spacing/>
              <w:ind/>
              <w:jc w:val="left"/>
              <w:rPr/>
            </w:pPr>
            <w:r>
              <w:rPr>
                <w:rFonts w:ascii="Arial" w:hAnsi="Arial" w:eastAsia="Arial" w:cs="Arial"/>
                <w:b/>
                <w:bCs/>
                <w:color w:val="404040"/>
                <w:sz w:val="20"/>
                <w:szCs w:val="20"/>
              </w:rPr>
              <w:t xml:space="preserve">Parsing IP</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12F36B60">
            <w:pPr>
              <w:pBdr/>
              <w:spacing/>
              <w:ind/>
              <w:jc w:val="left"/>
              <w:rPr/>
            </w:pPr>
            <w:r>
              <w:rPr>
                <w:rFonts w:ascii="Arial" w:hAnsi="Arial" w:eastAsia="Arial" w:cs="Arial"/>
                <w:b w:val="0"/>
                <w:bCs w:val="0"/>
                <w:color w:val="404040"/>
                <w:sz w:val="20"/>
                <w:szCs w:val="20"/>
              </w:rPr>
              <w:t xml:space="preserve">X-Forwarded-For: primo IP estratto in sicurezza dietro proxy multi-hop</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0193E242">
            <w:pPr>
              <w:pBdr/>
              <w:spacing/>
              <w:ind/>
              <w:jc w:val="left"/>
              <w:rPr/>
            </w:pPr>
            <w:r>
              <w:rPr>
                <w:rFonts w:ascii="Arial" w:hAnsi="Arial" w:eastAsia="Arial" w:cs="Arial"/>
                <w:b/>
                <w:bCs/>
                <w:color w:val="404040"/>
                <w:sz w:val="20"/>
                <w:szCs w:val="20"/>
              </w:rPr>
              <w:t xml:space="preserve">Container</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313891A8">
            <w:pPr>
              <w:pBdr/>
              <w:spacing/>
              <w:ind/>
              <w:jc w:val="left"/>
              <w:rPr/>
            </w:pPr>
            <w:r>
              <w:rPr>
                <w:rFonts w:ascii="Arial" w:hAnsi="Arial" w:eastAsia="Arial" w:cs="Arial"/>
                <w:b w:val="0"/>
                <w:bCs w:val="0"/>
                <w:color w:val="404040"/>
                <w:sz w:val="20"/>
                <w:szCs w:val="20"/>
              </w:rPr>
              <w:t xml:space="preserve">Utente non-root, filesystem read-only, no-new-privileges</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5D1F2DC7">
            <w:pPr>
              <w:pBdr/>
              <w:spacing/>
              <w:ind/>
              <w:jc w:val="left"/>
              <w:rPr/>
            </w:pPr>
            <w:r>
              <w:rPr>
                <w:rFonts w:ascii="Arial" w:hAnsi="Arial" w:eastAsia="Arial" w:cs="Arial"/>
                <w:b/>
                <w:bCs/>
                <w:color w:val="404040"/>
                <w:sz w:val="20"/>
                <w:szCs w:val="20"/>
              </w:rPr>
              <w:t xml:space="preserve">TLS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7FEB4F44">
            <w:pPr>
              <w:pBdr/>
              <w:spacing/>
              <w:ind/>
              <w:jc w:val="left"/>
              <w:rPr/>
            </w:pPr>
            <w:r>
              <w:rPr>
                <w:rFonts w:ascii="Arial" w:hAnsi="Arial" w:eastAsia="Arial" w:cs="Arial"/>
                <w:b w:val="0"/>
                <w:bCs w:val="0"/>
                <w:color w:val="404040"/>
                <w:sz w:val="20"/>
                <w:szCs w:val="20"/>
              </w:rPr>
              <w:t xml:space="preserve">nginx TLS 1.2+/1.3, cipher suite HIGH:!aNULL:!MD5</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4D008199">
            <w:pPr>
              <w:pBdr/>
              <w:spacing/>
              <w:ind/>
              <w:jc w:val="left"/>
              <w:rPr/>
            </w:pPr>
            <w:r>
              <w:rPr>
                <w:rFonts w:ascii="Arial" w:hAnsi="Arial" w:eastAsia="Arial" w:cs="Arial"/>
                <w:b/>
                <w:bCs/>
                <w:color w:val="404040"/>
                <w:sz w:val="20"/>
                <w:szCs w:val="20"/>
              </w:rPr>
              <w:t xml:space="preserve">GDPR Purge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2A506510">
            <w:pPr>
              <w:pBdr/>
              <w:spacing/>
              <w:ind/>
              <w:jc w:val="left"/>
              <w:rPr/>
            </w:pPr>
            <w:r>
              <w:rPr>
                <w:rFonts w:ascii="Arial" w:hAnsi="Arial" w:eastAsia="Arial" w:cs="Arial"/>
                <w:b w:val="0"/>
                <w:bCs w:val="0"/>
                <w:color w:val="404040"/>
                <w:sz w:val="20"/>
                <w:szCs w:val="20"/>
              </w:rPr>
              <w:t xml:space="preserve">APScheduler notturno con distributed lock Redis (max_instances=1, retention 90 gg)</w:t>
            </w:r>
            <w:r/>
            <w:r/>
          </w:p>
        </w:tc>
      </w:tr>
    </w:tbl>
    <w:p>
      <w:pPr>
        <w:pBdr/>
        <w:spacing w:after="80" w:before="0"/>
        <w:ind/>
        <w:rPr/>
      </w:pPr>
      <w:r/>
      <w:r/>
    </w:p>
    <w:p>
      <w:pPr>
        <w:pStyle w:val="729"/>
        <w:pBdr/>
        <w:spacing w:after="120" w:before="240" w:line="276" w:lineRule="auto"/>
        <w:ind/>
        <w:rPr/>
      </w:pPr>
      <w:r>
        <w:rPr>
          <w:rFonts w:ascii="Google Sans" w:hAnsi="Google Sans" w:eastAsia="Google Sans" w:cs="Google Sans"/>
          <w:b/>
          <w:bCs/>
          <w:color w:val="1f1f1f"/>
          <w:sz w:val="28"/>
          <w:szCs w:val="28"/>
        </w:rPr>
        <w:t xml:space="preserve">7.2 Conformità GDPR (Regolamento UE 2016/679)</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00"/>
        <w:gridCol w:w="3600"/>
        <w:gridCol w:w="483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vAlign w:val="center"/>
          </w:tcPr>
          <w:p w14:paraId="3DCB5FDB">
            <w:pPr>
              <w:pBdr/>
              <w:spacing/>
              <w:ind/>
              <w:jc w:val="left"/>
              <w:rPr/>
            </w:pPr>
            <w:r>
              <w:rPr>
                <w:rFonts w:ascii="Arial" w:hAnsi="Arial" w:eastAsia="Arial" w:cs="Arial"/>
                <w:b/>
                <w:bCs/>
                <w:color w:val="ffffff"/>
                <w:sz w:val="20"/>
                <w:szCs w:val="20"/>
              </w:rPr>
              <w:t xml:space="preserve">Articolo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cPr>
          <w:p w14:paraId="00E92438">
            <w:pPr>
              <w:pBdr/>
              <w:spacing/>
              <w:ind/>
              <w:jc w:val="left"/>
              <w:rPr/>
            </w:pPr>
            <w:r>
              <w:rPr>
                <w:rFonts w:ascii="Arial" w:hAnsi="Arial" w:eastAsia="Arial" w:cs="Arial"/>
                <w:b/>
                <w:bCs/>
                <w:color w:val="ffffff"/>
                <w:sz w:val="20"/>
                <w:szCs w:val="20"/>
              </w:rPr>
              <w:t xml:space="preserve">Obbligo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38" w:type="dxa"/>
            <w:vAlign w:val="center"/>
          </w:tcPr>
          <w:p w14:paraId="592475E1">
            <w:pPr>
              <w:pBdr/>
              <w:spacing/>
              <w:ind/>
              <w:jc w:val="left"/>
              <w:rPr/>
            </w:pPr>
            <w:r>
              <w:rPr>
                <w:rFonts w:ascii="Arial" w:hAnsi="Arial" w:eastAsia="Arial" w:cs="Arial"/>
                <w:b/>
                <w:bCs/>
                <w:color w:val="ffffff"/>
                <w:sz w:val="20"/>
                <w:szCs w:val="20"/>
              </w:rPr>
              <w:t xml:space="preserve">Implementazione CATS</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vAlign w:val="center"/>
          </w:tcPr>
          <w:p w14:paraId="74096F85">
            <w:pPr>
              <w:pBdr/>
              <w:spacing/>
              <w:ind/>
              <w:jc w:val="left"/>
              <w:rPr/>
            </w:pPr>
            <w:r>
              <w:rPr>
                <w:rFonts w:ascii="Arial" w:hAnsi="Arial" w:eastAsia="Arial" w:cs="Arial"/>
                <w:b/>
                <w:bCs/>
                <w:color w:val="404040"/>
                <w:sz w:val="20"/>
                <w:szCs w:val="20"/>
              </w:rPr>
              <w:t xml:space="preserve">Art. 5(1)(e)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cPr>
          <w:p w14:paraId="7A835002">
            <w:pPr>
              <w:pBdr/>
              <w:spacing/>
              <w:ind/>
              <w:jc w:val="left"/>
              <w:rPr/>
            </w:pPr>
            <w:r>
              <w:rPr>
                <w:rFonts w:ascii="Arial" w:hAnsi="Arial" w:eastAsia="Arial" w:cs="Arial"/>
                <w:b w:val="0"/>
                <w:bCs w:val="0"/>
                <w:color w:val="404040"/>
                <w:sz w:val="20"/>
                <w:szCs w:val="20"/>
              </w:rPr>
              <w:t xml:space="preserve">Limitazione della conservazione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38" w:type="dxa"/>
            <w:vAlign w:val="center"/>
          </w:tcPr>
          <w:p w14:paraId="4A983329">
            <w:pPr>
              <w:pBdr/>
              <w:spacing/>
              <w:ind/>
              <w:jc w:val="left"/>
              <w:rPr/>
            </w:pPr>
            <w:r>
              <w:rPr>
                <w:rFonts w:ascii="Arial" w:hAnsi="Arial" w:eastAsia="Arial" w:cs="Arial"/>
                <w:b w:val="0"/>
                <w:bCs w:val="0"/>
                <w:color w:val="404040"/>
                <w:sz w:val="20"/>
                <w:szCs w:val="20"/>
              </w:rPr>
              <w:t xml:space="preserve">Retention 90 giorni; purge notturno con lock distribuito</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vAlign w:val="center"/>
          </w:tcPr>
          <w:p w14:paraId="004D8B20">
            <w:pPr>
              <w:pBdr/>
              <w:spacing/>
              <w:ind/>
              <w:jc w:val="left"/>
              <w:rPr/>
            </w:pPr>
            <w:r>
              <w:rPr>
                <w:rFonts w:ascii="Arial" w:hAnsi="Arial" w:eastAsia="Arial" w:cs="Arial"/>
                <w:b/>
                <w:bCs/>
                <w:color w:val="404040"/>
                <w:sz w:val="20"/>
                <w:szCs w:val="20"/>
              </w:rPr>
              <w:t xml:space="preserve">Art. 13–14</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cPr>
          <w:p w14:paraId="445B9D65">
            <w:pPr>
              <w:pBdr/>
              <w:spacing/>
              <w:ind/>
              <w:jc w:val="left"/>
              <w:rPr/>
            </w:pPr>
            <w:r>
              <w:rPr>
                <w:rFonts w:ascii="Arial" w:hAnsi="Arial" w:eastAsia="Arial" w:cs="Arial"/>
                <w:b w:val="0"/>
                <w:bCs w:val="0"/>
                <w:color w:val="404040"/>
                <w:sz w:val="20"/>
                <w:szCs w:val="20"/>
              </w:rPr>
              <w:t xml:space="preserve">Trasparenza e informazione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38" w:type="dxa"/>
            <w:vAlign w:val="center"/>
          </w:tcPr>
          <w:p w14:paraId="52B2B8B1">
            <w:pPr>
              <w:pBdr/>
              <w:spacing/>
              <w:ind/>
              <w:jc w:val="left"/>
              <w:rPr/>
            </w:pPr>
            <w:r>
              <w:rPr>
                <w:rFonts w:ascii="Arial" w:hAnsi="Arial" w:eastAsia="Arial" w:cs="Arial"/>
                <w:b w:val="0"/>
                <w:bCs w:val="0"/>
                <w:color w:val="404040"/>
                <w:sz w:val="20"/>
                <w:szCs w:val="20"/>
              </w:rPr>
              <w:t xml:space="preserve">GET /explain/{trace_id}: scomposizione + disclaimer obbligatorio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vAlign w:val="center"/>
          </w:tcPr>
          <w:p w14:paraId="5E57A8DE">
            <w:pPr>
              <w:pBdr/>
              <w:spacing/>
              <w:ind/>
              <w:jc w:val="left"/>
              <w:rPr/>
            </w:pPr>
            <w:r>
              <w:rPr>
                <w:rFonts w:ascii="Arial" w:hAnsi="Arial" w:eastAsia="Arial" w:cs="Arial"/>
                <w:b/>
                <w:bCs/>
                <w:color w:val="404040"/>
                <w:sz w:val="20"/>
                <w:szCs w:val="20"/>
              </w:rPr>
              <w:t xml:space="preserve">Art. 22</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cPr>
          <w:p w14:paraId="7C69165A">
            <w:pPr>
              <w:pBdr/>
              <w:spacing/>
              <w:ind/>
              <w:jc w:val="left"/>
              <w:rPr/>
            </w:pPr>
            <w:r>
              <w:rPr>
                <w:rFonts w:ascii="Arial" w:hAnsi="Arial" w:eastAsia="Arial" w:cs="Arial"/>
                <w:b w:val="0"/>
                <w:bCs w:val="0"/>
                <w:color w:val="404040"/>
                <w:sz w:val="20"/>
                <w:szCs w:val="20"/>
              </w:rPr>
              <w:t xml:space="preserve">Diritto di non essere soggetto a decisioni automatizzate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38" w:type="dxa"/>
            <w:vAlign w:val="center"/>
          </w:tcPr>
          <w:p w14:paraId="0C91DFB2">
            <w:pPr>
              <w:pBdr/>
              <w:spacing/>
              <w:ind/>
              <w:jc w:val="left"/>
              <w:rPr/>
            </w:pPr>
            <w:r>
              <w:rPr>
                <w:rFonts w:ascii="Arial" w:hAnsi="Arial" w:eastAsia="Arial" w:cs="Arial"/>
                <w:b w:val="0"/>
                <w:bCs w:val="0"/>
                <w:color w:val="404040"/>
                <w:sz w:val="20"/>
                <w:szCs w:val="20"/>
              </w:rPr>
              <w:t xml:space="preserve">POST /contest/{trace_id}; flag requires_review; endpoint /review</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vAlign w:val="center"/>
          </w:tcPr>
          <w:p w14:paraId="724ED0B1">
            <w:pPr>
              <w:pBdr/>
              <w:spacing/>
              <w:ind/>
              <w:jc w:val="left"/>
              <w:rPr/>
            </w:pPr>
            <w:r>
              <w:rPr>
                <w:rFonts w:ascii="Arial" w:hAnsi="Arial" w:eastAsia="Arial" w:cs="Arial"/>
                <w:b/>
                <w:bCs/>
                <w:color w:val="404040"/>
                <w:sz w:val="20"/>
                <w:szCs w:val="20"/>
              </w:rPr>
              <w:t xml:space="preserve">Art. 25</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cPr>
          <w:p w14:paraId="3BD0A809">
            <w:pPr>
              <w:pBdr/>
              <w:spacing/>
              <w:ind/>
              <w:jc w:val="left"/>
              <w:rPr/>
            </w:pPr>
            <w:r>
              <w:rPr>
                <w:rFonts w:ascii="Arial" w:hAnsi="Arial" w:eastAsia="Arial" w:cs="Arial"/>
                <w:b w:val="0"/>
                <w:bCs w:val="0"/>
                <w:color w:val="404040"/>
                <w:sz w:val="20"/>
                <w:szCs w:val="20"/>
              </w:rPr>
              <w:t xml:space="preserve">Privacy by design</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38" w:type="dxa"/>
            <w:vAlign w:val="center"/>
          </w:tcPr>
          <w:p w14:paraId="667E15C9">
            <w:pPr>
              <w:pBdr/>
              <w:spacing/>
              <w:ind/>
              <w:jc w:val="left"/>
              <w:rPr/>
            </w:pPr>
            <w:r>
              <w:rPr>
                <w:rFonts w:ascii="Arial" w:hAnsi="Arial" w:eastAsia="Arial" w:cs="Arial"/>
                <w:b w:val="0"/>
                <w:bCs w:val="0"/>
                <w:color w:val="404040"/>
                <w:sz w:val="20"/>
                <w:szCs w:val="20"/>
              </w:rPr>
              <w:t xml:space="preserve">Audit cifrato; nessun dato personale grezzo in trust_scores</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vAlign w:val="center"/>
          </w:tcPr>
          <w:p w14:paraId="7BA380BC">
            <w:pPr>
              <w:pBdr/>
              <w:spacing/>
              <w:ind/>
              <w:jc w:val="left"/>
              <w:rPr/>
            </w:pPr>
            <w:r>
              <w:rPr>
                <w:rFonts w:ascii="Arial" w:hAnsi="Arial" w:eastAsia="Arial" w:cs="Arial"/>
                <w:b/>
                <w:bCs/>
                <w:color w:val="404040"/>
                <w:sz w:val="20"/>
                <w:szCs w:val="20"/>
              </w:rPr>
              <w:t xml:space="preserve">Art. 32</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cPr>
          <w:p w14:paraId="1F908552">
            <w:pPr>
              <w:pBdr/>
              <w:spacing/>
              <w:ind/>
              <w:jc w:val="left"/>
              <w:rPr/>
            </w:pPr>
            <w:r>
              <w:rPr>
                <w:rFonts w:ascii="Arial" w:hAnsi="Arial" w:eastAsia="Arial" w:cs="Arial"/>
                <w:b w:val="0"/>
                <w:bCs w:val="0"/>
                <w:color w:val="404040"/>
                <w:sz w:val="20"/>
                <w:szCs w:val="20"/>
              </w:rPr>
              <w:t xml:space="preserve">Sicurezza del trattamento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38" w:type="dxa"/>
            <w:vAlign w:val="center"/>
          </w:tcPr>
          <w:p w14:paraId="19A2E5D9">
            <w:pPr>
              <w:pBdr/>
              <w:spacing/>
              <w:ind/>
              <w:jc w:val="left"/>
              <w:rPr/>
            </w:pPr>
            <w:r>
              <w:rPr>
                <w:rFonts w:ascii="Arial" w:hAnsi="Arial" w:eastAsia="Arial" w:cs="Arial"/>
                <w:b w:val="0"/>
                <w:bCs w:val="0"/>
                <w:color w:val="404040"/>
                <w:sz w:val="20"/>
                <w:szCs w:val="20"/>
              </w:rPr>
              <w:t xml:space="preserve">TLS 1.3; AES-256-GCM; utente non-root; rate limiting</w:t>
            </w:r>
            <w:r/>
            <w:r/>
          </w:p>
        </w:tc>
      </w:tr>
    </w:tbl>
    <w:p>
      <w:pPr>
        <w:pBdr/>
        <w:spacing w:after="80" w:before="0"/>
        <w:ind/>
        <w:rPr/>
      </w:pPr>
      <w:r/>
      <w:r/>
    </w:p>
    <w:p>
      <w:pPr>
        <w:pStyle w:val="729"/>
        <w:pBdr/>
        <w:spacing w:after="120" w:before="240" w:line="276" w:lineRule="auto"/>
        <w:ind/>
        <w:rPr/>
      </w:pPr>
      <w:r>
        <w:rPr>
          <w:rFonts w:ascii="Google Sans" w:hAnsi="Google Sans" w:eastAsia="Google Sans" w:cs="Google Sans"/>
          <w:b/>
          <w:bCs/>
          <w:color w:val="1f1f1f"/>
          <w:sz w:val="28"/>
          <w:szCs w:val="28"/>
        </w:rPr>
        <w:t xml:space="preserve">7.3 EU AI Act (Regolamento UE 2024/1689)</w:t>
      </w:r>
      <w:r/>
    </w:p>
    <w:p>
      <w:pPr>
        <w:pBdr/>
        <w:spacing w:after="240" w:before="0" w:line="276" w:lineRule="auto"/>
        <w:ind/>
        <w:jc w:val="both"/>
        <w:rPr/>
      </w:pPr>
      <w:r>
        <w:rPr>
          <w:rFonts w:ascii="Google Sans" w:hAnsi="Google Sans" w:eastAsia="Google Sans" w:cs="Google Sans"/>
          <w:color w:val="1f1f1f"/>
          <w:sz w:val="22"/>
          <w:szCs w:val="22"/>
        </w:rPr>
        <w:t>La classificazione di CATS ai sensi dell’EU AI Act NON è determinata. L’art. 6(2) qualifica come ad alto rischio un sistema destinato a un uso elencato nell’Allegato III, e la qualificazione dipende dall’impiego concreto: lo stesso motore di scoring può restare fuori dall’Allegato III in un uso giornalistico o di ricerca e rientrarvi se impiegato da forze dell’ordine o in contesti di migrazione, asilo e controllo delle frontiere (Allegato III, punti 6–7). La determinazione richiede consulenza legale qualificata e non è surrogabile da questo documento: il worksheet che la struttura è docs/eu_ai_act/classification.md nel repository, dove la decisione risulta tuttora pendente. In attesa di quella determinazione CATS applica in via prudenziale misure di trasparenza — (a) endpoint /explain per ogni valutazione; (b) disclaimer obbligatorio (WP 4.1/4.3); (c) documentazione pubblica delle limitazioni; (d) supervisione umana tramite requires_review e endpoint di contestazione — senza che la loro adozione costituisca o implichi una qualificazione giuridica del sistema.</w:t>
      </w:r>
      <w:r>
        <w:rPr>
          <w:rFonts w:ascii="Google Sans" w:hAnsi="Google Sans" w:eastAsia="Google Sans" w:cs="Google Sans"/>
          <w:b/>
          <w:bCs/>
          <w:color w:val="1f1f1f"/>
          <w:sz w:val="22"/>
          <w:szCs w:val="22"/>
        </w:rPr>
      </w:r>
      <w:r>
        <w:rPr>
          <w:rFonts w:ascii="Google Sans" w:hAnsi="Google Sans" w:eastAsia="Google Sans" w:cs="Google Sans"/>
          <w:color w:val="1f1f1f"/>
          <w:sz w:val="22"/>
          <w:szCs w:val="22"/>
        </w:rPr>
      </w:r>
      <w:r>
        <w:rPr>
          <w:rFonts w:ascii="Google Sans" w:hAnsi="Google Sans" w:eastAsia="Google Sans" w:cs="Google Sans"/>
          <w:color w:val="1f1f1f"/>
          <w:sz w:val="22"/>
          <w:szCs w:val="22"/>
        </w:rPr>
      </w:r>
      <w:r/>
    </w:p>
    <w:p>
      <w:pPr>
        <w:pStyle w:val="728"/>
        <w:pBdr/>
        <w:spacing w:after="120" w:before="320" w:line="276" w:lineRule="auto"/>
        <w:ind/>
        <w:rPr/>
      </w:pPr>
      <w:r>
        <w:rPr>
          <w:rFonts w:ascii="Google Sans" w:hAnsi="Google Sans" w:eastAsia="Google Sans" w:cs="Google Sans"/>
          <w:b/>
          <w:bCs/>
          <w:color w:val="1f1f1f"/>
          <w:sz w:val="36"/>
          <w:szCs w:val="36"/>
        </w:rPr>
        <w:t xml:space="preserve">8. Casi d’Uso e Modello Operativo</w:t>
      </w:r>
      <w:r/>
    </w:p>
    <w:p>
      <w:pPr>
        <w:pStyle w:val="729"/>
        <w:pBdr/>
        <w:spacing w:after="120" w:before="240" w:line="276" w:lineRule="auto"/>
        <w:ind/>
        <w:rPr/>
      </w:pPr>
      <w:r>
        <w:rPr>
          <w:rFonts w:ascii="Google Sans" w:hAnsi="Google Sans" w:eastAsia="Google Sans" w:cs="Google Sans"/>
          <w:b/>
          <w:bCs/>
          <w:color w:val="1f1f1f"/>
          <w:sz w:val="28"/>
          <w:szCs w:val="28"/>
        </w:rPr>
        <w:t xml:space="preserve">8.1 Validazione di Fonti Social</w:t>
      </w:r>
      <w:r/>
    </w:p>
    <w:p>
      <w:pPr>
        <w:pBdr/>
        <w:spacing w:after="240" w:before="0" w:line="276" w:lineRule="auto"/>
        <w:ind/>
        <w:jc w:val="both"/>
        <w:rPr/>
      </w:pPr>
      <w:r>
        <w:rPr>
          <w:rFonts w:ascii="Google Sans" w:hAnsi="Google Sans" w:eastAsia="Google Sans" w:cs="Google Sans"/>
          <w:color w:val="1f1f1f"/>
          <w:sz w:val="22"/>
          <w:szCs w:val="22"/>
        </w:rPr>
        <w:t xml:space="preserve">Scenario tipico: analisi di un account che pubblica contenuti su eventi di attualità. CATS esamina la serie storica dei messaggi e calcola i quattro segnali. Se rileva un segnale </w:t>
      </w:r>
      <w:r>
        <w:rPr>
          <w:rFonts w:ascii="Courier New" w:hAnsi="Courier New" w:eastAsia="Courier New" w:cs="Courier New"/>
          <w:color w:val="37474f"/>
          <w:sz w:val="22"/>
          <w:szCs w:val="22"/>
        </w:rPr>
        <w:t xml:space="preserve">gaming</w:t>
      </w:r>
      <w:r>
        <w:rPr>
          <w:rFonts w:ascii="Google Sans" w:hAnsi="Google Sans" w:eastAsia="Google Sans" w:cs="Google Sans"/>
          <w:color w:val="1f1f1f"/>
          <w:sz w:val="22"/>
          <w:szCs w:val="22"/>
        </w:rPr>
        <w:t xml:space="preserve"> elevato (TTR basso + burst rate alto) o un segnale </w:t>
      </w:r>
      <w:r>
        <w:rPr>
          <w:rFonts w:ascii="Courier New" w:hAnsi="Courier New" w:eastAsia="Courier New" w:cs="Courier New"/>
          <w:color w:val="37474f"/>
          <w:sz w:val="22"/>
          <w:szCs w:val="22"/>
        </w:rPr>
        <w:t xml:space="preserve">coherence</w:t>
      </w:r>
      <w:r>
        <w:rPr>
          <w:rFonts w:ascii="Google Sans" w:hAnsi="Google Sans" w:eastAsia="Google Sans" w:cs="Google Sans"/>
          <w:color w:val="1f1f1f"/>
          <w:sz w:val="22"/>
          <w:szCs w:val="22"/>
        </w:rPr>
        <w:t xml:space="preserve"> in forte calo, emette </w:t>
      </w:r>
      <w:r>
        <w:rPr>
          <w:rFonts w:ascii="Courier New" w:hAnsi="Courier New" w:eastAsia="Courier New" w:cs="Courier New"/>
          <w:color w:val="37474f"/>
          <w:sz w:val="22"/>
          <w:szCs w:val="22"/>
        </w:rPr>
        <w:t xml:space="preserve">requires_review: true</w:t>
      </w:r>
      <w:r>
        <w:rPr>
          <w:rFonts w:ascii="Google Sans" w:hAnsi="Google Sans" w:eastAsia="Google Sans" w:cs="Google Sans"/>
          <w:color w:val="1f1f1f"/>
          <w:sz w:val="22"/>
          <w:szCs w:val="22"/>
        </w:rPr>
        <w:t xml:space="preserve"> e registra l’audit cifrato per la tracciabilità della decisione.</w:t>
      </w:r>
      <w:r/>
    </w:p>
    <w:p>
      <w:pPr>
        <w:pStyle w:val="729"/>
        <w:pBdr/>
        <w:spacing w:after="120" w:before="240" w:line="276" w:lineRule="auto"/>
        <w:ind/>
        <w:rPr/>
      </w:pPr>
      <w:r>
        <w:rPr>
          <w:rFonts w:ascii="Google Sans" w:hAnsi="Google Sans" w:eastAsia="Google Sans" w:cs="Google Sans"/>
          <w:b/>
          <w:bCs/>
          <w:color w:val="1f1f1f"/>
          <w:sz w:val="28"/>
          <w:szCs w:val="28"/>
        </w:rPr>
        <w:t xml:space="preserve">8.2 Validazione di Fonti nel Contesto CTI</w:t>
      </w:r>
      <w:r/>
    </w:p>
    <w:p>
      <w:pPr>
        <w:pBdr/>
        <w:spacing w:after="240" w:before="0" w:line="276" w:lineRule="auto"/>
        <w:ind/>
        <w:jc w:val="both"/>
        <w:rPr/>
      </w:pPr>
      <w:r>
        <w:rPr>
          <w:rFonts w:ascii="Google Sans" w:hAnsi="Google Sans" w:eastAsia="Google Sans" w:cs="Google Sans"/>
          <w:color w:val="1f1f1f"/>
          <w:sz w:val="22"/>
          <w:szCs w:val="22"/>
        </w:rPr>
        <w:t xml:space="preserve">Nel contesto della Cyber Threat Intelligence, un team di sicurezza analizza lo storico di un account che ha pubblicato presunte prove di una violazione. CATS calcola il segnale </w:t>
      </w:r>
      <w:r>
        <w:rPr>
          <w:rFonts w:ascii="Courier New" w:hAnsi="Courier New" w:eastAsia="Courier New" w:cs="Courier New"/>
          <w:color w:val="37474f"/>
          <w:sz w:val="22"/>
          <w:szCs w:val="22"/>
        </w:rPr>
        <w:t xml:space="preserve">volatility</w:t>
      </w:r>
      <w:r>
        <w:rPr>
          <w:rFonts w:ascii="Google Sans" w:hAnsi="Google Sans" w:eastAsia="Google Sans" w:cs="Google Sans"/>
          <w:color w:val="1f1f1f"/>
          <w:sz w:val="22"/>
          <w:szCs w:val="22"/>
        </w:rPr>
        <w:t xml:space="preserve">: variazioni brusche di sentiment in breve periodo possono indicare contenuto generato artificialmente o disinformazione. Il trace_id consente la ricostruzione completa del processo di valutazione.</w:t>
      </w:r>
      <w:r/>
    </w:p>
    <w:p>
      <w:pPr>
        <w:pStyle w:val="729"/>
        <w:pBdr/>
        <w:spacing w:after="120" w:before="240" w:line="276" w:lineRule="auto"/>
        <w:ind/>
        <w:rPr/>
      </w:pPr>
      <w:r>
        <w:rPr>
          <w:rFonts w:ascii="Google Sans" w:hAnsi="Google Sans" w:eastAsia="Google Sans" w:cs="Google Sans"/>
          <w:b/>
          <w:bCs/>
          <w:color w:val="1f1f1f"/>
          <w:sz w:val="28"/>
          <w:szCs w:val="28"/>
        </w:rPr>
        <w:t xml:space="preserve">8.3 Modello di Interazione Umano-Sistema</w:t>
      </w:r>
      <w:r/>
    </w:p>
    <w:p>
      <w:pPr>
        <w:pBdr/>
        <w:spacing w:after="240" w:before="0" w:line="276" w:lineRule="auto"/>
        <w:ind/>
        <w:jc w:val="both"/>
        <w:rPr/>
      </w:pPr>
      <w:r>
        <w:rPr>
          <w:rFonts w:ascii="Google Sans" w:hAnsi="Google Sans" w:eastAsia="Google Sans" w:cs="Google Sans"/>
          <w:color w:val="1f1f1f"/>
          <w:sz w:val="22"/>
          <w:szCs w:val="22"/>
        </w:rPr>
        <w:t xml:space="preserve">CATS non sostituisce l’analista, ma agisce come primo livello di triage automatizzato. Il sistema gestisce la valutazione su scala, mentre l’analista interviene per risolvere le ambiguità segnalate dal flag </w:t>
      </w:r>
      <w:r>
        <w:rPr>
          <w:rFonts w:ascii="Courier New" w:hAnsi="Courier New" w:eastAsia="Courier New" w:cs="Courier New"/>
          <w:color w:val="37474f"/>
          <w:sz w:val="22"/>
          <w:szCs w:val="22"/>
        </w:rPr>
        <w:t xml:space="preserve">requires_review</w:t>
      </w:r>
      <w:r>
        <w:rPr>
          <w:rFonts w:ascii="Google Sans" w:hAnsi="Google Sans" w:eastAsia="Google Sans" w:cs="Google Sans"/>
          <w:color w:val="1f1f1f"/>
          <w:sz w:val="22"/>
          <w:szCs w:val="22"/>
        </w:rPr>
        <w:t xml:space="preserve">.</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12"/>
        <w:gridCol w:w="3212"/>
        <w:gridCol w:w="3214"/>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7CF1A0B4">
            <w:pPr>
              <w:pBdr/>
              <w:spacing/>
              <w:ind/>
              <w:jc w:val="left"/>
              <w:rPr/>
            </w:pPr>
            <w:r>
              <w:rPr>
                <w:rFonts w:ascii="Arial" w:hAnsi="Arial" w:eastAsia="Arial" w:cs="Arial"/>
                <w:b/>
                <w:bCs/>
                <w:color w:val="ffffff"/>
                <w:sz w:val="20"/>
                <w:szCs w:val="20"/>
              </w:rPr>
              <w:t xml:space="preserve">Profilo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6DF60369">
            <w:pPr>
              <w:pBdr/>
              <w:spacing/>
              <w:ind/>
              <w:jc w:val="left"/>
              <w:rPr/>
            </w:pPr>
            <w:r>
              <w:rPr>
                <w:rFonts w:ascii="Arial" w:hAnsi="Arial" w:eastAsia="Arial" w:cs="Arial"/>
                <w:b/>
                <w:bCs/>
                <w:color w:val="ffffff"/>
                <w:sz w:val="20"/>
                <w:szCs w:val="20"/>
              </w:rPr>
              <w:t xml:space="preserve">Interazione con il sistema</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4" w:type="dxa"/>
            <w:vAlign w:val="center"/>
          </w:tcPr>
          <w:p w14:paraId="2B787DFA">
            <w:pPr>
              <w:pBdr/>
              <w:spacing/>
              <w:ind/>
              <w:jc w:val="left"/>
              <w:rPr/>
            </w:pPr>
            <w:r>
              <w:rPr>
                <w:rFonts w:ascii="Arial" w:hAnsi="Arial" w:eastAsia="Arial" w:cs="Arial"/>
                <w:b/>
                <w:bCs/>
                <w:color w:val="ffffff"/>
                <w:sz w:val="20"/>
                <w:szCs w:val="20"/>
              </w:rPr>
              <w:t xml:space="preserve">Output ottenuto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53708711">
            <w:pPr>
              <w:pBdr/>
              <w:spacing/>
              <w:ind/>
              <w:jc w:val="left"/>
              <w:rPr/>
            </w:pPr>
            <w:r>
              <w:rPr>
                <w:rFonts w:ascii="Arial" w:hAnsi="Arial" w:eastAsia="Arial" w:cs="Arial"/>
                <w:b/>
                <w:bCs/>
                <w:color w:val="404040"/>
                <w:sz w:val="20"/>
                <w:szCs w:val="20"/>
              </w:rPr>
              <w:t xml:space="preserve">Analista OSINT</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7F5E8715">
            <w:pPr>
              <w:pBdr/>
              <w:spacing/>
              <w:ind/>
              <w:jc w:val="left"/>
              <w:rPr/>
            </w:pPr>
            <w:r>
              <w:rPr>
                <w:rFonts w:ascii="Arial" w:hAnsi="Arial" w:eastAsia="Arial" w:cs="Arial"/>
                <w:b w:val="0"/>
                <w:bCs w:val="0"/>
                <w:color w:val="404040"/>
                <w:sz w:val="20"/>
                <w:szCs w:val="20"/>
              </w:rPr>
              <w:t xml:space="preserve">POST /v1/cats/evaluate con set di messaggi</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4" w:type="dxa"/>
            <w:vAlign w:val="center"/>
          </w:tcPr>
          <w:p w14:paraId="6C308FB9">
            <w:pPr>
              <w:pBdr/>
              <w:spacing/>
              <w:ind/>
              <w:jc w:val="left"/>
              <w:rPr/>
            </w:pPr>
            <w:r>
              <w:rPr>
                <w:rFonts w:ascii="Arial" w:hAnsi="Arial" w:eastAsia="Arial" w:cs="Arial"/>
                <w:b w:val="0"/>
                <w:bCs w:val="0"/>
                <w:color w:val="404040"/>
                <w:sz w:val="20"/>
                <w:szCs w:val="20"/>
              </w:rPr>
              <w:t xml:space="preserve">Score, banda di rischio e lista segnali per ogni fonte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7CF70843">
            <w:pPr>
              <w:pBdr/>
              <w:spacing/>
              <w:ind/>
              <w:jc w:val="left"/>
              <w:rPr/>
            </w:pPr>
            <w:r>
              <w:rPr>
                <w:rFonts w:ascii="Arial" w:hAnsi="Arial" w:eastAsia="Arial" w:cs="Arial"/>
                <w:b/>
                <w:bCs/>
                <w:color w:val="404040"/>
                <w:sz w:val="20"/>
                <w:szCs w:val="20"/>
              </w:rPr>
              <w:t xml:space="preserve">Operatore Compliance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2645B3AC">
            <w:pPr>
              <w:pBdr/>
              <w:spacing/>
              <w:ind/>
              <w:jc w:val="left"/>
              <w:rPr/>
            </w:pPr>
            <w:r>
              <w:rPr>
                <w:rFonts w:ascii="Arial" w:hAnsi="Arial" w:eastAsia="Arial" w:cs="Arial"/>
                <w:b w:val="0"/>
                <w:bCs w:val="0"/>
                <w:color w:val="404040"/>
                <w:sz w:val="20"/>
                <w:szCs w:val="20"/>
              </w:rPr>
              <w:t xml:space="preserve">GET /v1/cats/explain/{trace_id}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4" w:type="dxa"/>
            <w:vAlign w:val="center"/>
          </w:tcPr>
          <w:p w14:paraId="408B1096">
            <w:pPr>
              <w:pBdr/>
              <w:spacing/>
              <w:ind/>
              <w:jc w:val="left"/>
              <w:rPr/>
            </w:pPr>
            <w:r>
              <w:rPr>
                <w:rFonts w:ascii="Arial" w:hAnsi="Arial" w:eastAsia="Arial" w:cs="Arial"/>
                <w:b w:val="0"/>
                <w:bCs w:val="0"/>
                <w:color w:val="404040"/>
                <w:sz w:val="20"/>
                <w:szCs w:val="20"/>
              </w:rPr>
              <w:t xml:space="preserve">Scomposizione completa del punteggio con disclaimer GDPR</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423601E2">
            <w:pPr>
              <w:pBdr/>
              <w:spacing/>
              <w:ind/>
              <w:jc w:val="left"/>
              <w:rPr/>
            </w:pPr>
            <w:r>
              <w:rPr>
                <w:rFonts w:ascii="Arial" w:hAnsi="Arial" w:eastAsia="Arial" w:cs="Arial"/>
                <w:b/>
                <w:bCs/>
                <w:color w:val="404040"/>
                <w:sz w:val="20"/>
                <w:szCs w:val="20"/>
              </w:rPr>
              <w:t xml:space="preserve">Sviluppatore / DevSecOps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vAlign w:val="center"/>
          </w:tcPr>
          <w:p w14:paraId="75C9089A">
            <w:pPr>
              <w:pBdr/>
              <w:spacing/>
              <w:ind/>
              <w:jc w:val="left"/>
              <w:rPr/>
            </w:pPr>
            <w:r>
              <w:rPr>
                <w:rFonts w:ascii="Arial" w:hAnsi="Arial" w:eastAsia="Arial" w:cs="Arial"/>
                <w:b w:val="0"/>
                <w:bCs w:val="0"/>
                <w:color w:val="404040"/>
                <w:sz w:val="20"/>
                <w:szCs w:val="20"/>
              </w:rPr>
              <w:t xml:space="preserve">GET /health e /metrics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4" w:type="dxa"/>
            <w:vAlign w:val="center"/>
          </w:tcPr>
          <w:p w14:paraId="1AEA29D0">
            <w:pPr>
              <w:pBdr/>
              <w:spacing/>
              <w:ind/>
              <w:jc w:val="left"/>
              <w:rPr/>
            </w:pPr>
            <w:r>
              <w:rPr>
                <w:rFonts w:ascii="Arial" w:hAnsi="Arial" w:eastAsia="Arial" w:cs="Arial"/>
                <w:b w:val="0"/>
                <w:bCs w:val="0"/>
                <w:color w:val="404040"/>
                <w:sz w:val="20"/>
                <w:szCs w:val="20"/>
              </w:rPr>
              <w:t xml:space="preserve">Stato dei componenti e metriche operative del pipeline</w:t>
            </w:r>
            <w:r/>
            <w:r/>
          </w:p>
        </w:tc>
      </w:tr>
    </w:tbl>
    <w:p>
      <w:pPr>
        <w:pBdr/>
        <w:spacing w:after="8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9. Rischi e Mitigazioni</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5"/>
        <w:gridCol w:w="2698"/>
        <w:gridCol w:w="2698"/>
        <w:gridCol w:w="2797"/>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5" w:type="dxa"/>
            <w:vAlign w:val="center"/>
          </w:tcPr>
          <w:p w14:paraId="1BB4702E">
            <w:pPr>
              <w:pBdr/>
              <w:spacing/>
              <w:ind/>
              <w:jc w:val="left"/>
              <w:rPr/>
            </w:pPr>
            <w:r>
              <w:rPr>
                <w:rFonts w:ascii="Arial" w:hAnsi="Arial" w:eastAsia="Arial" w:cs="Arial"/>
                <w:b/>
                <w:bCs/>
                <w:color w:val="ffffff"/>
                <w:sz w:val="20"/>
                <w:szCs w:val="20"/>
              </w:rPr>
              <w:t xml:space="preserve">Tipo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774CCB3A">
            <w:pPr>
              <w:pBdr/>
              <w:spacing/>
              <w:ind/>
              <w:jc w:val="left"/>
              <w:rPr/>
            </w:pPr>
            <w:r>
              <w:rPr>
                <w:rFonts w:ascii="Arial" w:hAnsi="Arial" w:eastAsia="Arial" w:cs="Arial"/>
                <w:b/>
                <w:bCs/>
                <w:color w:val="ffffff"/>
                <w:sz w:val="20"/>
                <w:szCs w:val="20"/>
              </w:rPr>
              <w:t xml:space="preserve">Rischio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6D0CE0E5">
            <w:pPr>
              <w:pBdr/>
              <w:spacing/>
              <w:ind/>
              <w:jc w:val="left"/>
              <w:rPr/>
            </w:pPr>
            <w:r>
              <w:rPr>
                <w:rFonts w:ascii="Arial" w:hAnsi="Arial" w:eastAsia="Arial" w:cs="Arial"/>
                <w:b/>
                <w:bCs/>
                <w:color w:val="ffffff"/>
                <w:sz w:val="20"/>
                <w:szCs w:val="20"/>
              </w:rPr>
              <w:t xml:space="preserve">Probabilità / Impatto</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97" w:type="dxa"/>
            <w:vAlign w:val="center"/>
          </w:tcPr>
          <w:p w14:paraId="69C91B87">
            <w:pPr>
              <w:pBdr/>
              <w:spacing/>
              <w:ind/>
              <w:jc w:val="left"/>
              <w:rPr/>
            </w:pPr>
            <w:r>
              <w:rPr>
                <w:rFonts w:ascii="Arial" w:hAnsi="Arial" w:eastAsia="Arial" w:cs="Arial"/>
                <w:b/>
                <w:bCs/>
                <w:color w:val="ffffff"/>
                <w:sz w:val="20"/>
                <w:szCs w:val="20"/>
              </w:rPr>
              <w:t xml:space="preserve">Mitigazione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5" w:type="dxa"/>
            <w:vAlign w:val="center"/>
          </w:tcPr>
          <w:p w14:paraId="4F569D8B">
            <w:pPr>
              <w:pBdr/>
              <w:spacing/>
              <w:ind/>
              <w:jc w:val="left"/>
              <w:rPr/>
            </w:pPr>
            <w:r>
              <w:rPr>
                <w:rFonts w:ascii="Arial" w:hAnsi="Arial" w:eastAsia="Arial" w:cs="Arial"/>
                <w:b/>
                <w:bCs/>
                <w:color w:val="404040"/>
                <w:sz w:val="20"/>
                <w:szCs w:val="20"/>
              </w:rPr>
              <w:t xml:space="preserve">Tecnico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7F6F9A36">
            <w:pPr>
              <w:pBdr/>
              <w:spacing/>
              <w:ind/>
              <w:jc w:val="left"/>
              <w:rPr/>
            </w:pPr>
            <w:r>
              <w:rPr>
                <w:rFonts w:ascii="Arial" w:hAnsi="Arial" w:eastAsia="Arial" w:cs="Arial"/>
                <w:b w:val="0"/>
                <w:bCs w:val="0"/>
                <w:color w:val="404040"/>
                <w:sz w:val="20"/>
                <w:szCs w:val="20"/>
              </w:rPr>
              <w:t>Accuratezza NLP 55–62% con lo stack di default, insufficiente per use case critici</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605E50DA">
            <w:pPr>
              <w:pBdr/>
              <w:spacing/>
              <w:ind/>
              <w:jc w:val="left"/>
              <w:rPr/>
            </w:pPr>
            <w:r>
              <w:rPr>
                <w:rFonts w:ascii="Arial" w:hAnsi="Arial" w:eastAsia="Arial" w:cs="Arial"/>
                <w:b w:val="0"/>
                <w:bCs w:val="0"/>
                <w:color w:val="404040"/>
                <w:sz w:val="20"/>
                <w:szCs w:val="20"/>
              </w:rPr>
              <w:t xml:space="preserve">Media / Alto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97" w:type="dxa"/>
            <w:vAlign w:val="center"/>
          </w:tcPr>
          <w:p w14:paraId="4B0C0D45">
            <w:pPr>
              <w:pBdr/>
              <w:spacing/>
              <w:ind/>
              <w:jc w:val="left"/>
              <w:rPr/>
            </w:pPr>
            <w:r>
              <w:rPr>
                <w:rFonts w:ascii="Arial" w:hAnsi="Arial" w:eastAsia="Arial" w:cs="Arial"/>
                <w:b w:val="0"/>
                <w:bCs w:val="0"/>
                <w:color w:val="404040"/>
                <w:sz w:val="20"/>
                <w:szCs w:val="20"/>
              </w:rPr>
              <w:t>Backend SBERT/BERT opzionali disponibili e usati per la calibrazione; disclaimer obbligatori WP 4.1/4.3</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5" w:type="dxa"/>
            <w:vAlign w:val="center"/>
          </w:tcPr>
          <w:p w14:paraId="569EFE42">
            <w:pPr>
              <w:pBdr/>
              <w:spacing/>
              <w:ind/>
              <w:jc w:val="left"/>
              <w:rPr/>
            </w:pPr>
            <w:r>
              <w:rPr>
                <w:rFonts w:ascii="Arial" w:hAnsi="Arial" w:eastAsia="Arial" w:cs="Arial"/>
                <w:b/>
                <w:bCs/>
                <w:color w:val="404040"/>
                <w:sz w:val="20"/>
                <w:szCs w:val="20"/>
              </w:rPr>
              <w:t xml:space="preserve">Tecnico</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6356141E">
            <w:pPr>
              <w:pBdr/>
              <w:spacing/>
              <w:ind/>
              <w:jc w:val="left"/>
              <w:rPr/>
            </w:pPr>
            <w:r>
              <w:rPr>
                <w:rFonts w:ascii="Arial" w:hAnsi="Arial" w:eastAsia="Arial" w:cs="Arial"/>
                <w:b w:val="0"/>
                <w:bCs w:val="0"/>
                <w:color w:val="404040"/>
                <w:sz w:val="20"/>
                <w:szCs w:val="20"/>
              </w:rPr>
              <w:t>Discriminazione concentrata su un solo segnale; recall 0,333 sulla coda bassa</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783881C8">
            <w:pPr>
              <w:pBdr/>
              <w:spacing/>
              <w:ind/>
              <w:jc w:val="left"/>
              <w:rPr/>
            </w:pPr>
            <w:r>
              <w:rPr>
                <w:rFonts w:ascii="Arial" w:hAnsi="Arial" w:eastAsia="Arial" w:cs="Arial"/>
                <w:b w:val="0"/>
                <w:bCs w:val="0"/>
                <w:color w:val="404040"/>
                <w:sz w:val="20"/>
                <w:szCs w:val="20"/>
              </w:rPr>
              <w:t>Alta / Alto</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97" w:type="dxa"/>
            <w:vAlign w:val="center"/>
          </w:tcPr>
          <w:p w14:paraId="6DEBF535">
            <w:pPr>
              <w:pBdr/>
              <w:spacing/>
              <w:ind/>
              <w:jc w:val="left"/>
              <w:rPr/>
            </w:pPr>
            <w:r>
              <w:rPr>
                <w:rFonts w:ascii="Arial" w:hAnsi="Arial" w:eastAsia="Arial" w:cs="Arial"/>
                <w:b w:val="0"/>
                <w:bCs w:val="0"/>
                <w:color w:val="404040"/>
                <w:sz w:val="20"/>
                <w:szCs w:val="20"/>
              </w:rPr>
              <w:t>Rischio dominante dalla v1.1. La calibrazione empirica è stata eseguita e validata (§5.4), ma tre segnali su quattro non portano informazione di rango. Mitigazione: ricalibrazione completa su dataset ampliato (v2.0); nel frattempo il limite è dichiarato, non nascosto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5" w:type="dxa"/>
            <w:vAlign w:val="center"/>
          </w:tcPr>
          <w:p w14:paraId="53E9A7AC">
            <w:pPr>
              <w:pBdr/>
              <w:spacing/>
              <w:ind/>
              <w:jc w:val="left"/>
              <w:rPr/>
            </w:pPr>
            <w:r>
              <w:rPr>
                <w:rFonts w:ascii="Arial" w:hAnsi="Arial" w:eastAsia="Arial" w:cs="Arial"/>
                <w:b/>
                <w:bCs/>
                <w:color w:val="404040"/>
                <w:sz w:val="20"/>
                <w:szCs w:val="20"/>
              </w:rPr>
              <w:t xml:space="preserve">Operativo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48DD80ED">
            <w:pPr>
              <w:pBdr/>
              <w:spacing/>
              <w:ind/>
              <w:jc w:val="left"/>
              <w:rPr/>
            </w:pPr>
            <w:r>
              <w:rPr>
                <w:rFonts w:ascii="Arial" w:hAnsi="Arial" w:eastAsia="Arial" w:cs="Arial"/>
                <w:b w:val="0"/>
                <w:bCs w:val="0"/>
                <w:color w:val="404040"/>
                <w:sz w:val="20"/>
                <w:szCs w:val="20"/>
              </w:rPr>
              <w:t xml:space="preserve">Single point of failure su Redis o PostgreSQL</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7526BFBC">
            <w:pPr>
              <w:pBdr/>
              <w:spacing/>
              <w:ind/>
              <w:jc w:val="left"/>
              <w:rPr/>
            </w:pPr>
            <w:r>
              <w:rPr>
                <w:rFonts w:ascii="Arial" w:hAnsi="Arial" w:eastAsia="Arial" w:cs="Arial"/>
                <w:b w:val="0"/>
                <w:bCs w:val="0"/>
                <w:color w:val="404040"/>
                <w:sz w:val="20"/>
                <w:szCs w:val="20"/>
              </w:rPr>
              <w:t xml:space="preserve">Bassa / Alto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97" w:type="dxa"/>
            <w:vAlign w:val="center"/>
          </w:tcPr>
          <w:p w14:paraId="4E9E523A">
            <w:pPr>
              <w:pBdr/>
              <w:spacing/>
              <w:ind/>
              <w:jc w:val="left"/>
              <w:rPr/>
            </w:pPr>
            <w:r>
              <w:rPr>
                <w:rFonts w:ascii="Arial" w:hAnsi="Arial" w:eastAsia="Arial" w:cs="Arial"/>
                <w:b w:val="0"/>
                <w:bCs w:val="0"/>
                <w:color w:val="404040"/>
                <w:sz w:val="20"/>
                <w:szCs w:val="20"/>
              </w:rPr>
              <w:t xml:space="preserve">Healthcheck profondo; pool di connessioni configurabile; replica Redis</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5" w:type="dxa"/>
            <w:vAlign w:val="center"/>
          </w:tcPr>
          <w:p w14:paraId="69F8BE41">
            <w:pPr>
              <w:pBdr/>
              <w:spacing/>
              <w:ind/>
              <w:jc w:val="left"/>
              <w:rPr/>
            </w:pPr>
            <w:r>
              <w:rPr>
                <w:rFonts w:ascii="Arial" w:hAnsi="Arial" w:eastAsia="Arial" w:cs="Arial"/>
                <w:b/>
                <w:bCs/>
                <w:color w:val="404040"/>
                <w:sz w:val="20"/>
                <w:szCs w:val="20"/>
              </w:rPr>
              <w:t xml:space="preserve">Normativo</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217A194D">
            <w:pPr>
              <w:pBdr/>
              <w:spacing/>
              <w:ind/>
              <w:jc w:val="left"/>
              <w:rPr/>
            </w:pPr>
            <w:r>
              <w:rPr>
                <w:rFonts w:ascii="Arial" w:hAnsi="Arial" w:eastAsia="Arial" w:cs="Arial"/>
                <w:b w:val="0"/>
                <w:bCs w:val="0"/>
                <w:color w:val="404040"/>
                <w:sz w:val="20"/>
                <w:szCs w:val="20"/>
              </w:rPr>
              <w:t>Classificazione EU AI Act non determinata; dipende dall’uso concreto</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3084163F">
            <w:pPr>
              <w:pBdr/>
              <w:spacing/>
              <w:ind/>
              <w:jc w:val="left"/>
              <w:rPr/>
            </w:pPr>
            <w:r>
              <w:rPr>
                <w:rFonts w:ascii="Arial" w:hAnsi="Arial" w:eastAsia="Arial" w:cs="Arial"/>
                <w:b w:val="0"/>
                <w:bCs w:val="0"/>
                <w:color w:val="404040"/>
                <w:sz w:val="20"/>
                <w:szCs w:val="20"/>
              </w:rPr>
              <w:t>Media / Alto</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97" w:type="dxa"/>
            <w:vAlign w:val="center"/>
          </w:tcPr>
          <w:p w14:paraId="6857F316">
            <w:pPr>
              <w:pBdr/>
              <w:spacing/>
              <w:ind/>
              <w:jc w:val="left"/>
              <w:rPr/>
            </w:pPr>
            <w:r>
              <w:rPr>
                <w:rFonts w:ascii="Arial" w:hAnsi="Arial" w:eastAsia="Arial" w:cs="Arial"/>
                <w:b w:val="0"/>
                <w:bCs w:val="0"/>
                <w:color w:val="404040"/>
                <w:sz w:val="20"/>
                <w:szCs w:val="20"/>
              </w:rPr>
              <w:t>Determinazione da effettuare con consulenza legale prima di impieghi che possano ricadere nell’Allegato III (forze dell’ordine, migrazione, frontiere). Vedi §7.3 e docs/eu_ai_act/classification.md</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5" w:type="dxa"/>
            <w:vAlign w:val="center"/>
          </w:tcPr>
          <w:p w14:paraId="75288F7A">
            <w:pPr>
              <w:pBdr/>
              <w:spacing/>
              <w:ind/>
              <w:jc w:val="left"/>
              <w:rPr/>
            </w:pPr>
            <w:r>
              <w:rPr>
                <w:rFonts w:ascii="Arial" w:hAnsi="Arial" w:eastAsia="Arial" w:cs="Arial"/>
                <w:b/>
                <w:bCs/>
                <w:color w:val="404040"/>
                <w:sz w:val="20"/>
                <w:szCs w:val="20"/>
              </w:rPr>
              <w:t xml:space="preserve">Linguistico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43BF308B">
            <w:pPr>
              <w:pBdr/>
              <w:spacing/>
              <w:ind/>
              <w:jc w:val="left"/>
              <w:rPr/>
            </w:pPr>
            <w:r>
              <w:rPr>
                <w:rFonts w:ascii="Arial" w:hAnsi="Arial" w:eastAsia="Arial" w:cs="Arial"/>
                <w:b w:val="0"/>
                <w:bCs w:val="0"/>
                <w:color w:val="404040"/>
                <w:sz w:val="20"/>
                <w:szCs w:val="20"/>
              </w:rPr>
              <w:t xml:space="preserve">Accuratezza degradata per lingue non italiane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98" w:type="dxa"/>
            <w:vAlign w:val="center"/>
          </w:tcPr>
          <w:p w14:paraId="3E575C39">
            <w:pPr>
              <w:pBdr/>
              <w:spacing/>
              <w:ind/>
              <w:jc w:val="left"/>
              <w:rPr/>
            </w:pPr>
            <w:r>
              <w:rPr>
                <w:rFonts w:ascii="Arial" w:hAnsi="Arial" w:eastAsia="Arial" w:cs="Arial"/>
                <w:b w:val="0"/>
                <w:bCs w:val="0"/>
                <w:color w:val="404040"/>
                <w:sz w:val="20"/>
                <w:szCs w:val="20"/>
              </w:rPr>
              <w:t xml:space="preserve">Alta / Medio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97" w:type="dxa"/>
            <w:vAlign w:val="center"/>
          </w:tcPr>
          <w:p w14:paraId="777AECBE">
            <w:pPr>
              <w:pBdr/>
              <w:spacing/>
              <w:ind/>
              <w:jc w:val="left"/>
              <w:rPr/>
            </w:pPr>
            <w:r>
              <w:rPr>
                <w:rFonts w:ascii="Arial" w:hAnsi="Arial" w:eastAsia="Arial" w:cs="Arial"/>
                <w:b w:val="0"/>
                <w:bCs w:val="0"/>
                <w:color w:val="404040"/>
                <w:sz w:val="20"/>
                <w:szCs w:val="20"/>
              </w:rPr>
              <w:t xml:space="preserve">Roadmap multilingua; nota nei disclaimer; modello pluggabile per lingua</w:t>
            </w:r>
            <w:r/>
            <w:r/>
          </w:p>
        </w:tc>
      </w:tr>
    </w:tbl>
    <w:p>
      <w:pPr>
        <w:pBdr/>
        <w:spacing w:after="8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10. Stack Tecnico</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20"/>
        <w:gridCol w:w="2120"/>
        <w:gridCol w:w="539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3542189B">
            <w:pPr>
              <w:pBdr/>
              <w:spacing/>
              <w:ind/>
              <w:jc w:val="left"/>
              <w:rPr/>
            </w:pPr>
            <w:r>
              <w:rPr>
                <w:rFonts w:ascii="Arial" w:hAnsi="Arial" w:eastAsia="Arial" w:cs="Arial"/>
                <w:b/>
                <w:bCs/>
                <w:color w:val="ffffff"/>
                <w:sz w:val="20"/>
                <w:szCs w:val="20"/>
              </w:rPr>
              <w:t xml:space="preserve">Layer</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7BCBF3C2">
            <w:pPr>
              <w:pBdr/>
              <w:spacing/>
              <w:ind/>
              <w:jc w:val="left"/>
              <w:rPr/>
            </w:pPr>
            <w:r>
              <w:rPr>
                <w:rFonts w:ascii="Arial" w:hAnsi="Arial" w:eastAsia="Arial" w:cs="Arial"/>
                <w:b/>
                <w:bCs/>
                <w:color w:val="ffffff"/>
                <w:sz w:val="20"/>
                <w:szCs w:val="20"/>
              </w:rPr>
              <w:t xml:space="preserve">Tecnologia</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29CF2CEE">
            <w:pPr>
              <w:pBdr/>
              <w:spacing/>
              <w:ind/>
              <w:jc w:val="left"/>
              <w:rPr/>
            </w:pPr>
            <w:r>
              <w:rPr>
                <w:rFonts w:ascii="Arial" w:hAnsi="Arial" w:eastAsia="Arial" w:cs="Arial"/>
                <w:b/>
                <w:bCs/>
                <w:color w:val="ffffff"/>
                <w:sz w:val="20"/>
                <w:szCs w:val="20"/>
              </w:rPr>
              <w:t xml:space="preserve">Versione / Note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7F5F55D9">
            <w:pPr>
              <w:pBdr/>
              <w:spacing/>
              <w:ind/>
              <w:jc w:val="left"/>
              <w:rPr/>
            </w:pPr>
            <w:r>
              <w:rPr>
                <w:rFonts w:ascii="Arial" w:hAnsi="Arial" w:eastAsia="Arial" w:cs="Arial"/>
                <w:b/>
                <w:bCs/>
                <w:color w:val="404040"/>
                <w:sz w:val="20"/>
                <w:szCs w:val="20"/>
              </w:rPr>
              <w:t xml:space="preserve">API Framework</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6EF1C3C4">
            <w:pPr>
              <w:pBdr/>
              <w:spacing/>
              <w:ind/>
              <w:jc w:val="left"/>
              <w:rPr/>
            </w:pPr>
            <w:r>
              <w:rPr>
                <w:rFonts w:ascii="Arial" w:hAnsi="Arial" w:eastAsia="Arial" w:cs="Arial"/>
                <w:b w:val="0"/>
                <w:bCs w:val="0"/>
                <w:color w:val="404040"/>
                <w:sz w:val="20"/>
                <w:szCs w:val="20"/>
              </w:rPr>
              <w:t xml:space="preserve">FastAPI</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335F9DFB">
            <w:pPr>
              <w:pBdr/>
              <w:spacing/>
              <w:ind/>
              <w:jc w:val="left"/>
              <w:rPr/>
            </w:pPr>
            <w:r>
              <w:rPr>
                <w:rFonts w:ascii="Arial" w:hAnsi="Arial" w:eastAsia="Arial" w:cs="Arial"/>
                <w:b w:val="0"/>
                <w:bCs w:val="0"/>
                <w:color w:val="404040"/>
                <w:sz w:val="20"/>
                <w:szCs w:val="20"/>
              </w:rPr>
              <w:t xml:space="preserve">0.109.0 — async, Pydantic v2</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20133ECE">
            <w:pPr>
              <w:pBdr/>
              <w:spacing/>
              <w:ind/>
              <w:jc w:val="left"/>
              <w:rPr/>
            </w:pPr>
            <w:r>
              <w:rPr>
                <w:rFonts w:ascii="Arial" w:hAnsi="Arial" w:eastAsia="Arial" w:cs="Arial"/>
                <w:b/>
                <w:bCs/>
                <w:color w:val="404040"/>
                <w:sz w:val="20"/>
                <w:szCs w:val="20"/>
              </w:rPr>
              <w:t xml:space="preserve">Runtime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288D9926">
            <w:pPr>
              <w:pBdr/>
              <w:spacing/>
              <w:ind/>
              <w:jc w:val="left"/>
              <w:rPr/>
            </w:pPr>
            <w:r>
              <w:rPr>
                <w:rFonts w:ascii="Arial" w:hAnsi="Arial" w:eastAsia="Arial" w:cs="Arial"/>
                <w:b w:val="0"/>
                <w:bCs w:val="0"/>
                <w:color w:val="404040"/>
                <w:sz w:val="20"/>
                <w:szCs w:val="20"/>
              </w:rPr>
              <w:t xml:space="preserve">Python</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7E1077A0">
            <w:pPr>
              <w:pBdr/>
              <w:spacing/>
              <w:ind/>
              <w:jc w:val="left"/>
              <w:rPr/>
            </w:pPr>
            <w:r>
              <w:rPr>
                <w:rFonts w:ascii="Arial" w:hAnsi="Arial" w:eastAsia="Arial" w:cs="Arial"/>
                <w:b w:val="0"/>
                <w:bCs w:val="0"/>
                <w:color w:val="404040"/>
                <w:sz w:val="20"/>
                <w:szCs w:val="20"/>
              </w:rPr>
              <w:t xml:space="preserve">3.11+ — asyncio nativo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2BC45C57">
            <w:pPr>
              <w:pBdr/>
              <w:spacing/>
              <w:ind/>
              <w:jc w:val="left"/>
              <w:rPr/>
            </w:pPr>
            <w:r>
              <w:rPr>
                <w:rFonts w:ascii="Arial" w:hAnsi="Arial" w:eastAsia="Arial" w:cs="Arial"/>
                <w:b/>
                <w:bCs/>
                <w:color w:val="404040"/>
                <w:sz w:val="20"/>
                <w:szCs w:val="20"/>
              </w:rPr>
              <w:t xml:space="preserve">Database</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7BD6C42F">
            <w:pPr>
              <w:pBdr/>
              <w:spacing/>
              <w:ind/>
              <w:jc w:val="left"/>
              <w:rPr/>
            </w:pPr>
            <w:r>
              <w:rPr>
                <w:rFonts w:ascii="Arial" w:hAnsi="Arial" w:eastAsia="Arial" w:cs="Arial"/>
                <w:b w:val="0"/>
                <w:bCs w:val="0"/>
                <w:color w:val="404040"/>
                <w:sz w:val="20"/>
                <w:szCs w:val="20"/>
              </w:rPr>
              <w:t xml:space="preserve">PostgreSQL</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30460747">
            <w:pPr>
              <w:pBdr/>
              <w:spacing/>
              <w:ind/>
              <w:jc w:val="left"/>
              <w:rPr/>
            </w:pPr>
            <w:r>
              <w:rPr>
                <w:rFonts w:ascii="Arial" w:hAnsi="Arial" w:eastAsia="Arial" w:cs="Arial"/>
                <w:b w:val="0"/>
                <w:bCs w:val="0"/>
                <w:color w:val="404040"/>
                <w:sz w:val="20"/>
                <w:szCs w:val="20"/>
              </w:rPr>
              <w:t xml:space="preserve">16 Alpine — JSONB per segnali e audit</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14EA3991">
            <w:pPr>
              <w:pBdr/>
              <w:spacing/>
              <w:ind/>
              <w:jc w:val="left"/>
              <w:rPr/>
            </w:pPr>
            <w:r>
              <w:rPr>
                <w:rFonts w:ascii="Arial" w:hAnsi="Arial" w:eastAsia="Arial" w:cs="Arial"/>
                <w:b/>
                <w:bCs/>
                <w:color w:val="404040"/>
                <w:sz w:val="20"/>
                <w:szCs w:val="20"/>
              </w:rPr>
              <w:t xml:space="preserve">Cache / Rate-limit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6D80AE76">
            <w:pPr>
              <w:pBdr/>
              <w:spacing/>
              <w:ind/>
              <w:jc w:val="left"/>
              <w:rPr/>
            </w:pPr>
            <w:r>
              <w:rPr>
                <w:rFonts w:ascii="Arial" w:hAnsi="Arial" w:eastAsia="Arial" w:cs="Arial"/>
                <w:b w:val="0"/>
                <w:bCs w:val="0"/>
                <w:color w:val="404040"/>
                <w:sz w:val="20"/>
                <w:szCs w:val="20"/>
              </w:rPr>
              <w:t xml:space="preserve">Redis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6CBB46C3">
            <w:pPr>
              <w:pBdr/>
              <w:spacing/>
              <w:ind/>
              <w:jc w:val="left"/>
              <w:rPr/>
            </w:pPr>
            <w:r>
              <w:rPr>
                <w:rFonts w:ascii="Arial" w:hAnsi="Arial" w:eastAsia="Arial" w:cs="Arial"/>
                <w:b w:val="0"/>
                <w:bCs w:val="0"/>
                <w:color w:val="404040"/>
                <w:sz w:val="20"/>
                <w:szCs w:val="20"/>
              </w:rPr>
              <w:t xml:space="preserve">7 Alpine — Lua sliding-window</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088327A3">
            <w:pPr>
              <w:pBdr/>
              <w:spacing/>
              <w:ind/>
              <w:jc w:val="left"/>
              <w:rPr/>
            </w:pPr>
            <w:r>
              <w:rPr>
                <w:rFonts w:ascii="Arial" w:hAnsi="Arial" w:eastAsia="Arial" w:cs="Arial"/>
                <w:b/>
                <w:bCs/>
                <w:color w:val="404040"/>
                <w:sz w:val="20"/>
                <w:szCs w:val="20"/>
              </w:rPr>
              <w:t xml:space="preserve">ORM</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5F46AC3C">
            <w:pPr>
              <w:pBdr/>
              <w:spacing/>
              <w:ind/>
              <w:jc w:val="left"/>
              <w:rPr/>
            </w:pPr>
            <w:r>
              <w:rPr>
                <w:rFonts w:ascii="Arial" w:hAnsi="Arial" w:eastAsia="Arial" w:cs="Arial"/>
                <w:b w:val="0"/>
                <w:bCs w:val="0"/>
                <w:color w:val="404040"/>
                <w:sz w:val="20"/>
                <w:szCs w:val="20"/>
              </w:rPr>
              <w:t xml:space="preserve">SQLAlchemy</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14890268">
            <w:pPr>
              <w:pBdr/>
              <w:spacing/>
              <w:ind/>
              <w:jc w:val="left"/>
              <w:rPr/>
            </w:pPr>
            <w:r>
              <w:rPr>
                <w:rFonts w:ascii="Arial" w:hAnsi="Arial" w:eastAsia="Arial" w:cs="Arial"/>
                <w:b w:val="0"/>
                <w:bCs w:val="0"/>
                <w:color w:val="404040"/>
                <w:sz w:val="20"/>
                <w:szCs w:val="20"/>
              </w:rPr>
              <w:t xml:space="preserve">2.0.25 — async, connection pooling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20792438">
            <w:pPr>
              <w:pBdr/>
              <w:spacing/>
              <w:ind/>
              <w:jc w:val="left"/>
              <w:rPr/>
            </w:pPr>
            <w:r>
              <w:rPr>
                <w:rFonts w:ascii="Arial" w:hAnsi="Arial" w:eastAsia="Arial" w:cs="Arial"/>
                <w:b/>
                <w:bCs/>
                <w:color w:val="404040"/>
                <w:sz w:val="20"/>
                <w:szCs w:val="20"/>
              </w:rPr>
              <w:t xml:space="preserve">Migrazioni</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670B8423">
            <w:pPr>
              <w:pBdr/>
              <w:spacing/>
              <w:ind/>
              <w:jc w:val="left"/>
              <w:rPr/>
            </w:pPr>
            <w:r>
              <w:rPr>
                <w:rFonts w:ascii="Arial" w:hAnsi="Arial" w:eastAsia="Arial" w:cs="Arial"/>
                <w:b w:val="0"/>
                <w:bCs w:val="0"/>
                <w:color w:val="404040"/>
                <w:sz w:val="20"/>
                <w:szCs w:val="20"/>
              </w:rPr>
              <w:t xml:space="preserve">Alembic</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75F234B6">
            <w:pPr>
              <w:pBdr/>
              <w:spacing/>
              <w:ind/>
              <w:jc w:val="left"/>
              <w:rPr/>
            </w:pPr>
            <w:r>
              <w:rPr>
                <w:rFonts w:ascii="Arial" w:hAnsi="Arial" w:eastAsia="Arial" w:cs="Arial"/>
                <w:b w:val="0"/>
                <w:bCs w:val="0"/>
                <w:color w:val="404040"/>
                <w:sz w:val="20"/>
                <w:szCs w:val="20"/>
              </w:rPr>
              <w:t xml:space="preserve">1.13.1 — async engine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48021013">
            <w:pPr>
              <w:pBdr/>
              <w:spacing/>
              <w:ind/>
              <w:jc w:val="left"/>
              <w:rPr/>
            </w:pPr>
            <w:r>
              <w:rPr>
                <w:rFonts w:ascii="Arial" w:hAnsi="Arial" w:eastAsia="Arial" w:cs="Arial"/>
                <w:b/>
                <w:bCs/>
                <w:color w:val="404040"/>
                <w:sz w:val="20"/>
                <w:szCs w:val="20"/>
              </w:rPr>
              <w:t xml:space="preserve">NLP</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0278BE7C">
            <w:pPr>
              <w:pBdr/>
              <w:spacing/>
              <w:ind/>
              <w:jc w:val="left"/>
              <w:rPr/>
            </w:pPr>
            <w:r>
              <w:rPr>
                <w:rFonts w:ascii="Arial" w:hAnsi="Arial" w:eastAsia="Arial" w:cs="Arial"/>
                <w:b w:val="0"/>
                <w:bCs w:val="0"/>
                <w:color w:val="404040"/>
                <w:sz w:val="20"/>
                <w:szCs w:val="20"/>
              </w:rPr>
              <w:t xml:space="preserve">spaCy</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17CEF68F">
            <w:pPr>
              <w:pBdr/>
              <w:spacing/>
              <w:ind/>
              <w:jc w:val="left"/>
              <w:rPr/>
            </w:pPr>
            <w:r>
              <w:rPr>
                <w:rFonts w:ascii="Arial" w:hAnsi="Arial" w:eastAsia="Arial" w:cs="Arial"/>
                <w:b w:val="0"/>
                <w:bCs w:val="0"/>
                <w:color w:val="404040"/>
                <w:sz w:val="20"/>
                <w:szCs w:val="20"/>
              </w:rPr>
              <w:t xml:space="preserve">3.7.2 + it_core_news_lg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24BDDF89">
            <w:pPr>
              <w:pBdr/>
              <w:spacing/>
              <w:ind/>
              <w:jc w:val="left"/>
              <w:rPr/>
            </w:pPr>
            <w:r>
              <w:rPr>
                <w:rFonts w:ascii="Arial" w:hAnsi="Arial" w:eastAsia="Arial" w:cs="Arial"/>
                <w:b/>
                <w:bCs/>
                <w:color w:val="404040"/>
                <w:sz w:val="20"/>
                <w:szCs w:val="20"/>
              </w:rPr>
              <w:t xml:space="preserve">Sentiment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34DFA9C3">
            <w:pPr>
              <w:pBdr/>
              <w:spacing/>
              <w:ind/>
              <w:jc w:val="left"/>
              <w:rPr/>
            </w:pPr>
            <w:r>
              <w:rPr>
                <w:rFonts w:ascii="Arial" w:hAnsi="Arial" w:eastAsia="Arial" w:cs="Arial"/>
                <w:b w:val="0"/>
                <w:bCs w:val="0"/>
                <w:color w:val="404040"/>
                <w:sz w:val="20"/>
                <w:szCs w:val="20"/>
              </w:rPr>
              <w:t xml:space="preserve">TextBlob</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54DF15F2">
            <w:pPr>
              <w:pBdr/>
              <w:spacing/>
              <w:ind/>
              <w:jc w:val="left"/>
              <w:rPr/>
            </w:pPr>
            <w:r>
              <w:rPr>
                <w:rFonts w:ascii="Arial" w:hAnsi="Arial" w:eastAsia="Arial" w:cs="Arial"/>
                <w:b w:val="0"/>
                <w:bCs w:val="0"/>
                <w:color w:val="404040"/>
                <w:sz w:val="20"/>
                <w:szCs w:val="20"/>
              </w:rPr>
              <w:t xml:space="preserve">0.18.0 + correzione negazione IT</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382DB786">
            <w:pPr>
              <w:pBdr/>
              <w:spacing/>
              <w:ind/>
              <w:jc w:val="left"/>
              <w:rPr/>
            </w:pPr>
            <w:r>
              <w:rPr>
                <w:rFonts w:ascii="Arial" w:hAnsi="Arial" w:eastAsia="Arial" w:cs="Arial"/>
                <w:b/>
                <w:bCs/>
                <w:color w:val="404040"/>
                <w:sz w:val="20"/>
                <w:szCs w:val="20"/>
              </w:rPr>
              <w:t xml:space="preserve">Auth / Crypto</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652230F9">
            <w:pPr>
              <w:pBdr/>
              <w:spacing/>
              <w:ind/>
              <w:jc w:val="left"/>
              <w:rPr/>
            </w:pPr>
            <w:r>
              <w:rPr>
                <w:rFonts w:ascii="Arial" w:hAnsi="Arial" w:eastAsia="Arial" w:cs="Arial"/>
                <w:b w:val="0"/>
                <w:bCs w:val="0"/>
                <w:color w:val="404040"/>
                <w:sz w:val="20"/>
                <w:szCs w:val="20"/>
              </w:rPr>
              <w:t xml:space="preserve">python-jose + cryptography</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28178ACC">
            <w:pPr>
              <w:pBdr/>
              <w:spacing/>
              <w:ind/>
              <w:jc w:val="left"/>
              <w:rPr/>
            </w:pPr>
            <w:r>
              <w:rPr>
                <w:rFonts w:ascii="Arial" w:hAnsi="Arial" w:eastAsia="Arial" w:cs="Arial"/>
                <w:b w:val="0"/>
                <w:bCs w:val="0"/>
                <w:color w:val="404040"/>
                <w:sz w:val="20"/>
                <w:szCs w:val="20"/>
              </w:rPr>
              <w:t xml:space="preserve">RS256 JWT + AES-256-GCM</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33FA7C32">
            <w:pPr>
              <w:pBdr/>
              <w:spacing/>
              <w:ind/>
              <w:jc w:val="left"/>
              <w:rPr/>
            </w:pPr>
            <w:r>
              <w:rPr>
                <w:rFonts w:ascii="Arial" w:hAnsi="Arial" w:eastAsia="Arial" w:cs="Arial"/>
                <w:b/>
                <w:bCs/>
                <w:color w:val="404040"/>
                <w:sz w:val="20"/>
                <w:szCs w:val="20"/>
              </w:rPr>
              <w:t xml:space="preserve">Logging</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14CE3D17">
            <w:pPr>
              <w:pBdr/>
              <w:spacing/>
              <w:ind/>
              <w:jc w:val="left"/>
              <w:rPr/>
            </w:pPr>
            <w:r>
              <w:rPr>
                <w:rFonts w:ascii="Arial" w:hAnsi="Arial" w:eastAsia="Arial" w:cs="Arial"/>
                <w:b w:val="0"/>
                <w:bCs w:val="0"/>
                <w:color w:val="404040"/>
                <w:sz w:val="20"/>
                <w:szCs w:val="20"/>
              </w:rPr>
              <w:t xml:space="preserve">structlog</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15DE5A6A">
            <w:pPr>
              <w:pBdr/>
              <w:spacing/>
              <w:ind/>
              <w:jc w:val="left"/>
              <w:rPr/>
            </w:pPr>
            <w:r>
              <w:rPr>
                <w:rFonts w:ascii="Arial" w:hAnsi="Arial" w:eastAsia="Arial" w:cs="Arial"/>
                <w:b w:val="0"/>
                <w:bCs w:val="0"/>
                <w:color w:val="404040"/>
                <w:sz w:val="20"/>
                <w:szCs w:val="20"/>
              </w:rPr>
              <w:t xml:space="preserve">24.1.0 — JSON renderer</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1B7F04E5">
            <w:pPr>
              <w:pBdr/>
              <w:spacing/>
              <w:ind/>
              <w:jc w:val="left"/>
              <w:rPr/>
            </w:pPr>
            <w:r>
              <w:rPr>
                <w:rFonts w:ascii="Arial" w:hAnsi="Arial" w:eastAsia="Arial" w:cs="Arial"/>
                <w:b/>
                <w:bCs/>
                <w:color w:val="404040"/>
                <w:sz w:val="20"/>
                <w:szCs w:val="20"/>
              </w:rPr>
              <w:t xml:space="preserve">Scheduler</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1C1D7069">
            <w:pPr>
              <w:pBdr/>
              <w:spacing/>
              <w:ind/>
              <w:jc w:val="left"/>
              <w:rPr/>
            </w:pPr>
            <w:r>
              <w:rPr>
                <w:rFonts w:ascii="Arial" w:hAnsi="Arial" w:eastAsia="Arial" w:cs="Arial"/>
                <w:b w:val="0"/>
                <w:bCs w:val="0"/>
                <w:color w:val="404040"/>
                <w:sz w:val="20"/>
                <w:szCs w:val="20"/>
              </w:rPr>
              <w:t xml:space="preserve">APScheduler</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63A0AF61">
            <w:pPr>
              <w:pBdr/>
              <w:spacing/>
              <w:ind/>
              <w:jc w:val="left"/>
              <w:rPr/>
            </w:pPr>
            <w:r>
              <w:rPr>
                <w:rFonts w:ascii="Arial" w:hAnsi="Arial" w:eastAsia="Arial" w:cs="Arial"/>
                <w:b w:val="0"/>
                <w:bCs w:val="0"/>
                <w:color w:val="404040"/>
                <w:sz w:val="20"/>
                <w:szCs w:val="20"/>
              </w:rPr>
              <w:t xml:space="preserve">3.10.4 — AsyncIOScheduler</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7BD24693">
            <w:pPr>
              <w:pBdr/>
              <w:spacing/>
              <w:ind/>
              <w:jc w:val="left"/>
              <w:rPr/>
            </w:pPr>
            <w:r>
              <w:rPr>
                <w:rFonts w:ascii="Arial" w:hAnsi="Arial" w:eastAsia="Arial" w:cs="Arial"/>
                <w:b/>
                <w:bCs/>
                <w:color w:val="404040"/>
                <w:sz w:val="20"/>
                <w:szCs w:val="20"/>
              </w:rPr>
              <w:t xml:space="preserve">Proxy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6E78562A">
            <w:pPr>
              <w:pBdr/>
              <w:spacing/>
              <w:ind/>
              <w:jc w:val="left"/>
              <w:rPr/>
            </w:pPr>
            <w:r>
              <w:rPr>
                <w:rFonts w:ascii="Arial" w:hAnsi="Arial" w:eastAsia="Arial" w:cs="Arial"/>
                <w:b w:val="0"/>
                <w:bCs w:val="0"/>
                <w:color w:val="404040"/>
                <w:sz w:val="20"/>
                <w:szCs w:val="20"/>
              </w:rPr>
              <w:t xml:space="preserve">nginx</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7CAB8A62">
            <w:pPr>
              <w:pBdr/>
              <w:spacing/>
              <w:ind/>
              <w:jc w:val="left"/>
              <w:rPr/>
            </w:pPr>
            <w:r>
              <w:rPr>
                <w:rFonts w:ascii="Arial" w:hAnsi="Arial" w:eastAsia="Arial" w:cs="Arial"/>
                <w:b w:val="0"/>
                <w:bCs w:val="0"/>
                <w:color w:val="404040"/>
                <w:sz w:val="20"/>
                <w:szCs w:val="20"/>
              </w:rPr>
              <w:t xml:space="preserve">1.25 Alpine — TLS 1.3</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095ED4C8">
            <w:pPr>
              <w:pBdr/>
              <w:spacing/>
              <w:ind/>
              <w:jc w:val="left"/>
              <w:rPr/>
            </w:pPr>
            <w:r>
              <w:rPr>
                <w:rFonts w:ascii="Arial" w:hAnsi="Arial" w:eastAsia="Arial" w:cs="Arial"/>
                <w:b/>
                <w:bCs/>
                <w:color w:val="404040"/>
                <w:sz w:val="20"/>
                <w:szCs w:val="20"/>
              </w:rPr>
              <w:t xml:space="preserve">Container</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20" w:type="dxa"/>
            <w:vAlign w:val="center"/>
          </w:tcPr>
          <w:p w14:paraId="34587EAB">
            <w:pPr>
              <w:pBdr/>
              <w:spacing/>
              <w:ind/>
              <w:jc w:val="left"/>
              <w:rPr/>
            </w:pPr>
            <w:r>
              <w:rPr>
                <w:rFonts w:ascii="Arial" w:hAnsi="Arial" w:eastAsia="Arial" w:cs="Arial"/>
                <w:b w:val="0"/>
                <w:bCs w:val="0"/>
                <w:color w:val="404040"/>
                <w:sz w:val="20"/>
                <w:szCs w:val="20"/>
              </w:rPr>
              <w:t xml:space="preserve">Docker</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98" w:type="dxa"/>
            <w:vAlign w:val="center"/>
          </w:tcPr>
          <w:p w14:paraId="7CF31287">
            <w:pPr>
              <w:pBdr/>
              <w:spacing/>
              <w:ind/>
              <w:jc w:val="left"/>
              <w:rPr/>
            </w:pPr>
            <w:r>
              <w:rPr>
                <w:rFonts w:ascii="Arial" w:hAnsi="Arial" w:eastAsia="Arial" w:cs="Arial"/>
                <w:b w:val="0"/>
                <w:bCs w:val="0"/>
                <w:color w:val="404040"/>
                <w:sz w:val="20"/>
                <w:szCs w:val="20"/>
              </w:rPr>
              <w:t xml:space="preserve">Multi-stage build, utente non-root, read-only FS</w:t>
            </w:r>
            <w:r/>
            <w:r/>
          </w:p>
        </w:tc>
      </w:tr>
    </w:tbl>
    <w:p>
      <w:pPr>
        <w:pBdr/>
        <w:spacing w:after="8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11. Roadmap e Milestones</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00"/>
        <w:gridCol w:w="1600"/>
        <w:gridCol w:w="683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vAlign w:val="center"/>
          </w:tcPr>
          <w:p w14:paraId="36D59888">
            <w:pPr>
              <w:pBdr/>
              <w:spacing/>
              <w:ind/>
              <w:jc w:val="left"/>
              <w:rPr/>
            </w:pPr>
            <w:r>
              <w:rPr>
                <w:rFonts w:ascii="Arial" w:hAnsi="Arial" w:eastAsia="Arial" w:cs="Arial"/>
                <w:b/>
                <w:bCs/>
                <w:color w:val="ffffff"/>
                <w:sz w:val="20"/>
                <w:szCs w:val="20"/>
              </w:rPr>
              <w:t xml:space="preserve">Versione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vAlign w:val="center"/>
          </w:tcPr>
          <w:p w14:paraId="0F790E63">
            <w:pPr>
              <w:pBdr/>
              <w:spacing/>
              <w:ind/>
              <w:jc w:val="left"/>
              <w:rPr/>
            </w:pPr>
            <w:r>
              <w:rPr>
                <w:rFonts w:ascii="Arial" w:hAnsi="Arial" w:eastAsia="Arial" w:cs="Arial"/>
                <w:b/>
                <w:bCs/>
                <w:color w:val="ffffff"/>
                <w:sz w:val="20"/>
                <w:szCs w:val="20"/>
              </w:rPr>
              <w:t xml:space="preserve">Target</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75B311ED">
            <w:pPr>
              <w:pBdr/>
              <w:spacing/>
              <w:ind/>
              <w:jc w:val="left"/>
              <w:rPr/>
            </w:pPr>
            <w:r>
              <w:rPr>
                <w:rFonts w:ascii="Arial" w:hAnsi="Arial" w:eastAsia="Arial" w:cs="Arial"/>
                <w:b/>
                <w:bCs/>
                <w:color w:val="ffffff"/>
                <w:sz w:val="20"/>
                <w:szCs w:val="20"/>
              </w:rPr>
              <w:t xml:space="preserve">Deliverable chiave</w:t>
            </w:r>
            <w:r/>
            <w:r/>
          </w:p>
        </w:tc>
      </w:tr>
      <w:tr>
        <w:trPr/>
        <w:tc>
          <w:tcPr>
            <w:shd w:val="clear" w:color="ffffff" w:fill="d4ed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A69ED67">
            <w:pPr>
              <w:pBdr/>
              <w:spacing/>
              <w:ind/>
              <w:rPr/>
            </w:pPr>
            <w:r>
              <w:rPr>
                <w:rFonts w:ascii="Arial" w:hAnsi="Arial" w:eastAsia="Arial" w:cs="Arial"/>
                <w:b/>
                <w:bCs/>
                <w:color w:val="404040"/>
                <w:sz w:val="20"/>
                <w:szCs w:val="20"/>
              </w:rPr>
              <w:t>✅ v1.0</w:t>
            </w:r>
            <w:r/>
            <w:r/>
          </w:p>
        </w:tc>
        <w:tc>
          <w:tcPr>
            <w:shd w:val="clear" w:color="ffffff" w:fill="d4ed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cPr>
          <w:p w14:paraId="09569E2B">
            <w:pPr>
              <w:pBdr/>
              <w:spacing/>
              <w:ind/>
              <w:rPr/>
            </w:pPr>
            <w:r>
              <w:rPr>
                <w:rFonts w:ascii="Arial" w:hAnsi="Arial" w:eastAsia="Arial" w:cs="Arial"/>
                <w:color w:val="404040"/>
                <w:sz w:val="20"/>
                <w:szCs w:val="20"/>
              </w:rPr>
              <w:t>Marzo 2026</w:t>
            </w:r>
            <w:r/>
            <w:r/>
          </w:p>
        </w:tc>
        <w:tc>
          <w:tcPr>
            <w:shd w:val="clear" w:color="ffffff" w:fill="d4ed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tcPr>
          <w:p w14:paraId="75D12970">
            <w:pPr>
              <w:pBdr/>
              <w:spacing/>
              <w:ind/>
              <w:rPr/>
            </w:pPr>
            <w:r>
              <w:rPr>
                <w:rFonts w:ascii="Arial" w:hAnsi="Arial" w:eastAsia="Arial" w:cs="Arial"/>
                <w:color w:val="404040"/>
                <w:sz w:val="20"/>
                <w:szCs w:val="20"/>
              </w:rPr>
              <w:t>spaCy NER · pipeline di valutazione · API GDPR · Docker · CI/CD GitHub Actions · white paper</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35ED2AA">
            <w:pPr>
              <w:pBdr/>
              <w:spacing/>
              <w:ind/>
              <w:rPr/>
            </w:pPr>
            <w:r>
              <w:rPr>
                <w:rFonts w:ascii="Arial" w:hAnsi="Arial" w:eastAsia="Arial" w:cs="Arial"/>
                <w:b/>
                <w:bCs/>
                <w:color w:val="404040"/>
                <w:sz w:val="20"/>
                <w:szCs w:val="20"/>
              </w:rPr>
              <w:t>✅ v1.3 – v1.7</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cPr>
          <w:p w14:paraId="257596D5">
            <w:pPr>
              <w:pBdr/>
              <w:spacing/>
              <w:ind/>
              <w:rPr/>
            </w:pPr>
            <w:r>
              <w:rPr>
                <w:rFonts w:ascii="Arial" w:hAnsi="Arial" w:eastAsia="Arial" w:cs="Arial"/>
                <w:color w:val="404040"/>
                <w:sz w:val="20"/>
                <w:szCs w:val="20"/>
              </w:rPr>
              <w:t>Lug – Set 2026</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tcPr>
          <w:p w14:paraId="151A3E50">
            <w:pPr>
              <w:pBdr/>
              <w:spacing/>
              <w:ind/>
              <w:rPr/>
            </w:pPr>
            <w:r>
              <w:rPr>
                <w:rFonts w:ascii="Arial" w:hAnsi="Arial" w:eastAsia="Arial" w:cs="Arial"/>
                <w:color w:val="404040"/>
                <w:sz w:val="20"/>
                <w:szCs w:val="20"/>
              </w:rPr>
              <w:t>Correzione della polarità di aggregazione · calibrazione empirica dei pesi con validazione su holdout futuro · penalità di domain-provenance (ENGINE 1.4) · backend SBERT per la coerenza · retune di silenzio, volatilità e gaming · rilevamento lingua e soglia minima di evidenza · CLI, server MCP e demo pubblica</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541A21AD">
            <w:pPr>
              <w:pBdr/>
              <w:spacing/>
              <w:ind/>
              <w:rPr/>
            </w:pPr>
            <w:r>
              <w:rPr>
                <w:rFonts w:ascii="Arial" w:hAnsi="Arial" w:eastAsia="Arial" w:cs="Arial"/>
                <w:b/>
                <w:bCs/>
                <w:color w:val="404040"/>
                <w:sz w:val="20"/>
                <w:szCs w:val="20"/>
              </w:rPr>
              <w:t>v1.8 – v1.9</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cPr>
          <w:p w14:paraId="5475F429">
            <w:pPr>
              <w:pBdr/>
              <w:spacing/>
              <w:ind/>
              <w:rPr/>
            </w:pPr>
            <w:r>
              <w:rPr>
                <w:rFonts w:ascii="Arial" w:hAnsi="Arial" w:eastAsia="Arial" w:cs="Arial"/>
                <w:color w:val="404040"/>
                <w:sz w:val="20"/>
                <w:szCs w:val="20"/>
              </w:rPr>
              <w:t>Q4 2026</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tcPr>
          <w:p w14:paraId="48852C70">
            <w:pPr>
              <w:pBdr/>
              <w:spacing/>
              <w:ind/>
              <w:rPr/>
            </w:pPr>
            <w:r>
              <w:rPr>
                <w:rFonts w:ascii="Arial" w:hAnsi="Arial" w:eastAsia="Arial" w:cs="Arial"/>
                <w:color w:val="404040"/>
                <w:sz w:val="20"/>
                <w:szCs w:val="20"/>
              </w:rPr>
              <w:t>Ampliamento del set di validazione verso ≥ 100 fonti con storia multi-mese · raccolta di etichette umane dai disaccordi segnalati dagli utenti · spike sullo stack inglese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AAFD4CF">
            <w:pPr>
              <w:pBdr/>
              <w:spacing/>
              <w:ind/>
              <w:rPr/>
            </w:pPr>
            <w:r>
              <w:rPr>
                <w:rFonts w:ascii="Arial" w:hAnsi="Arial" w:eastAsia="Arial" w:cs="Arial"/>
                <w:b/>
                <w:bCs/>
                <w:color w:val="404040"/>
                <w:sz w:val="20"/>
                <w:szCs w:val="20"/>
              </w:rPr>
              <w:t>v2.0</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cPr>
          <w:p w14:paraId="7EAABE62">
            <w:pPr>
              <w:pBdr/>
              <w:spacing/>
              <w:ind/>
              <w:rPr/>
            </w:pPr>
            <w:r>
              <w:rPr>
                <w:rFonts w:ascii="Arial" w:hAnsi="Arial" w:eastAsia="Arial" w:cs="Arial"/>
                <w:color w:val="404040"/>
                <w:sz w:val="20"/>
                <w:szCs w:val="20"/>
              </w:rPr>
              <w:t>2027</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tcPr>
          <w:p w14:paraId="49C1C218">
            <w:pPr>
              <w:pBdr/>
              <w:spacing/>
              <w:ind/>
              <w:rPr/>
            </w:pPr>
            <w:r>
              <w:rPr>
                <w:rFonts w:ascii="Arial" w:hAnsi="Arial" w:eastAsia="Arial" w:cs="Arial"/>
                <w:color w:val="404040"/>
                <w:sz w:val="20"/>
                <w:szCs w:val="20"/>
              </w:rPr>
              <w:t>Ricalibrazione completa: pesi, soglie di banda e coefficiente della penalità di dominio. Criterio di uscita: concordanza ≥ 0,78 su holdout futuro ≥ 100 fonti e coda bassa che discrimina. Documentazione tecnica secondo l’Allegato IV se e quando la classificazione lo richieda</w:t>
            </w:r>
            <w:r/>
            <w:r/>
          </w:p>
        </w:tc>
      </w:tr>
    </w:tbl>
    <w:p>
      <w:pPr>
        <w:pBdr/>
        <w:spacing w:after="8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12. Conclusioni</w:t>
      </w:r>
      <w:r/>
    </w:p>
    <w:p>
      <w:pPr>
        <w:pBdr/>
        <w:spacing w:after="240" w:before="0" w:line="276" w:lineRule="auto"/>
        <w:ind/>
        <w:jc w:val="both"/>
        <w:rPr/>
      </w:pPr>
      <w:r>
        <w:rPr>
          <w:rFonts w:ascii="Google Sans" w:hAnsi="Google Sans" w:eastAsia="Google Sans" w:cs="Google Sans"/>
          <w:color w:val="1f1f1f"/>
          <w:sz w:val="22"/>
          <w:szCs w:val="22"/>
        </w:rPr>
        <w:t>CATS v1.1 fornisce un sistema funzionale e production-ready per la valutazione automatizzata dell’affidabilità delle fonti OSINT, con un approccio trasparente, esplicabile e allineato alle principali normative europee (GDPR; per l’EU AI Act vedi §7.3).</w:t>
      </w:r>
      <w:r/>
    </w:p>
    <w:p>
      <w:pPr>
        <w:pBdr/>
        <w:spacing w:after="240" w:before="0" w:line="276" w:lineRule="auto"/>
        <w:ind/>
        <w:jc w:val="both"/>
        <w:rPr/>
      </w:pPr>
      <w:r>
        <w:rPr>
          <w:rFonts w:ascii="Google Sans" w:hAnsi="Google Sans" w:eastAsia="Google Sans" w:cs="Google Sans"/>
          <w:color w:val="1f1f1f"/>
          <w:sz w:val="22"/>
          <w:szCs w:val="22"/>
        </w:rPr>
        <w:t>Il sistema è progettato con consapevolezza dei propri limiti: la documentazione delle limitazioni (WP 4.1), i disclaimer obbligatori sulle risposte (WP 4.3) e il flag requires_review garantiscono che CATS sia usato come strumento di supporto alla decisione e non come sostituto del giudizio umano. I limiti misurati sono riportati in §5.4 e non sono marginali: la discriminazione poggia in larga parte su un solo segnale, e sulla coda bassa il sistema riconosce 5 delle 15 fonti inaffidabili dell’holdout. La roadmap verso v2.0 prevede la ricalibrazione completa su un dataset ampliato e la revisione delle soglie di banda.</w:t>
      </w:r>
      <w:r>
        <w:rPr>
          <w:rFonts w:ascii="Courier New" w:hAnsi="Courier New" w:eastAsia="Courier New" w:cs="Courier New"/>
          <w:color w:val="37474f"/>
          <w:sz w:val="22"/>
          <w:szCs w:val="22"/>
        </w:rPr>
      </w:r>
      <w:r>
        <w:rPr>
          <w:rFonts w:ascii="Google Sans" w:hAnsi="Google Sans" w:eastAsia="Google Sans" w:cs="Google Sans"/>
          <w:color w:val="1f1f1f"/>
          <w:sz w:val="22"/>
          <w:szCs w:val="22"/>
        </w:rPr>
      </w:r>
      <w:r>
        <w:rPr>
          <w:rFonts w:ascii="Google Sans" w:hAnsi="Google Sans" w:eastAsia="Google Sans" w:cs="Google Sans"/>
          <w:color w:val="1f1f1f"/>
          <w:sz w:val="22"/>
          <w:szCs w:val="22"/>
        </w:rPr>
      </w:r>
      <w:r/>
    </w:p>
    <w:p>
      <w:pPr>
        <w:pBdr/>
        <w:spacing w:after="80" w:before="0"/>
        <w:ind/>
        <w:rPr/>
      </w:pPr>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638"/>
      </w:tblGrid>
      <w:tr>
        <w:trPr/>
        <w:tc>
          <w:tcPr>
            <w:shd w:val="clear" w:color="ffffff" w:fill="d5e8f4"/>
            <w:tcBorders>
              <w:top w:val="single" w:color="2e75b6" w:sz="4" w:space="0"/>
              <w:left w:val="single" w:color="2e75b6" w:sz="16" w:space="0"/>
              <w:bottom w:val="single" w:color="2e75b6" w:sz="4" w:space="0"/>
              <w:right w:val="single" w:color="2e75b6" w:sz="4" w:space="0"/>
            </w:tcBorders>
            <w:tcMar>
              <w:left w:w="240" w:type="dxa"/>
              <w:top w:w="160" w:type="dxa"/>
              <w:right w:w="240" w:type="dxa"/>
              <w:bottom w:w="160" w:type="dxa"/>
            </w:tcMar>
            <w:tcW w:w="9638" w:type="dxa"/>
          </w:tcPr>
          <w:p w14:paraId="0BDAFBC9">
            <w:pPr>
              <w:pBdr/>
              <w:spacing w:after="60" w:before="0"/>
              <w:ind/>
              <w:rPr/>
            </w:pPr>
            <w:r>
              <w:rPr>
                <w:rFonts w:ascii="Arial" w:hAnsi="Arial" w:eastAsia="Arial" w:cs="Arial"/>
                <w:b/>
                <w:bCs/>
                <w:color w:val="1a3a5c"/>
                <w:sz w:val="20"/>
                <w:szCs w:val="20"/>
              </w:rPr>
              <w:t xml:space="preserve">Disclaimer (WP 4.1 / WP 4.3)</w:t>
            </w:r>
            <w:r/>
            <w:r/>
          </w:p>
          <w:p w14:paraId="5C8715E3">
            <w:pPr>
              <w:pBdr/>
              <w:spacing w:after="0" w:before="0"/>
              <w:ind/>
              <w:jc w:val="both"/>
              <w:rPr/>
            </w:pPr>
            <w:r>
              <w:rPr>
                <w:rFonts w:ascii="Arial" w:hAnsi="Arial" w:eastAsia="Arial" w:cs="Arial"/>
                <w:color w:val="404040"/>
                <w:sz w:val="20"/>
                <w:szCs w:val="20"/>
              </w:rPr>
              <w:t xml:space="preserve">I p</w:t>
            </w:r>
            <w:r>
              <w:rPr>
                <w:rFonts w:ascii="Arial" w:hAnsi="Arial" w:eastAsia="Arial" w:cs="Arial"/>
                <w:color w:val="404040"/>
                <w:sz w:val="20"/>
                <w:szCs w:val="20"/>
              </w:rPr>
              <w:t xml:space="preserve">unteggi CATS sono classificazioni ordinali dei pattern di affidabilità delle fonti, non probabilità assolute. L’accuratezza NLP è stimata al 55–62% (v1.0); i parametri non sono calibrati empiricamente. Non adatti come unico criterio per decisioni autonome.</w:t>
            </w:r>
            <w:r/>
            <w:r/>
          </w:p>
        </w:tc>
      </w:tr>
    </w:tbl>
    <w:p>
      <w:pPr>
        <w:pBdr/>
        <w:spacing w:after="240" w:before="0"/>
        <w:ind/>
        <w:rPr/>
      </w:pPr>
      <w:r/>
      <w:r/>
    </w:p>
    <w:p>
      <w:pPr>
        <w:pBdr/>
        <w:spacing/>
        <w:ind/>
        <w:rPr/>
      </w:pPr>
      <w:r>
        <w:br w:type="page" w:clear="all"/>
      </w:r>
      <w:r/>
    </w:p>
    <w:p>
      <w:pPr>
        <w:pStyle w:val="728"/>
        <w:pBdr/>
        <w:spacing w:after="120" w:before="320" w:line="276" w:lineRule="auto"/>
        <w:ind/>
        <w:rPr/>
      </w:pPr>
      <w:r>
        <w:rPr>
          <w:rFonts w:ascii="Google Sans" w:hAnsi="Google Sans" w:eastAsia="Google Sans" w:cs="Google Sans"/>
          <w:b/>
          <w:bCs/>
          <w:color w:val="1f1f1f"/>
          <w:sz w:val="36"/>
          <w:szCs w:val="36"/>
        </w:rPr>
        <w:t xml:space="preserve">Appendice A — File di Documentazione del Repository</w:t>
      </w:r>
      <w:r/>
    </w:p>
    <w:p>
      <w:pPr>
        <w:pBdr/>
        <w:spacing w:after="240" w:before="0" w:line="276" w:lineRule="auto"/>
        <w:ind/>
        <w:jc w:val="both"/>
        <w:rPr/>
      </w:pPr>
      <w:r>
        <w:rPr>
          <w:rFonts w:ascii="Google Sans" w:hAnsi="Google Sans" w:eastAsia="Google Sans" w:cs="Google Sans"/>
          <w:color w:val="1f1f1f"/>
          <w:sz w:val="22"/>
          <w:szCs w:val="22"/>
        </w:rPr>
        <w:t xml:space="preserve">Il repository GitHub include i seguenti file di documentazione, referenziati nel README:</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0"/>
        <w:gridCol w:w="683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452C03B4">
            <w:pPr>
              <w:pBdr/>
              <w:spacing/>
              <w:ind/>
              <w:jc w:val="left"/>
              <w:rPr/>
            </w:pPr>
            <w:r>
              <w:rPr>
                <w:rFonts w:ascii="Arial" w:hAnsi="Arial" w:eastAsia="Arial" w:cs="Arial"/>
                <w:b/>
                <w:bCs/>
                <w:color w:val="ffffff"/>
                <w:sz w:val="20"/>
                <w:szCs w:val="20"/>
              </w:rPr>
              <w:t xml:space="preserve">File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1F91D064">
            <w:pPr>
              <w:pBdr/>
              <w:spacing/>
              <w:ind/>
              <w:jc w:val="left"/>
              <w:rPr/>
            </w:pPr>
            <w:r>
              <w:rPr>
                <w:rFonts w:ascii="Arial" w:hAnsi="Arial" w:eastAsia="Arial" w:cs="Arial"/>
                <w:b/>
                <w:bCs/>
                <w:color w:val="ffffff"/>
                <w:sz w:val="20"/>
                <w:szCs w:val="20"/>
              </w:rPr>
              <w:t xml:space="preserve">Contenuto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22B72FD7">
            <w:pPr>
              <w:pBdr/>
              <w:spacing/>
              <w:ind/>
              <w:jc w:val="left"/>
              <w:rPr/>
            </w:pPr>
            <w:r>
              <w:rPr>
                <w:rFonts w:ascii="Arial" w:hAnsi="Arial" w:eastAsia="Arial" w:cs="Arial"/>
                <w:b/>
                <w:bCs/>
                <w:color w:val="404040"/>
                <w:sz w:val="20"/>
                <w:szCs w:val="20"/>
              </w:rPr>
              <w:t xml:space="preserve">docs/api.md</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6E7218B8">
            <w:pPr>
              <w:pBdr/>
              <w:spacing/>
              <w:ind/>
              <w:jc w:val="left"/>
              <w:rPr/>
            </w:pPr>
            <w:r>
              <w:rPr>
                <w:rFonts w:ascii="Arial" w:hAnsi="Arial" w:eastAsia="Arial" w:cs="Arial"/>
                <w:b w:val="0"/>
                <w:bCs w:val="0"/>
                <w:color w:val="404040"/>
                <w:sz w:val="20"/>
                <w:szCs w:val="20"/>
              </w:rPr>
              <w:t xml:space="preserve">Reference completa di tutti gli endpoint, parametri, esempi di request/response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038C0426">
            <w:pPr>
              <w:pBdr/>
              <w:spacing/>
              <w:ind/>
              <w:jc w:val="left"/>
              <w:rPr/>
            </w:pPr>
            <w:r>
              <w:rPr>
                <w:rFonts w:ascii="Arial" w:hAnsi="Arial" w:eastAsia="Arial" w:cs="Arial"/>
                <w:b/>
                <w:bCs/>
                <w:color w:val="404040"/>
                <w:sz w:val="20"/>
                <w:szCs w:val="20"/>
              </w:rPr>
              <w:t xml:space="preserve">docs/architecture.md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00EC596E">
            <w:pPr>
              <w:pBdr/>
              <w:spacing/>
              <w:ind/>
              <w:jc w:val="left"/>
              <w:rPr/>
            </w:pPr>
            <w:r>
              <w:rPr>
                <w:rFonts w:ascii="Arial" w:hAnsi="Arial" w:eastAsia="Arial" w:cs="Arial"/>
                <w:b w:val="0"/>
                <w:bCs w:val="0"/>
                <w:color w:val="404040"/>
                <w:sz w:val="20"/>
                <w:szCs w:val="20"/>
              </w:rPr>
              <w:t xml:space="preserve">Algoritmi dei segnali, matrice dei pesi, security design dettagliato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51C91B67">
            <w:pPr>
              <w:pBdr/>
              <w:spacing/>
              <w:ind/>
              <w:jc w:val="left"/>
              <w:rPr/>
            </w:pPr>
            <w:r>
              <w:rPr>
                <w:rFonts w:ascii="Arial" w:hAnsi="Arial" w:eastAsia="Arial" w:cs="Arial"/>
                <w:b/>
                <w:bCs/>
                <w:color w:val="404040"/>
                <w:sz w:val="20"/>
                <w:szCs w:val="20"/>
              </w:rPr>
              <w:t xml:space="preserve">docs/compliance.md</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07C17607">
            <w:pPr>
              <w:pBdr/>
              <w:spacing/>
              <w:ind/>
              <w:jc w:val="left"/>
              <w:rPr/>
            </w:pPr>
            <w:r>
              <w:rPr>
                <w:rFonts w:ascii="Arial" w:hAnsi="Arial" w:eastAsia="Arial" w:cs="Arial"/>
                <w:b w:val="0"/>
                <w:bCs w:val="0"/>
                <w:color w:val="404040"/>
                <w:sz w:val="20"/>
                <w:szCs w:val="20"/>
              </w:rPr>
              <w:t xml:space="preserve">Mapping GDPR Art. 5/13/22/25/32 e EU AI Act — implementazione CATS</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71E23DC0">
            <w:pPr>
              <w:pBdr/>
              <w:spacing/>
              <w:ind/>
              <w:jc w:val="left"/>
              <w:rPr/>
            </w:pPr>
            <w:r>
              <w:rPr>
                <w:rFonts w:ascii="Arial" w:hAnsi="Arial" w:eastAsia="Arial" w:cs="Arial"/>
                <w:b/>
                <w:bCs/>
                <w:color w:val="404040"/>
                <w:sz w:val="20"/>
                <w:szCs w:val="20"/>
              </w:rPr>
              <w:t xml:space="preserve">CHANGELOG.md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0C543E4B">
            <w:pPr>
              <w:pBdr/>
              <w:spacing/>
              <w:ind/>
              <w:jc w:val="left"/>
              <w:rPr/>
            </w:pPr>
            <w:r>
              <w:rPr>
                <w:rFonts w:ascii="Arial" w:hAnsi="Arial" w:eastAsia="Arial" w:cs="Arial"/>
                <w:b w:val="0"/>
                <w:bCs w:val="0"/>
                <w:color w:val="404040"/>
                <w:sz w:val="20"/>
                <w:szCs w:val="20"/>
              </w:rPr>
              <w:t xml:space="preserve">Cronologia delle versioni in formato Keep a Changelog + Semantic Versioning</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375BD2EB">
            <w:pPr>
              <w:pBdr/>
              <w:spacing/>
              <w:ind/>
              <w:jc w:val="left"/>
              <w:rPr/>
            </w:pPr>
            <w:r>
              <w:rPr>
                <w:rFonts w:ascii="Arial" w:hAnsi="Arial" w:eastAsia="Arial" w:cs="Arial"/>
                <w:b/>
                <w:bCs/>
                <w:color w:val="404040"/>
                <w:sz w:val="20"/>
                <w:szCs w:val="20"/>
              </w:rPr>
              <w:t xml:space="preserve">CONTRIBUTING.md</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110C7435">
            <w:pPr>
              <w:pBdr/>
              <w:spacing/>
              <w:ind/>
              <w:jc w:val="left"/>
              <w:rPr/>
            </w:pPr>
            <w:r>
              <w:rPr>
                <w:rFonts w:ascii="Arial" w:hAnsi="Arial" w:eastAsia="Arial" w:cs="Arial"/>
                <w:b w:val="0"/>
                <w:bCs w:val="0"/>
                <w:color w:val="404040"/>
                <w:sz w:val="20"/>
                <w:szCs w:val="20"/>
              </w:rPr>
              <w:t xml:space="preserve">Guida allo sviluppo: setup, standard di codice, procedura per aggiungere un segnale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14:paraId="5159B25D">
            <w:pPr>
              <w:pBdr/>
              <w:spacing/>
              <w:ind/>
              <w:jc w:val="left"/>
              <w:rPr/>
            </w:pPr>
            <w:r>
              <w:rPr>
                <w:rFonts w:ascii="Arial" w:hAnsi="Arial" w:eastAsia="Arial" w:cs="Arial"/>
                <w:b/>
                <w:bCs/>
                <w:color w:val="404040"/>
                <w:sz w:val="20"/>
                <w:szCs w:val="20"/>
              </w:rPr>
              <w:t xml:space="preserve">SECURITY.md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38" w:type="dxa"/>
            <w:vAlign w:val="center"/>
          </w:tcPr>
          <w:p w14:paraId="61E4B350">
            <w:pPr>
              <w:pBdr/>
              <w:spacing/>
              <w:ind/>
              <w:jc w:val="left"/>
              <w:rPr/>
            </w:pPr>
            <w:r>
              <w:rPr>
                <w:rFonts w:ascii="Arial" w:hAnsi="Arial" w:eastAsia="Arial" w:cs="Arial"/>
                <w:b w:val="0"/>
                <w:bCs w:val="0"/>
                <w:color w:val="404040"/>
                <w:sz w:val="20"/>
                <w:szCs w:val="20"/>
              </w:rPr>
              <w:t xml:space="preserve">Policy di segnalazione vulnerabilità (responsible disclosure) e scope del programma</w:t>
            </w:r>
            <w:r/>
            <w:r/>
          </w:p>
        </w:tc>
      </w:tr>
    </w:tbl>
    <w:p>
      <w:pPr>
        <w:pBdr/>
        <w:spacing w:after="24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Appendice B — Glossario Tecnico</w:t>
      </w:r>
      <w:r/>
    </w:p>
    <w:tbl>
      <w:tblPr>
        <w:tblW w:w="9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600"/>
        <w:gridCol w:w="7038"/>
      </w:tblGrid>
      <w:tr>
        <w:trPr/>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441F37F8">
            <w:pPr>
              <w:pBdr/>
              <w:spacing/>
              <w:ind/>
              <w:jc w:val="left"/>
              <w:rPr/>
            </w:pPr>
            <w:r>
              <w:rPr>
                <w:rFonts w:ascii="Arial" w:hAnsi="Arial" w:eastAsia="Arial" w:cs="Arial"/>
                <w:b/>
                <w:bCs/>
                <w:color w:val="ffffff"/>
                <w:sz w:val="20"/>
                <w:szCs w:val="20"/>
              </w:rPr>
              <w:t xml:space="preserve">Termine</w:t>
            </w:r>
            <w:r/>
            <w:r/>
          </w:p>
        </w:tc>
        <w:tc>
          <w:tcPr>
            <w:shd w:val="clear" w:color="ffffff" w:fill="1a3a5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561B420C">
            <w:pPr>
              <w:pBdr/>
              <w:spacing/>
              <w:ind/>
              <w:jc w:val="left"/>
              <w:rPr/>
            </w:pPr>
            <w:r>
              <w:rPr>
                <w:rFonts w:ascii="Arial" w:hAnsi="Arial" w:eastAsia="Arial" w:cs="Arial"/>
                <w:b/>
                <w:bCs/>
                <w:color w:val="ffffff"/>
                <w:sz w:val="20"/>
                <w:szCs w:val="20"/>
              </w:rPr>
              <w:t xml:space="preserve">Definizione</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2424AAB9">
            <w:pPr>
              <w:pBdr/>
              <w:spacing/>
              <w:ind/>
              <w:jc w:val="left"/>
              <w:rPr/>
            </w:pPr>
            <w:r>
              <w:rPr>
                <w:rFonts w:ascii="Arial" w:hAnsi="Arial" w:eastAsia="Arial" w:cs="Arial"/>
                <w:b/>
                <w:bCs/>
                <w:color w:val="404040"/>
                <w:sz w:val="20"/>
                <w:szCs w:val="20"/>
              </w:rPr>
              <w:t xml:space="preserve">AES-256-GCM</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069F550C">
            <w:pPr>
              <w:pBdr/>
              <w:spacing/>
              <w:ind/>
              <w:jc w:val="left"/>
              <w:rPr/>
            </w:pPr>
            <w:r>
              <w:rPr>
                <w:rFonts w:ascii="Arial" w:hAnsi="Arial" w:eastAsia="Arial" w:cs="Arial"/>
                <w:b w:val="0"/>
                <w:bCs w:val="0"/>
                <w:color w:val="404040"/>
                <w:sz w:val="20"/>
                <w:szCs w:val="20"/>
              </w:rPr>
              <w:t xml:space="preserve">Advanced Encryption Standard a 256 bit in modalità Galois/Counter Mode. Cifra autenticata usata per l’audit log.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2D9E9678">
            <w:pPr>
              <w:pBdr/>
              <w:spacing/>
              <w:ind/>
              <w:jc w:val="left"/>
              <w:rPr/>
            </w:pPr>
            <w:r>
              <w:rPr>
                <w:rFonts w:ascii="Arial" w:hAnsi="Arial" w:eastAsia="Arial" w:cs="Arial"/>
                <w:b/>
                <w:bCs/>
                <w:color w:val="404040"/>
                <w:sz w:val="20"/>
                <w:szCs w:val="20"/>
              </w:rPr>
              <w:t xml:space="preserve">APScheduler</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086F595A">
            <w:pPr>
              <w:pBdr/>
              <w:spacing/>
              <w:ind/>
              <w:jc w:val="left"/>
              <w:rPr/>
            </w:pPr>
            <w:r>
              <w:rPr>
                <w:rFonts w:ascii="Arial" w:hAnsi="Arial" w:eastAsia="Arial" w:cs="Arial"/>
                <w:b w:val="0"/>
                <w:bCs w:val="0"/>
                <w:color w:val="404040"/>
                <w:sz w:val="20"/>
                <w:szCs w:val="20"/>
              </w:rPr>
              <w:t xml:space="preserve">Advanced Python Scheduler. Libreria per esecuzione di job pianificati (es. purge notturno GDPR).</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32FEF463">
            <w:pPr>
              <w:pBdr/>
              <w:spacing/>
              <w:ind/>
              <w:jc w:val="left"/>
              <w:rPr/>
            </w:pPr>
            <w:r>
              <w:rPr>
                <w:rFonts w:ascii="Arial" w:hAnsi="Arial" w:eastAsia="Arial" w:cs="Arial"/>
                <w:b/>
                <w:bCs/>
                <w:color w:val="404040"/>
                <w:sz w:val="20"/>
                <w:szCs w:val="20"/>
              </w:rPr>
              <w:t xml:space="preserve">CTI</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15E99BAD">
            <w:pPr>
              <w:pBdr/>
              <w:spacing/>
              <w:ind/>
              <w:jc w:val="left"/>
              <w:rPr/>
            </w:pPr>
            <w:r>
              <w:rPr>
                <w:rFonts w:ascii="Arial" w:hAnsi="Arial" w:eastAsia="Arial" w:cs="Arial"/>
                <w:b w:val="0"/>
                <w:bCs w:val="0"/>
                <w:color w:val="404040"/>
                <w:sz w:val="20"/>
                <w:szCs w:val="20"/>
              </w:rPr>
              <w:t xml:space="preserve">Cyber Threat Intelligence. Attività di raccolta e analisi di informazioni su minacce informatiche.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6E11D4CA">
            <w:pPr>
              <w:pBdr/>
              <w:spacing/>
              <w:ind/>
              <w:jc w:val="left"/>
              <w:rPr/>
            </w:pPr>
            <w:r>
              <w:rPr>
                <w:rFonts w:ascii="Arial" w:hAnsi="Arial" w:eastAsia="Arial" w:cs="Arial"/>
                <w:b/>
                <w:bCs/>
                <w:color w:val="404040"/>
                <w:sz w:val="20"/>
                <w:szCs w:val="20"/>
              </w:rPr>
              <w:t xml:space="preserve">GDPR</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5EFBB7EE">
            <w:pPr>
              <w:pBdr/>
              <w:spacing/>
              <w:ind/>
              <w:jc w:val="left"/>
              <w:rPr/>
            </w:pPr>
            <w:r>
              <w:rPr>
                <w:rFonts w:ascii="Arial" w:hAnsi="Arial" w:eastAsia="Arial" w:cs="Arial"/>
                <w:b w:val="0"/>
                <w:bCs w:val="0"/>
                <w:color w:val="404040"/>
                <w:sz w:val="20"/>
                <w:szCs w:val="20"/>
              </w:rPr>
              <w:t xml:space="preserve">General Data Protection Regulation. Regolamento UE 2016/679 sulla protezione dei dati personali.</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03685FC9">
            <w:pPr>
              <w:pBdr/>
              <w:spacing/>
              <w:ind/>
              <w:jc w:val="left"/>
              <w:rPr/>
            </w:pPr>
            <w:r>
              <w:rPr>
                <w:rFonts w:ascii="Arial" w:hAnsi="Arial" w:eastAsia="Arial" w:cs="Arial"/>
                <w:b/>
                <w:bCs/>
                <w:color w:val="404040"/>
                <w:sz w:val="20"/>
                <w:szCs w:val="20"/>
              </w:rPr>
              <w:t xml:space="preserve">Jaccard Similarity</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1BF58B5B">
            <w:pPr>
              <w:pBdr/>
              <w:spacing/>
              <w:ind/>
              <w:jc w:val="left"/>
              <w:rPr/>
            </w:pPr>
            <w:r>
              <w:rPr>
                <w:rFonts w:ascii="Arial" w:hAnsi="Arial" w:eastAsia="Arial" w:cs="Arial"/>
                <w:b w:val="0"/>
                <w:bCs w:val="0"/>
                <w:color w:val="404040"/>
                <w:sz w:val="20"/>
                <w:szCs w:val="20"/>
              </w:rPr>
              <w:t xml:space="preserve">Misura di similarità tra insiemi: |A∩B| / |A∪B|. Usata per confrontare entità nominate tra messaggi.</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142361FF">
            <w:pPr>
              <w:pBdr/>
              <w:spacing/>
              <w:ind/>
              <w:jc w:val="left"/>
              <w:rPr/>
            </w:pPr>
            <w:r>
              <w:rPr>
                <w:rFonts w:ascii="Arial" w:hAnsi="Arial" w:eastAsia="Arial" w:cs="Arial"/>
                <w:b/>
                <w:bCs/>
                <w:color w:val="404040"/>
                <w:sz w:val="20"/>
                <w:szCs w:val="20"/>
              </w:rPr>
              <w:t xml:space="preserve">JWT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57FF5B10">
            <w:pPr>
              <w:pBdr/>
              <w:spacing/>
              <w:ind/>
              <w:jc w:val="left"/>
              <w:rPr/>
            </w:pPr>
            <w:r>
              <w:rPr>
                <w:rFonts w:ascii="Arial" w:hAnsi="Arial" w:eastAsia="Arial" w:cs="Arial"/>
                <w:b w:val="0"/>
                <w:bCs w:val="0"/>
                <w:color w:val="404040"/>
                <w:sz w:val="20"/>
                <w:szCs w:val="20"/>
              </w:rPr>
              <w:t xml:space="preserve">JSON Web Token. Standard per l’autenticazione stateless tramite token firmati (RS256 in CATS).</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150E0585">
            <w:pPr>
              <w:pBdr/>
              <w:spacing/>
              <w:ind/>
              <w:jc w:val="left"/>
              <w:rPr/>
            </w:pPr>
            <w:r>
              <w:rPr>
                <w:rFonts w:ascii="Arial" w:hAnsi="Arial" w:eastAsia="Arial" w:cs="Arial"/>
                <w:b/>
                <w:bCs/>
                <w:color w:val="404040"/>
                <w:sz w:val="20"/>
                <w:szCs w:val="20"/>
              </w:rPr>
              <w:t xml:space="preserve">NER</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729BF7D0">
            <w:pPr>
              <w:pBdr/>
              <w:spacing/>
              <w:ind/>
              <w:jc w:val="left"/>
              <w:rPr/>
            </w:pPr>
            <w:r>
              <w:rPr>
                <w:rFonts w:ascii="Arial" w:hAnsi="Arial" w:eastAsia="Arial" w:cs="Arial"/>
                <w:b w:val="0"/>
                <w:bCs w:val="0"/>
                <w:color w:val="404040"/>
                <w:sz w:val="20"/>
                <w:szCs w:val="20"/>
              </w:rPr>
              <w:t xml:space="preserve">Named Entity Recognition. Tecnica NLP per estrarre entità nominate (persone, luoghi, organizzazioni).</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39B9C946">
            <w:pPr>
              <w:pBdr/>
              <w:spacing/>
              <w:ind/>
              <w:jc w:val="left"/>
              <w:rPr/>
            </w:pPr>
            <w:r>
              <w:rPr>
                <w:rFonts w:ascii="Arial" w:hAnsi="Arial" w:eastAsia="Arial" w:cs="Arial"/>
                <w:b/>
                <w:bCs/>
                <w:color w:val="404040"/>
                <w:sz w:val="20"/>
                <w:szCs w:val="20"/>
              </w:rPr>
              <w:t xml:space="preserve">OSINT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588D8D73">
            <w:pPr>
              <w:pBdr/>
              <w:spacing/>
              <w:ind/>
              <w:jc w:val="left"/>
              <w:rPr/>
            </w:pPr>
            <w:r>
              <w:rPr>
                <w:rFonts w:ascii="Arial" w:hAnsi="Arial" w:eastAsia="Arial" w:cs="Arial"/>
                <w:b w:val="0"/>
                <w:bCs w:val="0"/>
                <w:color w:val="404040"/>
                <w:sz w:val="20"/>
                <w:szCs w:val="20"/>
              </w:rPr>
              <w:t xml:space="preserve">Open Source Intelligence. Intelligence derivata da fonti pubblicamente accessibili.</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0025CBEC">
            <w:pPr>
              <w:pBdr/>
              <w:spacing/>
              <w:ind/>
              <w:jc w:val="left"/>
              <w:rPr/>
            </w:pPr>
            <w:r>
              <w:rPr>
                <w:rFonts w:ascii="Arial" w:hAnsi="Arial" w:eastAsia="Arial" w:cs="Arial"/>
                <w:b/>
                <w:bCs/>
                <w:color w:val="404040"/>
                <w:sz w:val="20"/>
                <w:szCs w:val="20"/>
              </w:rPr>
              <w:t xml:space="preserve">Redis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6FCD6B7D">
            <w:pPr>
              <w:pBdr/>
              <w:spacing/>
              <w:ind/>
              <w:jc w:val="left"/>
              <w:rPr/>
            </w:pPr>
            <w:r>
              <w:rPr>
                <w:rFonts w:ascii="Arial" w:hAnsi="Arial" w:eastAsia="Arial" w:cs="Arial"/>
                <w:b w:val="0"/>
                <w:bCs w:val="0"/>
                <w:color w:val="404040"/>
                <w:sz w:val="20"/>
                <w:szCs w:val="20"/>
              </w:rPr>
              <w:t xml:space="preserve">Database in-memory usato per rate limiting distribuito tramite script Lua sliding-window.</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3CA7F163">
            <w:pPr>
              <w:pBdr/>
              <w:spacing/>
              <w:ind/>
              <w:jc w:val="left"/>
              <w:rPr/>
            </w:pPr>
            <w:r>
              <w:rPr>
                <w:rFonts w:ascii="Arial" w:hAnsi="Arial" w:eastAsia="Arial" w:cs="Arial"/>
                <w:b/>
                <w:bCs/>
                <w:color w:val="404040"/>
                <w:sz w:val="20"/>
                <w:szCs w:val="20"/>
              </w:rPr>
              <w:t xml:space="preserve">Score ordinale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36D33AE1">
            <w:pPr>
              <w:pBdr/>
              <w:spacing/>
              <w:ind/>
              <w:jc w:val="left"/>
              <w:rPr/>
            </w:pPr>
            <w:r>
              <w:rPr>
                <w:rFonts w:ascii="Arial" w:hAnsi="Arial" w:eastAsia="Arial" w:cs="Arial"/>
                <w:b w:val="0"/>
                <w:bCs w:val="0"/>
                <w:color w:val="404040"/>
                <w:sz w:val="20"/>
                <w:szCs w:val="20"/>
              </w:rPr>
              <w:t xml:space="preserve">Punteggio che rappresenta un ranking relativo, non una probabilità assoluta.</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61CE5E21">
            <w:pPr>
              <w:pBdr/>
              <w:spacing/>
              <w:ind/>
              <w:jc w:val="left"/>
              <w:rPr/>
            </w:pPr>
            <w:r>
              <w:rPr>
                <w:rFonts w:ascii="Arial" w:hAnsi="Arial" w:eastAsia="Arial" w:cs="Arial"/>
                <w:b/>
                <w:bCs/>
                <w:color w:val="404040"/>
                <w:sz w:val="20"/>
                <w:szCs w:val="20"/>
              </w:rPr>
              <w:t xml:space="preserve">SHAP</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52A56012">
            <w:pPr>
              <w:pBdr/>
              <w:spacing/>
              <w:ind/>
              <w:jc w:val="left"/>
              <w:rPr/>
            </w:pPr>
            <w:r>
              <w:rPr>
                <w:rFonts w:ascii="Arial" w:hAnsi="Arial" w:eastAsia="Arial" w:cs="Arial"/>
                <w:b w:val="0"/>
                <w:bCs w:val="0"/>
                <w:color w:val="404040"/>
                <w:sz w:val="20"/>
                <w:szCs w:val="20"/>
              </w:rPr>
              <w:t xml:space="preserve">SHapley Additive exPlanations. Framework per l’esplicabilità dei modelli ML (roadmap v1.2).</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455575A3">
            <w:pPr>
              <w:pBdr/>
              <w:spacing/>
              <w:ind/>
              <w:jc w:val="left"/>
              <w:rPr/>
            </w:pPr>
            <w:r>
              <w:rPr>
                <w:rFonts w:ascii="Arial" w:hAnsi="Arial" w:eastAsia="Arial" w:cs="Arial"/>
                <w:b/>
                <w:bCs/>
                <w:color w:val="404040"/>
                <w:sz w:val="20"/>
                <w:szCs w:val="20"/>
              </w:rPr>
              <w:t xml:space="preserve">spaCy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26F26F08">
            <w:pPr>
              <w:pBdr/>
              <w:spacing/>
              <w:ind/>
              <w:jc w:val="left"/>
              <w:rPr/>
            </w:pPr>
            <w:r>
              <w:rPr>
                <w:rFonts w:ascii="Arial" w:hAnsi="Arial" w:eastAsia="Arial" w:cs="Arial"/>
                <w:b w:val="0"/>
                <w:bCs w:val="0"/>
                <w:color w:val="404040"/>
                <w:sz w:val="20"/>
                <w:szCs w:val="20"/>
              </w:rPr>
              <w:t xml:space="preserve">Libreria NLP open-source. In CATS usa il modello it_core_news_lg per il testo italiano.</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3B8969E6">
            <w:pPr>
              <w:pBdr/>
              <w:spacing/>
              <w:ind/>
              <w:jc w:val="left"/>
              <w:rPr/>
            </w:pPr>
            <w:r>
              <w:rPr>
                <w:rFonts w:ascii="Arial" w:hAnsi="Arial" w:eastAsia="Arial" w:cs="Arial"/>
                <w:b/>
                <w:bCs/>
                <w:color w:val="404040"/>
                <w:sz w:val="20"/>
                <w:szCs w:val="20"/>
              </w:rPr>
              <w:t xml:space="preserve">TTR</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04ADBFBC">
            <w:pPr>
              <w:pBdr/>
              <w:spacing/>
              <w:ind/>
              <w:jc w:val="left"/>
              <w:rPr/>
            </w:pPr>
            <w:r>
              <w:rPr>
                <w:rFonts w:ascii="Arial" w:hAnsi="Arial" w:eastAsia="Arial" w:cs="Arial"/>
                <w:b w:val="0"/>
                <w:bCs w:val="0"/>
                <w:color w:val="404040"/>
                <w:sz w:val="20"/>
                <w:szCs w:val="20"/>
              </w:rPr>
              <w:t xml:space="preserve">Type-Token Ratio. Rapporto tra vocaboli unici e totale dei token; misura la diversità lessicale.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6FE100F0">
            <w:pPr>
              <w:pBdr/>
              <w:spacing/>
              <w:ind/>
              <w:jc w:val="left"/>
              <w:rPr/>
            </w:pPr>
            <w:r>
              <w:rPr>
                <w:rFonts w:ascii="Arial" w:hAnsi="Arial" w:eastAsia="Arial" w:cs="Arial"/>
                <w:b/>
                <w:bCs/>
                <w:color w:val="404040"/>
                <w:sz w:val="20"/>
                <w:szCs w:val="20"/>
              </w:rPr>
              <w:t xml:space="preserve">Trace ID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450C035F">
            <w:pPr>
              <w:pBdr/>
              <w:spacing/>
              <w:ind/>
              <w:jc w:val="left"/>
              <w:rPr/>
            </w:pPr>
            <w:r>
              <w:rPr>
                <w:rFonts w:ascii="Arial" w:hAnsi="Arial" w:eastAsia="Arial" w:cs="Arial"/>
                <w:b w:val="0"/>
                <w:bCs w:val="0"/>
                <w:color w:val="404040"/>
                <w:sz w:val="20"/>
                <w:szCs w:val="20"/>
              </w:rPr>
              <w:t xml:space="preserve">UUID univoco assegnato a ogni valutazione. Consente la ricostruzione completa del processo (GDPR Art.22).</w:t>
            </w:r>
            <w:r/>
            <w:r/>
          </w:p>
        </w:tc>
      </w:tr>
      <w:tr>
        <w:trPr/>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14:paraId="0E18DA35">
            <w:pPr>
              <w:pBdr/>
              <w:spacing/>
              <w:ind/>
              <w:jc w:val="left"/>
              <w:rPr/>
            </w:pPr>
            <w:r>
              <w:rPr>
                <w:rFonts w:ascii="Arial" w:hAnsi="Arial" w:eastAsia="Arial" w:cs="Arial"/>
                <w:b/>
                <w:bCs/>
                <w:color w:val="404040"/>
                <w:sz w:val="20"/>
                <w:szCs w:val="20"/>
              </w:rPr>
              <w:t xml:space="preserve">TLS</w:t>
            </w:r>
            <w:r/>
            <w:r/>
          </w:p>
        </w:tc>
        <w:tc>
          <w:tcPr>
            <w:shd w:val="clear" w:color="ffffff" w:fill="d5e8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38" w:type="dxa"/>
            <w:vAlign w:val="center"/>
          </w:tcPr>
          <w:p w14:paraId="6966A5D8">
            <w:pPr>
              <w:pBdr/>
              <w:spacing/>
              <w:ind/>
              <w:jc w:val="left"/>
              <w:rPr/>
            </w:pPr>
            <w:r>
              <w:rPr>
                <w:rFonts w:ascii="Arial" w:hAnsi="Arial" w:eastAsia="Arial" w:cs="Arial"/>
                <w:b w:val="0"/>
                <w:bCs w:val="0"/>
                <w:color w:val="404040"/>
                <w:sz w:val="20"/>
                <w:szCs w:val="20"/>
              </w:rPr>
              <w:t xml:space="preserve">Transport Layer Security. Protocollo crittografico per comunicazioni sicure (v1.3 in CATS).</w:t>
            </w:r>
            <w:r/>
            <w:r/>
          </w:p>
        </w:tc>
      </w:tr>
    </w:tbl>
    <w:p>
      <w:pPr>
        <w:pBdr/>
        <w:spacing w:after="24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Appendice C — Gap Documentale e Aree di Sviluppo</w:t>
      </w:r>
      <w:r/>
    </w:p>
    <w:p>
      <w:pPr>
        <w:pBdr/>
        <w:spacing w:after="240" w:before="0" w:line="276" w:lineRule="auto"/>
        <w:ind/>
        <w:jc w:val="both"/>
        <w:rPr/>
      </w:pPr>
      <w:r>
        <w:rPr>
          <w:rFonts w:ascii="Google Sans" w:hAnsi="Google Sans" w:eastAsia="Google Sans" w:cs="Google Sans"/>
          <w:color w:val="1f1f1f"/>
          <w:sz w:val="22"/>
          <w:szCs w:val="22"/>
        </w:rPr>
        <w:t xml:space="preserve">Dall’analisi dei materiali disponibili, le seguenti informazioni sono assenti o parziali e richiedono sviluppo nelle versioni future:</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Metriche di benchmark su dataset reali: colmato in parte. Esiste un dataset etichettato (56 fonti in training, 53 in holdout temporale) con etichette da distant supervision MBFC, e i risultati sono riportati in §5.4. Resta aperta la dimensione del set e il suo sbilanciamento verso testate anglofone.</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 xml:space="preserve">Supporto multilingua: il sistema è ottimizzato per l’italiano; la roadmap tecnica per EN, FR, DE non è ancora dettagliata a livello implementativo.</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 xml:space="preserve">Requisiti hardware minimi: non sono specificati requisiti di CPU/RAM per garantire le performance dichiarate in scenari di produzione ad alto volume.</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 xml:space="preserve">Modalità tecniche di acquisizione dati: la documentazione non descrive come il sistema gestisce l’ingestione da fonti non indicizzate o che richiedono autenticazione.</w:t>
      </w:r>
      <w:r/>
    </w:p>
    <w:p>
      <w:pPr>
        <w:pStyle w:val="722"/>
        <w:numPr>
          <w:ilvl w:val="0"/>
          <w:numId w:val="2"/>
        </w:numPr>
        <w:pBdr/>
        <w:spacing w:after="80" w:before="0" w:line="276" w:lineRule="auto"/>
        <w:ind/>
        <w:rPr/>
      </w:pPr>
      <w:r>
        <w:rPr>
          <w:rFonts w:ascii="Google Sans" w:hAnsi="Google Sans" w:eastAsia="Google Sans" w:cs="Google Sans"/>
          <w:color w:val="1f1f1f"/>
          <w:sz w:val="22"/>
          <w:szCs w:val="22"/>
        </w:rPr>
        <w:t xml:space="preserve">Sezione Team e Governance: assente nei documenti fonte; rilevante per la trasparenza sul progetto open source.</w:t>
      </w:r>
      <w:r/>
    </w:p>
    <w:p w14:paraId="3DC49507">
      <w:pPr>
        <w:pStyle w:val="728"/>
        <w:pBdr>
          <w:top w:val="none" w:color="000000" w:sz="4" w:space="0"/>
          <w:left w:val="none" w:color="000000" w:sz="4" w:space="0"/>
          <w:bottom w:val="none" w:color="000000" w:sz="4" w:space="0"/>
          <w:right w:val="none" w:color="000000" w:sz="4" w:space="0"/>
        </w:pBdr>
        <w:spacing w:after="120" w:before="240" w:line="331" w:lineRule="auto"/>
        <w:ind w:right="0" w:firstLine="0" w:left="0"/>
        <w:rPr/>
      </w:pPr>
      <w:r>
        <w:rPr>
          <w:rFonts w:ascii="Arial" w:hAnsi="Arial" w:eastAsia="Arial" w:cs="Arial"/>
          <w:b/>
          <w:color w:val="1f1f1f"/>
          <w:sz w:val="36"/>
          <w:u w:val="none"/>
        </w:rPr>
        <w:t xml:space="preserve">Quadro Normativo e Standard di Riferimento</w:t>
      </w:r>
      <w:r/>
    </w:p>
    <w:p w14:paraId="0FEA92A9">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1f1f1f"/>
          <w:sz w:val="22"/>
          <w:u w:val="none"/>
        </w:rPr>
        <w:t xml:space="preserve">L'efficacia di CATS come strumento di livello enterprise è garantita dal suo allineamento ai principali framework normativi internazionali e standard di intelligence.</w:t>
      </w:r>
      <w:r>
        <w:rPr>
          <w:rFonts w:ascii="Arial" w:hAnsi="Arial" w:eastAsia="Arial" w:cs="Arial"/>
          <w:color w:val="444746"/>
          <w:sz w:val="14"/>
          <w:vertAlign w:val="superscript"/>
        </w:rPr>
        <w:t xml:space="preserve">1</w:t>
      </w:r>
      <w:r/>
    </w:p>
    <w:p w14:paraId="630BDDA2">
      <w:pPr>
        <w:pStyle w:val="729"/>
        <w:pBdr>
          <w:top w:val="none" w:color="000000" w:sz="4" w:space="0"/>
          <w:left w:val="none" w:color="000000" w:sz="4" w:space="0"/>
          <w:bottom w:val="none" w:color="000000" w:sz="4" w:space="0"/>
          <w:right w:val="none" w:color="000000" w:sz="4" w:space="0"/>
        </w:pBdr>
        <w:spacing w:after="120" w:before="0" w:line="331" w:lineRule="auto"/>
        <w:ind w:right="0" w:firstLine="0" w:left="0"/>
        <w:rPr/>
      </w:pPr>
      <w:r>
        <w:rPr>
          <w:rFonts w:ascii="Arial" w:hAnsi="Arial" w:eastAsia="Arial" w:cs="Arial"/>
          <w:b/>
          <w:color w:val="1f1f1f"/>
          <w:sz w:val="28"/>
          <w:u w:val="none"/>
        </w:rPr>
        <w:t xml:space="preserve">Normative Europee e Protezione dei Dati</w:t>
      </w:r>
      <w:r/>
    </w:p>
    <w:p w14:paraId="51E2CF7A">
      <w:pPr>
        <w:pStyle w:val="722"/>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1f1f1f"/>
          <w:sz w:val="22"/>
          <w:u w:val="none"/>
        </w:rPr>
        <w:t xml:space="preserve">GDPR (Regolamento UE 2016/679):</w:t>
      </w:r>
      <w:r>
        <w:rPr>
          <w:rFonts w:ascii="Arial" w:hAnsi="Arial" w:eastAsia="Arial" w:cs="Arial"/>
          <w:color w:val="1f1f1f"/>
          <w:sz w:val="22"/>
          <w:u w:val="none"/>
        </w:rPr>
        <w:t xml:space="preserve"> Il sistema rispetta il principio di "Privacy by Design" (Art. 25), assicurando che nessun dato personale grezzo venga memorizzato in chiaro. Gli endpoint per la trasparenza (Artt. 13-14) e la contestazione delle decisioni automatizzate (Art. 22) garantisc</w:t>
      </w:r>
      <w:r>
        <w:rPr>
          <w:rFonts w:ascii="Arial" w:hAnsi="Arial" w:eastAsia="Arial" w:cs="Arial"/>
          <w:color w:val="1f1f1f"/>
          <w:sz w:val="22"/>
          <w:u w:val="none"/>
        </w:rPr>
        <w:t xml:space="preserve">ono la piena conformità per le organizzazioni che operano sul mercato UE.</w:t>
      </w:r>
      <w:r>
        <w:rPr>
          <w:rFonts w:ascii="Arial" w:hAnsi="Arial" w:eastAsia="Arial" w:cs="Arial"/>
          <w:color w:val="444746"/>
          <w:sz w:val="14"/>
          <w:vertAlign w:val="superscript"/>
        </w:rPr>
        <w:t xml:space="preserve">1</w:t>
      </w:r>
      <w:r/>
    </w:p>
    <w:p w14:paraId="4AFE2F09">
      <w:pPr>
        <w:pStyle w:val="722"/>
        <w:numPr>
          <w:ilvl w:val="0"/>
          <w:numId w:val="3"/>
        </w:numPr>
        <w:pBdr>
          <w:top w:val="none" w:color="000000" w:sz="4" w:space="0"/>
          <w:left w:val="none" w:color="000000" w:sz="4" w:space="0"/>
          <w:bottom w:val="none" w:color="000000" w:sz="4" w:space="0"/>
          <w:right w:val="none" w:color="000000" w:sz="4" w:space="0"/>
        </w:pBdr>
        <w:spacing w:after="120" w:before="0" w:line="331" w:lineRule="auto"/>
        <w:ind w:right="0"/>
        <w:rPr/>
      </w:pPr>
      <w:r>
        <w:rPr>
          <w:rFonts w:ascii="Arial" w:hAnsi="Arial" w:eastAsia="Arial" w:cs="Arial"/>
          <w:b/>
          <w:color w:val="1f1f1f"/>
          <w:sz w:val="22"/>
          <w:u w:val="none"/>
        </w:rPr>
        <w:t>EU AI Act (Regolamento UE 2024/1689): la classificazione di CATS non è determinata e dipende dall’uso concreto (vedi §7.3). Il sistema adotta in via prudenziale obblighi di trasparenza — documentazione delle limitazioni tecniche ed endpoint di spiegazione dei punteggi — senza che ciò costituisca una qualificazione giuridica.</w:t>
      </w:r>
      <w:r>
        <w:rPr>
          <w:rFonts w:ascii="Arial" w:hAnsi="Arial" w:eastAsia="Arial" w:cs="Arial"/>
          <w:color w:val="1f1f1f"/>
          <w:sz w:val="22"/>
          <w:u w:val="none"/>
        </w:rPr>
      </w:r>
      <w:r>
        <w:rPr>
          <w:rFonts w:ascii="Arial" w:hAnsi="Arial" w:eastAsia="Arial" w:cs="Arial"/>
          <w:color w:val="444746"/>
          <w:sz w:val="14"/>
          <w:vertAlign w:val="superscript"/>
        </w:rPr>
      </w:r>
      <w:r/>
    </w:p>
    <w:p w14:paraId="4287352F">
      <w:pPr>
        <w:pStyle w:val="729"/>
        <w:pBdr>
          <w:top w:val="none" w:color="000000" w:sz="4" w:space="0"/>
          <w:left w:val="none" w:color="000000" w:sz="4" w:space="0"/>
          <w:bottom w:val="none" w:color="000000" w:sz="4" w:space="0"/>
          <w:right w:val="none" w:color="000000" w:sz="4" w:space="0"/>
        </w:pBdr>
        <w:spacing w:after="120" w:before="240" w:line="331" w:lineRule="auto"/>
        <w:ind w:right="0" w:firstLine="0" w:left="0"/>
        <w:rPr/>
      </w:pPr>
      <w:r>
        <w:rPr>
          <w:rFonts w:ascii="Arial" w:hAnsi="Arial" w:eastAsia="Arial" w:cs="Arial"/>
          <w:b/>
          <w:color w:val="1f1f1f"/>
          <w:sz w:val="28"/>
          <w:u w:val="none"/>
        </w:rPr>
        <w:t xml:space="preserve">Framework per il Settore Finanziario e SaaS</w:t>
      </w:r>
      <w:r/>
    </w:p>
    <w:p w14:paraId="744785F8">
      <w:pPr>
        <w:pStyle w:val="722"/>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1f1f1f"/>
          <w:sz w:val="22"/>
          <w:u w:val="none"/>
        </w:rPr>
        <w:t xml:space="preserve">PCI DSS &amp; PSD2:</w:t>
      </w:r>
      <w:r>
        <w:rPr>
          <w:rFonts w:ascii="Arial" w:hAnsi="Arial" w:eastAsia="Arial" w:cs="Arial"/>
          <w:color w:val="1f1f1f"/>
          <w:sz w:val="22"/>
          <w:u w:val="none"/>
        </w:rPr>
        <w:t xml:space="preserve"> Per l'integrazione in piattaforme fintech, CATS adotta standard di crittografia (AES-256) e autenticazione (Bearer Token con rotazione doppia) allineati ai requisiti di protezione dei dati finanziari e autenticazione forte.</w:t>
      </w:r>
      <w:r>
        <w:rPr>
          <w:rFonts w:ascii="Arial" w:hAnsi="Arial" w:eastAsia="Arial" w:cs="Arial"/>
          <w:color w:val="444746"/>
          <w:sz w:val="14"/>
          <w:vertAlign w:val="superscript"/>
        </w:rPr>
        <w:t xml:space="preserve">1</w:t>
      </w:r>
      <w:r/>
    </w:p>
    <w:p w14:paraId="64D2D3A4">
      <w:pPr>
        <w:pStyle w:val="722"/>
        <w:numPr>
          <w:ilvl w:val="0"/>
          <w:numId w:val="3"/>
        </w:numPr>
        <w:pBdr>
          <w:top w:val="none" w:color="000000" w:sz="4" w:space="0"/>
          <w:left w:val="none" w:color="000000" w:sz="4" w:space="0"/>
          <w:bottom w:val="none" w:color="000000" w:sz="4" w:space="0"/>
          <w:right w:val="none" w:color="000000" w:sz="4" w:space="0"/>
        </w:pBdr>
        <w:spacing w:after="120" w:before="0" w:line="331" w:lineRule="auto"/>
        <w:ind w:right="0"/>
        <w:rPr/>
      </w:pPr>
      <w:r>
        <w:rPr>
          <w:rFonts w:ascii="Arial" w:hAnsi="Arial" w:eastAsia="Arial" w:cs="Arial"/>
          <w:b/>
          <w:color w:val="1f1f1f"/>
          <w:sz w:val="22"/>
          <w:u w:val="none"/>
        </w:rPr>
        <w:t xml:space="preserve">DORA (Digital Operational Resilience Act):</w:t>
      </w:r>
      <w:r>
        <w:rPr>
          <w:rFonts w:ascii="Arial" w:hAnsi="Arial" w:eastAsia="Arial" w:cs="Arial"/>
          <w:color w:val="1f1f1f"/>
          <w:sz w:val="22"/>
          <w:u w:val="none"/>
        </w:rPr>
        <w:t xml:space="preserve"> Il sistema supporta la resilienza operativa fornendo dati OSINT validati che possono essere integrati nei piani di gestione del rischio ICT delle istituzioni finanziarie.</w:t>
      </w:r>
      <w:r>
        <w:rPr>
          <w:rFonts w:ascii="Arial" w:hAnsi="Arial" w:eastAsia="Arial" w:cs="Arial"/>
          <w:color w:val="444746"/>
          <w:sz w:val="14"/>
          <w:vertAlign w:val="superscript"/>
        </w:rPr>
        <w:t xml:space="preserve">8</w:t>
      </w:r>
      <w:r/>
    </w:p>
    <w:p w14:paraId="3B3AAC57">
      <w:pPr>
        <w:pStyle w:val="729"/>
        <w:pBdr>
          <w:top w:val="none" w:color="000000" w:sz="4" w:space="0"/>
          <w:left w:val="none" w:color="000000" w:sz="4" w:space="0"/>
          <w:bottom w:val="none" w:color="000000" w:sz="4" w:space="0"/>
          <w:right w:val="none" w:color="000000" w:sz="4" w:space="0"/>
        </w:pBdr>
        <w:spacing w:after="120" w:before="240" w:line="331" w:lineRule="auto"/>
        <w:ind w:right="0" w:firstLine="0" w:left="0"/>
        <w:rPr/>
      </w:pPr>
      <w:r>
        <w:rPr>
          <w:rFonts w:ascii="Arial" w:hAnsi="Arial" w:eastAsia="Arial" w:cs="Arial"/>
          <w:b/>
          <w:color w:val="1f1f1f"/>
          <w:sz w:val="28"/>
          <w:u w:val="none"/>
        </w:rPr>
        <w:t xml:space="preserve">Intelligence e Sicurezza Informatica</w:t>
      </w:r>
      <w:r/>
    </w:p>
    <w:p w14:paraId="02B68DBA">
      <w:pPr>
        <w:pStyle w:val="722"/>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1f1f1f"/>
          <w:sz w:val="22"/>
          <w:u w:val="none"/>
        </w:rPr>
        <w:t xml:space="preserve">Admiralty Code (NATO):</w:t>
      </w:r>
      <w:r>
        <w:rPr>
          <w:rFonts w:ascii="Arial" w:hAnsi="Arial" w:eastAsia="Arial" w:cs="Arial"/>
          <w:color w:val="1f1f1f"/>
          <w:sz w:val="22"/>
          <w:u w:val="none"/>
        </w:rPr>
        <w:t xml:space="preserve"> Il sistema utilizza come benchmark concettuale il sistema di classificazione NATO (A–F per l'affidabilità, 1–6 per la credibilità) per mappare i propri punteggi ordinali verso standard di intelligence riconosciuti globalmente.</w:t>
      </w:r>
      <w:r>
        <w:rPr>
          <w:rFonts w:ascii="Arial" w:hAnsi="Arial" w:eastAsia="Arial" w:cs="Arial"/>
          <w:color w:val="444746"/>
          <w:sz w:val="14"/>
          <w:vertAlign w:val="superscript"/>
        </w:rPr>
        <w:t xml:space="preserve">14</w:t>
      </w:r>
      <w:r/>
    </w:p>
    <w:p w14:paraId="787C8983">
      <w:pPr>
        <w:pStyle w:val="722"/>
        <w:numPr>
          <w:ilvl w:val="0"/>
          <w:numId w:val="3"/>
        </w:numPr>
        <w:pBdr>
          <w:top w:val="none" w:color="000000" w:sz="4" w:space="0"/>
          <w:left w:val="none" w:color="000000" w:sz="4" w:space="0"/>
          <w:bottom w:val="none" w:color="000000" w:sz="4" w:space="0"/>
          <w:right w:val="none" w:color="000000" w:sz="4" w:space="0"/>
        </w:pBdr>
        <w:spacing w:after="120" w:before="0" w:line="331" w:lineRule="auto"/>
        <w:ind w:right="0"/>
        <w:rPr/>
      </w:pPr>
      <w:r>
        <w:rPr>
          <w:rFonts w:ascii="Arial" w:hAnsi="Arial" w:eastAsia="Arial" w:cs="Arial"/>
          <w:b/>
          <w:color w:val="1f1f1f"/>
          <w:sz w:val="22"/>
          <w:u w:val="none"/>
        </w:rPr>
        <w:t xml:space="preserve">ICS 206-01:</w:t>
      </w:r>
      <w:r>
        <w:rPr>
          <w:rFonts w:ascii="Arial" w:hAnsi="Arial" w:eastAsia="Arial" w:cs="Arial"/>
          <w:color w:val="1f1f1f"/>
          <w:sz w:val="22"/>
          <w:u w:val="none"/>
        </w:rPr>
        <w:t xml:space="preserve"> CATS implementa la necessità di "descrittori narrativi" per ogni fonte, fornendo una giustificazione tecnica della credibilità in linea con i nuovi standard dell'Intelligence Community statunitense.</w:t>
      </w:r>
      <w:r>
        <w:rPr>
          <w:rFonts w:ascii="Arial" w:hAnsi="Arial" w:eastAsia="Arial" w:cs="Arial"/>
          <w:color w:val="444746"/>
          <w:sz w:val="14"/>
          <w:vertAlign w:val="superscript"/>
        </w:rPr>
        <w:t xml:space="preserve">7</w:t>
      </w:r>
      <w:r/>
    </w:p>
    <w:p w14:paraId="11EB99D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1f1f1f"/>
          <w:sz w:val="22"/>
          <w:u w:val="none"/>
        </w:rPr>
        <w:t xml:space="preserve">ISO 27001 &amp; NIST:</w:t>
      </w:r>
      <w:r>
        <w:rPr>
          <w:rFonts w:ascii="Arial" w:hAnsi="Arial" w:eastAsia="Arial" w:cs="Arial"/>
          <w:color w:val="1f1f1f"/>
          <w:sz w:val="22"/>
          <w:u w:val="none"/>
        </w:rPr>
        <w:t xml:space="preserve"> L'infrastruttura di CATS segue le linee guida NIST per lo sviluppo software sicuro e la gestione del rischio nella catena di fornitura, garantendo l'integrità degli audit log e la sicurezza degli endpoint .</w:t>
      </w:r>
      <w:r/>
    </w:p>
    <w:p>
      <w:pPr>
        <w:pBdr/>
        <w:spacing w:after="240" w:before="0"/>
        <w:ind/>
        <w:rPr/>
      </w:pPr>
      <w:r/>
      <w:r/>
    </w:p>
    <w:p>
      <w:pPr>
        <w:pStyle w:val="728"/>
        <w:pBdr/>
        <w:spacing w:after="120" w:before="320" w:line="276" w:lineRule="auto"/>
        <w:ind/>
        <w:rPr/>
      </w:pPr>
      <w:r>
        <w:rPr>
          <w:rFonts w:ascii="Google Sans" w:hAnsi="Google Sans" w:eastAsia="Google Sans" w:cs="Google Sans"/>
          <w:b/>
          <w:bCs/>
          <w:color w:val="1f1f1f"/>
          <w:sz w:val="36"/>
          <w:szCs w:val="36"/>
        </w:rPr>
        <w:t xml:space="preserve">Appendice D — Bibliografia e Riferimenti</w:t>
      </w:r>
      <w:r/>
    </w:p>
    <w:p>
      <w:pPr>
        <w:pBdr/>
        <w:spacing w:after="80" w:before="0" w:line="276" w:lineRule="auto"/>
        <w:ind w:hanging="720" w:left="720"/>
        <w:rPr/>
      </w:pPr>
      <w:r>
        <w:rPr>
          <w:rFonts w:ascii="Google Sans" w:hAnsi="Google Sans" w:eastAsia="Google Sans" w:cs="Google Sans"/>
          <w:color w:val="444746"/>
          <w:sz w:val="20"/>
          <w:szCs w:val="20"/>
        </w:rPr>
        <w:t>1.  CATS Project. (2026). CATS — Contextual Ambiguity &amp; Trust Scoring. github.com/Leapfrog-LSA/CATS-Contextual-Ambiguity-Trust-Scoring</w:t>
      </w:r>
      <w:r/>
    </w:p>
    <w:p>
      <w:pPr>
        <w:pBdr/>
        <w:spacing w:after="80" w:before="0" w:line="276" w:lineRule="auto"/>
        <w:ind w:hanging="720" w:left="720"/>
        <w:rPr/>
      </w:pPr>
      <w:r>
        <w:rPr>
          <w:rFonts w:ascii="Google Sans" w:hAnsi="Google Sans" w:eastAsia="Google Sans" w:cs="Google Sans"/>
          <w:color w:val="444746"/>
          <w:sz w:val="20"/>
          <w:szCs w:val="20"/>
        </w:rPr>
        <w:t xml:space="preserve">2.  ShadowDragon. (2026). OSINT Year in Review: How Open-Source Intelligence Became Core to Enterprise Risk in 2025. shadowdragon.io</w:t>
      </w:r>
      <w:r/>
    </w:p>
    <w:p>
      <w:pPr>
        <w:pBdr/>
        <w:spacing w:after="80" w:before="0" w:line="276" w:lineRule="auto"/>
        <w:ind w:hanging="720" w:left="720"/>
        <w:rPr/>
      </w:pPr>
      <w:r>
        <w:rPr>
          <w:rFonts w:ascii="Google Sans" w:hAnsi="Google Sans" w:eastAsia="Google Sans" w:cs="Google Sans"/>
          <w:color w:val="444746"/>
          <w:sz w:val="20"/>
          <w:szCs w:val="20"/>
        </w:rPr>
        <w:t xml:space="preserve">3.  MDPI Computers. (2026). Automated OSINT Techniques for Digital Asset Discovery and Cyber Risk Assessment. doi:10.3390/computers14100430</w:t>
      </w:r>
      <w:r/>
    </w:p>
    <w:p>
      <w:pPr>
        <w:pBdr/>
        <w:spacing w:after="80" w:before="0" w:line="276" w:lineRule="auto"/>
        <w:ind w:hanging="720" w:left="720"/>
        <w:rPr/>
      </w:pPr>
      <w:r>
        <w:rPr>
          <w:rFonts w:ascii="Google Sans" w:hAnsi="Google Sans" w:eastAsia="Google Sans" w:cs="Google Sans"/>
          <w:color w:val="444746"/>
          <w:sz w:val="20"/>
          <w:szCs w:val="20"/>
        </w:rPr>
        <w:t xml:space="preserve">4.  trail-ml. (2026). EU AI Act: Risk-Classifications of the AI Regulation. trail-ml.com</w:t>
      </w:r>
      <w:r/>
    </w:p>
    <w:p>
      <w:pPr>
        <w:pBdr/>
        <w:spacing w:after="80" w:before="0" w:line="276" w:lineRule="auto"/>
        <w:ind w:hanging="720" w:left="720"/>
        <w:rPr/>
      </w:pPr>
      <w:r>
        <w:rPr>
          <w:rFonts w:ascii="Google Sans" w:hAnsi="Google Sans" w:eastAsia="Google Sans" w:cs="Google Sans"/>
          <w:color w:val="444746"/>
          <w:sz w:val="20"/>
          <w:szCs w:val="20"/>
        </w:rPr>
        <w:t xml:space="preserve">5.  Blackdot Solutions. (2026). OSINT in 2026: Key Trends and What to Expect. blackdotsolutions.com</w:t>
      </w:r>
      <w:r/>
    </w:p>
    <w:p>
      <w:pPr>
        <w:pBdr/>
        <w:spacing w:after="80" w:before="0" w:line="276" w:lineRule="auto"/>
        <w:ind w:hanging="720" w:left="720"/>
        <w:rPr/>
      </w:pPr>
      <w:r>
        <w:rPr>
          <w:rFonts w:ascii="Google Sans" w:hAnsi="Google Sans" w:eastAsia="Google Sans" w:cs="Google Sans"/>
          <w:color w:val="444746"/>
          <w:sz w:val="20"/>
          <w:szCs w:val="20"/>
        </w:rPr>
        <w:t xml:space="preserve">6.  Neotas. (2026). OSINT Tools and Techniques. neotas.com</w:t>
      </w:r>
      <w:r/>
    </w:p>
    <w:p>
      <w:pPr>
        <w:pBdr/>
        <w:spacing w:after="80" w:before="0" w:line="276" w:lineRule="auto"/>
        <w:ind w:hanging="720" w:left="720"/>
        <w:rPr/>
      </w:pPr>
      <w:r>
        <w:rPr>
          <w:rFonts w:ascii="Google Sans" w:hAnsi="Google Sans" w:eastAsia="Google Sans" w:cs="Google Sans"/>
          <w:color w:val="444746"/>
          <w:sz w:val="20"/>
          <w:szCs w:val="20"/>
        </w:rPr>
        <w:t xml:space="preserve">7.  Recorded Future. (2026). Top 15 Free OSINT Tools. recordedfuture.com</w:t>
      </w:r>
      <w:r/>
    </w:p>
    <w:p>
      <w:pPr>
        <w:pBdr/>
        <w:spacing w:after="80" w:before="0" w:line="276" w:lineRule="auto"/>
        <w:ind w:hanging="720" w:left="720"/>
        <w:rPr/>
      </w:pPr>
      <w:r>
        <w:rPr>
          <w:rFonts w:ascii="Google Sans" w:hAnsi="Google Sans" w:eastAsia="Google Sans" w:cs="Google Sans"/>
          <w:color w:val="444746"/>
          <w:sz w:val="20"/>
          <w:szCs w:val="20"/>
        </w:rPr>
        <w:t xml:space="preserve">8.  Wiz. (2026). 9 Top OSINT Tools &amp; How to Evaluate Them. wiz.io</w:t>
      </w:r>
      <w:r/>
    </w:p>
    <w:p>
      <w:pPr>
        <w:pBdr/>
        <w:spacing w:after="80" w:before="0" w:line="276" w:lineRule="auto"/>
        <w:ind w:hanging="720" w:left="720"/>
        <w:rPr/>
      </w:pPr>
      <w:r>
        <w:rPr>
          <w:rFonts w:ascii="Google Sans" w:hAnsi="Google Sans" w:eastAsia="Google Sans" w:cs="Google Sans"/>
          <w:color w:val="444746"/>
          <w:sz w:val="20"/>
          <w:szCs w:val="20"/>
        </w:rPr>
        <w:t xml:space="preserve">9.  ShadowDragon. (2026). What is OSINT? 2026 Guide. shadowdragon.io/blog/what-is-osint</w:t>
      </w:r>
      <w:r/>
    </w:p>
    <w:p>
      <w:pPr>
        <w:pBdr/>
        <w:spacing w:after="80" w:before="0" w:line="276" w:lineRule="auto"/>
        <w:ind w:hanging="720" w:left="720"/>
        <w:rPr/>
      </w:pPr>
      <w:r>
        <w:rPr>
          <w:rFonts w:ascii="Google Sans" w:hAnsi="Google Sans" w:eastAsia="Google Sans" w:cs="Google Sans"/>
          <w:color w:val="444746"/>
          <w:sz w:val="20"/>
          <w:szCs w:val="20"/>
        </w:rPr>
        <w:t xml:space="preserve">10.  Osavul. (2026). The Ultimate Guide to Open Source Investigations in 2026. osavul.cloud</w:t>
      </w:r>
      <w:r/>
    </w:p>
    <w:p>
      <w:pPr>
        <w:pBdr/>
        <w:spacing w:after="80" w:before="0" w:line="276" w:lineRule="auto"/>
        <w:ind w:hanging="720" w:left="720"/>
        <w:rPr/>
      </w:pPr>
      <w:r>
        <w:rPr>
          <w:rFonts w:ascii="Google Sans" w:hAnsi="Google Sans" w:eastAsia="Google Sans" w:cs="Google Sans"/>
          <w:color w:val="444746"/>
          <w:sz w:val="20"/>
          <w:szCs w:val="20"/>
        </w:rPr>
        <w:t xml:space="preserve">11.  DNI.gov. (2024). The IC OSINT Strategy 2024–2026. dni.gov</w:t>
      </w:r>
      <w:r/>
    </w:p>
    <w:p>
      <w:pPr/>
      <w:r>
        <w:t>12.  Li, Y. et al. (2016). A Survey on Truth Discovery. SIGKDD Explorations 17(2).</w:t>
      </w:r>
    </w:p>
    <w:p>
      <w:pPr/>
      <w:r>
        <w:t>13.  Dong, X. L., Berti-Equille, L., Srivastava, D. (2009). Integrating Conflicting Data: The Role of Source Dependence. PVLDB 2(1).</w:t>
      </w:r>
    </w:p>
    <w:p>
      <w:pPr/>
      <w:r>
        <w:t>14.  Dong, X. L. et al. (2015). Knowledge-Based Trust: Estimating the Trustworthiness of Web Sources. PVLDB 8(9).</w:t>
      </w:r>
    </w:p>
    <w:p>
      <w:pPr/>
      <w:r>
        <w:t>15.  Jøsang, A., Ismail, R. (2002). The Beta Reputation System. Bled eCommerce Conference.</w:t>
      </w:r>
    </w:p>
    <w:p>
      <w:pPr/>
      <w:r>
        <w:t>16.  Baly, R. et al. (2018). Predicting Factuality of Reporting and Bias of News Media Sources. EMNLP.</w:t>
      </w:r>
    </w:p>
    <w:p>
      <w:pPr/>
      <w:r>
        <w:t>17.  Burdisso, S. et al. (2024). Reliability Estimation of News Media Sources: Birds of a Feather Flock Together. NAACL.</w:t>
      </w:r>
    </w:p>
    <w:p>
      <w:pPr/>
      <w:r>
        <w:t>18.  Thorne, J. et al. (2018). FEVER: a Large-scale Dataset for Fact Extraction and VERification. NAACL.</w:t>
      </w:r>
    </w:p>
    <w:p>
      <w:pPr/>
      <w:r>
        <w:t>19.  Irwin, D., Mandel, D. R. (2019). Improving Information Evaluation for Intelligence Production.</w:t>
      </w:r>
    </w:p>
    <w:p>
      <w:pPr/>
      <w:r>
        <w:t>20.  Mandel, D. R. et al. (2023). Meta-informational cue inconsistency and judgment of information accuracy. Journal of Behavioral Decision Making.</w:t>
      </w:r>
    </w:p>
    <w:p>
      <w:pPr/>
      <w:r>
        <w:t>21.  Mandel, D. R. et al. (2025). The effect of source reliability and information credibility on judgments of information quality. Judgment and Decision Making.</w:t>
      </w:r>
    </w:p>
    <w:p>
      <w:pPr/>
      <w:r>
        <w:t>22.  Yang, K.-C., Menczer, F. (2025). Accuracy and Political Bias of News Source Credibility Ratings by Large Language Models. ACM WebSci.</w:t>
      </w:r>
    </w:p>
    <w:p>
      <w:pPr/>
      <w:r>
        <w:t>23.  NATO. AJP-2.1 / STANAG 2511 — Allied Joint Doctrine for Intelligence Procedures (Admiralty Code).</w:t>
      </w:r>
    </w:p>
    <w:p>
      <w:pPr/>
      <w:r>
        <w:t>Nota sui riferimenti 12–23: raccolti in una rassegna della letteratura del settembre 2026 e citati per collocare CATS rispetto allo stato dell’arte. Le indicazioni vanno verificate sulle fonti primarie prima di ogni citazione accademica derivata da questo documento.</w:t>
      </w:r>
    </w:p>
    <w:p>
      <w:pPr>
        <w:pBdr/>
        <w:spacing w:after="200" w:before="0"/>
        <w:ind/>
        <w:rPr/>
      </w:pPr>
      <w:r/>
      <w:r/>
    </w:p>
    <w:p>
      <w:pPr>
        <w:pBdr/>
        <w:spacing w:after="0" w:before="0"/>
        <w:ind/>
        <w:jc w:val="center"/>
        <w:rPr/>
      </w:pPr>
      <w:r>
        <w:rPr>
          <w:rFonts w:ascii="Google Sans" w:hAnsi="Google Sans" w:eastAsia="Google Sans" w:cs="Google Sans"/>
          <w:i/>
          <w:iCs/>
          <w:color w:val="444746"/>
          <w:sz w:val="18"/>
          <w:szCs w:val="18"/>
        </w:rPr>
        <w:t xml:space="preserve">CATS — MIT License </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Google Sans">
    <w:panose1 w:val="05040102010807070707"/>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88F252">
    <w:pPr>
      <w:pStyle w:val="178"/>
      <w:pBdr/>
      <w:spacing/>
      <w:ind/>
      <w:jc w:val="right"/>
      <w:rPr/>
    </w:pPr>
    <w:fldSimple w:instr="PAGE \* MERGEFORMAT">
      <w:r>
        <w:t xml:space="preserve">1</w:t>
      </w:r>
    </w:fldSimple>
    <w:r/>
    <w:r/>
  </w:p>
  <w:p w14:paraId="6BE8BCE4">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444746" w:sz="4" w:space="1"/>
      </w:pBdr>
      <w:tabs>
        <w:tab w:val="right" w:leader="none" w:pos="9360"/>
      </w:tabs>
      <w:spacing w:after="80" w:before="0"/>
      <w:ind/>
      <w:rPr/>
    </w:pPr>
    <w:r>
      <w:rPr>
        <w:rFonts w:ascii="Google Sans" w:hAnsi="Google Sans" w:eastAsia="Google Sans" w:cs="Google Sans"/>
        <w:color w:val="444746"/>
        <w:sz w:val="18"/>
        <w:szCs w:val="18"/>
      </w:rPr>
      <w:t xml:space="preserve">CATS — White Paper Tecnico v</w:t>
    </w:r>
    <w:r>
      <w:rPr>
        <w:rFonts w:ascii="Google Sans" w:hAnsi="Google Sans" w:eastAsia="Google Sans" w:cs="Google Sans"/>
        <w:color w:val="444746"/>
        <w:sz w:val="18"/>
        <w:szCs w:val="18"/>
        <w:lang w:val="it-IT"/>
      </w:rPr>
      <w:t xml:space="preserve">1</w:t>
    </w:r>
    <w:r>
      <w:rPr>
        <w:rFonts w:ascii="Google Sans" w:hAnsi="Google Sans" w:eastAsia="Google Sans" w:cs="Google Sans"/>
        <w:color w:val="444746"/>
        <w:sz w:val="18"/>
        <w:szCs w:val="18"/>
      </w:rPr>
      <w:t xml:space="preserve">.0</w:t>
    </w:r>
    <w:r>
      <w:rPr>
        <w:rFonts w:ascii="Google Sans" w:hAnsi="Google Sans" w:eastAsia="Google Sans" w:cs="Google Sans"/>
        <w:sz w:val="18"/>
        <w:szCs w:val="18"/>
      </w:rPr>
      <w:tab/>
    </w:r>
    <w:r>
      <w:rPr>
        <w:rFonts w:ascii="Google Sans" w:hAnsi="Google Sans" w:eastAsia="Google Sans" w:cs="Google Sans"/>
        <w:i/>
        <w:iCs/>
        <w:color w:val="444746"/>
        <w:sz w:val="18"/>
        <w:szCs w:val="18"/>
      </w:rPr>
      <w:t xml:space="preserve">Marzo 2026 — Pubblico — MIT License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1FFBC1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oogle Sans" w:hAnsi="Google Sans" w:eastAsia="Google Sans" w:cs="Google Sans"/>
        <w:color w:val="1f1f1f"/>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8"/>
    <w:uiPriority w:val="9"/>
    <w:pPr>
      <w:pBdr/>
      <w:spacing/>
      <w:ind/>
    </w:pPr>
    <w:rPr>
      <w:rFonts w:ascii="Arial" w:hAnsi="Arial" w:eastAsia="Arial" w:cs="Arial"/>
      <w:i/>
      <w:iCs/>
      <w:color w:val="0f4761" w:themeColor="accent1" w:themeShade="BF"/>
    </w:rPr>
  </w:style>
  <w:style w:type="character" w:styleId="154">
    <w:name w:val="Heading 5 Char"/>
    <w:basedOn w:val="148"/>
    <w:link w:val="719"/>
    <w:uiPriority w:val="9"/>
    <w:pPr>
      <w:pBdr/>
      <w:spacing/>
      <w:ind/>
    </w:pPr>
    <w:rPr>
      <w:rFonts w:ascii="Arial" w:hAnsi="Arial" w:eastAsia="Arial" w:cs="Arial"/>
      <w:color w:val="0f4761" w:themeColor="accent1" w:themeShade="BF"/>
    </w:rPr>
  </w:style>
  <w:style w:type="character" w:styleId="155">
    <w:name w:val="Heading 6 Char"/>
    <w:basedOn w:val="148"/>
    <w:link w:val="72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4"/>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4">
    <w:name w:val="Title"/>
    <w:qFormat/>
    <w:pPr>
      <w:pBdr/>
      <w:spacing/>
      <w:ind/>
    </w:pPr>
    <w:rPr>
      <w:sz w:val="56"/>
      <w:szCs w:val="56"/>
    </w:rPr>
  </w:style>
  <w:style w:type="paragraph" w:styleId="718">
    <w:name w:val="Heading 4"/>
    <w:qFormat/>
    <w:pPr>
      <w:pBdr/>
      <w:spacing/>
      <w:ind/>
    </w:pPr>
    <w:rPr>
      <w:i/>
      <w:iCs/>
      <w:color w:val="2e74b5"/>
    </w:rPr>
  </w:style>
  <w:style w:type="paragraph" w:styleId="719">
    <w:name w:val="Heading 5"/>
    <w:qFormat/>
    <w:pPr>
      <w:pBdr/>
      <w:spacing/>
      <w:ind/>
    </w:pPr>
    <w:rPr>
      <w:color w:val="2e74b5"/>
    </w:rPr>
  </w:style>
  <w:style w:type="paragraph" w:styleId="720">
    <w:name w:val="Heading 6"/>
    <w:qFormat/>
    <w:pPr>
      <w:pBdr/>
      <w:spacing/>
      <w:ind/>
    </w:pPr>
    <w:rPr>
      <w:color w:val="1f4d78"/>
    </w:rPr>
  </w:style>
  <w:style w:type="paragraph" w:styleId="721">
    <w:name w:val="Strong"/>
    <w:qFormat/>
    <w:pPr>
      <w:pBdr/>
      <w:spacing/>
      <w:ind/>
    </w:pPr>
    <w:rPr>
      <w:b/>
      <w:bCs/>
    </w:rPr>
  </w:style>
  <w:style w:type="paragraph" w:styleId="722">
    <w:name w:val="List Paragraph"/>
    <w:qFormat/>
    <w:pPr>
      <w:pBdr/>
      <w:spacing/>
      <w:ind/>
    </w:pPr>
  </w:style>
  <w:style w:type="character" w:styleId="723">
    <w:name w:val="Hyperlink"/>
    <w:uiPriority w:val="99"/>
    <w:unhideWhenUsed/>
    <w:pPr>
      <w:pBdr/>
      <w:spacing/>
      <w:ind/>
    </w:pPr>
    <w:rPr>
      <w:color w:val="0563c1"/>
      <w:u w:val="single"/>
    </w:rPr>
  </w:style>
  <w:style w:type="character" w:styleId="724">
    <w:name w:val="footnote reference"/>
    <w:uiPriority w:val="99"/>
    <w:semiHidden/>
    <w:unhideWhenUsed/>
    <w:pPr>
      <w:pBdr/>
      <w:spacing/>
      <w:ind/>
    </w:pPr>
    <w:rPr>
      <w:vertAlign w:val="superscript"/>
    </w:rPr>
  </w:style>
  <w:style w:type="paragraph" w:styleId="725">
    <w:name w:val="footnote text"/>
    <w:link w:val="726"/>
    <w:uiPriority w:val="99"/>
    <w:semiHidden/>
    <w:unhideWhenUsed/>
    <w:pPr>
      <w:pBdr/>
      <w:spacing w:after="0" w:line="240" w:lineRule="auto"/>
      <w:ind/>
    </w:pPr>
    <w:rPr>
      <w:sz w:val="20"/>
      <w:szCs w:val="20"/>
    </w:rPr>
  </w:style>
  <w:style w:type="character" w:styleId="726">
    <w:name w:val="Footnote Text Char"/>
    <w:link w:val="725"/>
    <w:uiPriority w:val="99"/>
    <w:semiHidden/>
    <w:unhideWhenUsed/>
    <w:pPr>
      <w:pBdr/>
      <w:spacing/>
      <w:ind/>
    </w:pPr>
    <w:rPr>
      <w:sz w:val="20"/>
      <w:szCs w:val="20"/>
    </w:rPr>
  </w:style>
  <w:style w:type="paragraph" w:styleId="727">
    <w:name w:val="Heading 1"/>
    <w:qFormat/>
    <w:pPr>
      <w:pBdr/>
      <w:spacing w:after="120" w:before="400" w:line="276" w:lineRule="auto"/>
      <w:ind/>
      <w:outlineLvl w:val="0"/>
    </w:pPr>
    <w:rPr>
      <w:rFonts w:ascii="Google Sans" w:hAnsi="Google Sans" w:eastAsia="Google Sans" w:cs="Google Sans"/>
      <w:b/>
      <w:bCs/>
      <w:color w:val="1f1f1f"/>
      <w:sz w:val="48"/>
      <w:szCs w:val="48"/>
    </w:rPr>
  </w:style>
  <w:style w:type="paragraph" w:styleId="728">
    <w:name w:val="Heading 2"/>
    <w:qFormat/>
    <w:pPr>
      <w:pBdr/>
      <w:spacing w:after="120" w:before="320" w:line="276" w:lineRule="auto"/>
      <w:ind/>
      <w:outlineLvl w:val="1"/>
    </w:pPr>
    <w:rPr>
      <w:rFonts w:ascii="Google Sans" w:hAnsi="Google Sans" w:eastAsia="Google Sans" w:cs="Google Sans"/>
      <w:b/>
      <w:bCs/>
      <w:color w:val="1f1f1f"/>
      <w:sz w:val="36"/>
      <w:szCs w:val="36"/>
    </w:rPr>
  </w:style>
  <w:style w:type="paragraph" w:styleId="729">
    <w:name w:val="Heading 3"/>
    <w:qFormat/>
    <w:pPr>
      <w:pBdr/>
      <w:spacing w:after="120" w:before="240" w:line="276" w:lineRule="auto"/>
      <w:ind/>
      <w:outlineLvl w:val="2"/>
    </w:pPr>
    <w:rPr>
      <w:rFonts w:ascii="Google Sans" w:hAnsi="Google Sans" w:eastAsia="Google Sans" w:cs="Google Sans"/>
      <w:b/>
      <w:bCs/>
      <w:color w:val="1f1f1f"/>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CATS — Contextual Ambiguity &amp; Trust Scoring — White Paper Tecnico v3.0</dc:title>
  <dc:subject>Valutazione affidabilità fonti OSINT — Architettura tecnica e conformità normativa</dc:subject>
  <dc:creator>CATS Project</dc:creator>
  <cp:keywords>OSINT, trust scoring, GDPR, EU AI Act, FastAPI, NLP, spaCy, open source</cp:keywords>
  <dc:description>White paper tecnico del sistema CATS: pipeline 9 fasi, quattro segnali analitici, conformità GDPR Artt. 13-22 e EU AI Act.</dc:description>
  <cp:revision>4</cp:revision>
  <dcterms:created xsi:type="dcterms:W3CDTF">2026-03-08T00:00:00Z</dcterms:created>
  <dcterms:modified xsi:type="dcterms:W3CDTF">2026-03-10T09:39:23Z</dcterms:modified>
</cp:coreProperties>
</file>