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7"/>
        <w:pBdr/>
        <w:spacing w:after="120" w:before="0" w:line="276" w:lineRule="auto"/>
        <w:ind/>
        <w:jc w:val="center"/>
        <w:rPr>
          <w:rFonts w:ascii="Google Sans" w:hAnsi="Google Sans" w:eastAsia="Google Sans" w:cs="Google Sans"/>
          <w:b/>
          <w:bCs/>
          <w:color w:val="1f1f1f"/>
          <w:sz w:val="48"/>
          <w:szCs w:val="48"/>
        </w:rPr>
      </w:pPr>
      <w:r>
        <w:rPr>
          <w:rFonts w:ascii="Google Sans" w:hAnsi="Google Sans" w:eastAsia="Google Sans" w:cs="Google Sans"/>
          <w:b/>
          <w:bCs/>
          <w:color w:val="1f1f1f"/>
          <w:sz w:val="48"/>
          <w:szCs w:val="48"/>
        </w:rPr>
        <w:t xml:space="preserve">CATS: </w:t>
      </w:r>
      <w:r/>
    </w:p>
    <w:p w14:paraId="77CBF863">
      <w:pPr>
        <w:pStyle w:val="727"/>
        <w:pBdr/>
        <w:spacing w:after="120" w:before="0" w:line="276" w:lineRule="auto"/>
        <w:ind/>
        <w:jc w:val="center"/>
        <w:rPr/>
      </w:pPr>
      <w:r>
        <w:rPr>
          <w:rFonts w:ascii="Google Sans" w:hAnsi="Google Sans" w:eastAsia="Google Sans" w:cs="Google Sans"/>
          <w:b/>
          <w:bCs/>
          <w:color w:val="1f1f1f"/>
          <w:sz w:val="48"/>
          <w:szCs w:val="48"/>
        </w:rPr>
        <w:t xml:space="preserve">Contextual Ambiguity &amp; Trust Scoring</w:t>
      </w:r>
      <w:r/>
      <w:r/>
    </w:p>
    <w:p>
      <w:pPr>
        <w:pBdr/>
        <w:spacing w:after="240" w:before="0"/>
        <w:ind/>
        <w:rPr/>
      </w:pPr>
      <w:r>
        <w:rPr>
          <w:rFonts w:ascii="Google Sans" w:hAnsi="Google Sans" w:eastAsia="Google Sans" w:cs="Google Sans"/>
          <w:i/>
          <w:iCs/>
          <w:color w:val="444746"/>
          <w:sz w:val="28"/>
          <w:szCs w:val="28"/>
        </w:rPr>
        <w:t xml:space="preserve">White Paper Tecnico v</w:t>
      </w:r>
      <w:r>
        <w:rPr>
          <w:rFonts w:ascii="Google Sans" w:hAnsi="Google Sans" w:eastAsia="Google Sans" w:cs="Google Sans"/>
          <w:i/>
          <w:iCs/>
          <w:color w:val="444746"/>
          <w:sz w:val="28"/>
          <w:szCs w:val="28"/>
          <w:lang w:val="it-IT"/>
        </w:rPr>
        <w:t xml:space="preserve">1</w:t>
      </w:r>
      <w:r>
        <w:rPr>
          <w:rFonts w:ascii="Google Sans" w:hAnsi="Google Sans" w:eastAsia="Google Sans" w:cs="Google Sans"/>
          <w:i/>
          <w:iCs/>
          <w:color w:val="444746"/>
          <w:sz w:val="28"/>
          <w:szCs w:val="28"/>
        </w:rPr>
        <w:t xml:space="preserve">.0 — Valutazione dell’Affidabilità delle Fonti OSINT: Architettura Tecnica, Segnali Analitici e Conformità Normativa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20" w:type="dxa"/>
            <w:vAlign w:val="center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sz w:val="20"/>
                <w:szCs w:val="20"/>
              </w:rPr>
              <w:t xml:space="preserve">Versione: v</w:t>
            </w: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sz w:val="20"/>
                <w:szCs w:val="20"/>
                <w:lang w:val="it-IT"/>
              </w:rPr>
              <w:t xml:space="preserve">1</w:t>
            </w: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sz w:val="20"/>
                <w:szCs w:val="20"/>
              </w:rPr>
              <w:t xml:space="preserve">.0 — Pubblico</w:t>
            </w:r>
            <w:r/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20" w:type="dxa"/>
            <w:vAlign w:val="center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sz w:val="20"/>
                <w:szCs w:val="20"/>
              </w:rPr>
              <w:t xml:space="preserve">Data: Marzo 2026</w:t>
            </w:r>
            <w:r/>
          </w:p>
        </w:tc>
        <w:tc>
          <w:tcPr>
            <w:shd w:val="clear" w:color="auto" w:fill="f8faf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20" w:type="dxa"/>
            <w:vAlign w:val="center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sz w:val="20"/>
                <w:szCs w:val="20"/>
              </w:rPr>
              <w:t xml:space="preserve">Licenza: MIT</w:t>
            </w:r>
            <w:r/>
          </w:p>
        </w:tc>
      </w:tr>
    </w:tbl>
    <w:p>
      <w:pPr>
        <w:pBdr/>
        <w:spacing w:after="24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Executive Summary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sistema 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CATS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(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Contextual Ambiguity &amp; Trust Scoring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) è un sistema open-source per la valutazione automatizzata dell’affidabilità delle fonti OSINT (Open Source Intelligence). A differenza degli strumenti di fact-checking tradizionali, CATS non verifica la veridicità dei singoli contenuti, ma analizza i </w:t>
      </w:r>
      <w:r>
        <w:rPr>
          <w:rFonts w:ascii="Google Sans" w:hAnsi="Google Sans" w:eastAsia="Google Sans" w:cs="Google Sans"/>
          <w:i/>
          <w:iCs/>
          <w:color w:val="1f1f1f"/>
          <w:sz w:val="22"/>
          <w:szCs w:val="22"/>
        </w:rPr>
        <w:t xml:space="preserve">pattern comportamentali, linguistici e temporali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di una fonte nel tempo, restituendo un punteggio di fiducia ordinale (0–100) con spiegazione trasparente.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sistema implementa un pipeline in 9 fasi basato su FastAPI e Python 3.11, con quattro segnali analitici (coerenza, volatilità, silenzio, gaming), audit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cifrato AES-256-GCM, rate limiting distribuito via Redis e un’API GDPR-compliant con endpoint dedicati agli Artt. 13–22 del Regolamento (UE) 2016/679. Il sistema è classificato come AI a rischio limitato ai sensi dell’EU AI Act (Regolamento UE 2024/1689).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2409" w:type="dxa"/>
          </w:tcPr>
          <w:p w14:paraId="72EC9ACC"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4</w:t>
            </w:r>
            <w:r/>
            <w:r/>
          </w:p>
          <w:p w14:paraId="7238F5A4"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d0e8ff"/>
                <w:sz w:val="18"/>
                <w:szCs w:val="18"/>
              </w:rPr>
              <w:t xml:space="preserve">Segnali analitici</w:t>
            </w:r>
            <w:r/>
            <w:r/>
          </w:p>
        </w:tc>
        <w:tc>
          <w:tcPr>
            <w:shd w:val="clear" w:color="ffffff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2409" w:type="dxa"/>
          </w:tcPr>
          <w:p w14:paraId="236885A4"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9</w:t>
            </w:r>
            <w:r/>
            <w:r/>
          </w:p>
          <w:p w14:paraId="1A3B5174"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d0e8ff"/>
                <w:sz w:val="18"/>
                <w:szCs w:val="18"/>
              </w:rPr>
              <w:t xml:space="preserve">Fasi del pipeline</w:t>
            </w:r>
            <w:r/>
            <w:r/>
          </w:p>
        </w:tc>
        <w:tc>
          <w:tcPr>
            <w:shd w:val="clear" w:color="ffffff" w:fill="4472c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2409" w:type="dxa"/>
          </w:tcPr>
          <w:p w14:paraId="760C2978"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5</w:t>
            </w:r>
            <w:r/>
            <w:r/>
          </w:p>
          <w:p w14:paraId="59FA78FF"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d0e8ff"/>
                <w:sz w:val="18"/>
                <w:szCs w:val="18"/>
              </w:rPr>
              <w:t xml:space="preserve">Bande di rischio</w:t>
            </w:r>
            <w:r/>
            <w:r/>
          </w:p>
        </w:tc>
        <w:tc>
          <w:tcPr>
            <w:shd w:val="clear" w:color="ffffff" w:fill="00736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2409" w:type="dxa"/>
          </w:tcPr>
          <w:p w14:paraId="056FC2BD"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GDPR</w:t>
            </w:r>
            <w:r/>
            <w:r/>
          </w:p>
          <w:p w14:paraId="5DAD74B5"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d0e8ff"/>
                <w:sz w:val="18"/>
                <w:szCs w:val="18"/>
              </w:rPr>
              <w:t xml:space="preserve">Art. 13–22 compliant</w:t>
            </w:r>
            <w:r/>
            <w:r/>
          </w:p>
        </w:tc>
      </w:tr>
    </w:tbl>
    <w:p>
      <w:pPr>
        <w:pBdr/>
        <w:spacing w:after="24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1. Introduzione e Analisi del Problema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1.1 Il Problema della Fiducia nelle Fonti OSINT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L’intelligence open-source si basa sulla raccolta e analisi di informazioni da fonti pubbliche: social media, testate giornalistiche, forum, dataset aperti. La principale sfid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a operativa non è la disponibilità dei dati, ma la loro affidabilità: fonti che modificano sistematicamente la propria narrativa, che scompaiono per lunghi periodi, o che mostrano pattern di pubblicazione artificiale possono compromettere l’intera analisi.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La proliferazione di conten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uti generati da intelligenza artificiale ha reso la distinzione tra fonti autentiche e manipolate estremamente ardua. Gli strumenti attuali mancano di una memoria storica comportamentale che possa rilevare cambiamenti sistematici nella narrativa nel tempo.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1.2 Limiti dei Sistemi Esistenti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panorama attuale degli strumenti OSINT presenta tre limitazioni strutturali: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Approccio binario del fact-checking: i sistemi verificano il contenuto (vero/falso), richiedono intervento umano per ogni singolo claim e non scalano con i volumi moderni.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Assenza di memoria comportamentale: le fonti modificano i propri pattern per eludere il monitoraggio; gli strumenti attuali non tracciano l’evoluzione storica della fonte.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Mancanza di audit trail: l’assenza di spiegazioni trasparenti sul processo di valutazione rende i risultati difficili da verificare e riprodurre.</w:t>
      </w:r>
      <w:r/>
    </w:p>
    <w:p>
      <w:pPr>
        <w:pBdr/>
        <w:spacing w:after="80" w:before="0"/>
        <w:ind/>
        <w:rPr/>
      </w:pPr>
      <w:r/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1.3 Contesto Normativo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quadro normativo europeo — GDPR (Regolamento UE 2016/679) e EU AI Act (Regolamento UE 2024/1689) — ha imposto nuovi standard di trasparenza per i s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istemi che effettuano profilazione o decisioni automatizzate. CATS risponde a questi requisiti con endpoint dedicati per l’esercizio dei diritti di informazione e contestazione (Artt. 13–22 GDPR) e con documentazione pubblica delle limitazioni del modello.</w:t>
      </w:r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2. La Soluzione CATS: Trust Structural Evaluation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2.1 Visione Progettuale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CATS sposta il focus dalla </w:t>
      </w:r>
      <w:r>
        <w:rPr>
          <w:rFonts w:ascii="Google Sans" w:hAnsi="Google Sans" w:eastAsia="Google Sans" w:cs="Google Sans"/>
          <w:i/>
          <w:iCs/>
          <w:color w:val="1f1f1f"/>
          <w:sz w:val="22"/>
          <w:szCs w:val="22"/>
        </w:rPr>
        <w:t xml:space="preserve">validazione del messaggio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alla 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valutazione della fonte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. Il core concept si basa sull’idea che l’affidabilità sia una propri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età emergente dal comportamento storico di un’entità informativa. Analizzando come una fonte comunica, quanto è costante e se mostra segni di automazione, CATS assegna un punteggio di fiducia senza dover “conoscere” la verità assoluta di ogni singolo post.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2.2 Il Modello Analitico dei Quattro Segnali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34"/>
        <w:gridCol w:w="2891"/>
        <w:gridCol w:w="2602"/>
        <w:gridCol w:w="2411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4" w:type="dxa"/>
            <w:vAlign w:val="center"/>
          </w:tcPr>
          <w:p w14:paraId="225FF50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Segnale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7F35283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2" w:type="dxa"/>
            <w:vAlign w:val="center"/>
          </w:tcPr>
          <w:p w14:paraId="304906C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Metodo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11" w:type="dxa"/>
            <w:vAlign w:val="center"/>
          </w:tcPr>
          <w:p w14:paraId="2607DD5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Rileva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4" w:type="dxa"/>
            <w:vAlign w:val="center"/>
          </w:tcPr>
          <w:p w14:paraId="14869F3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Coerenza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73846F6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Stabilità delle entità nominate tra messaggi consecutivi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2" w:type="dxa"/>
            <w:vAlign w:val="center"/>
          </w:tcPr>
          <w:p w14:paraId="138AEFF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spaCy NER + Jaccard similarity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11" w:type="dxa"/>
            <w:vAlign w:val="center"/>
          </w:tcPr>
          <w:p w14:paraId="3AB63D9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Cambio improvviso di focus tematico o narrativa incoerente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4" w:type="dxa"/>
            <w:vAlign w:val="center"/>
          </w:tcPr>
          <w:p w14:paraId="150204B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Volatilità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72A5070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Variazioni brusche nel tono emotivo e nel sentiment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2" w:type="dxa"/>
            <w:vAlign w:val="center"/>
          </w:tcPr>
          <w:p w14:paraId="697B8AB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TextBlob + correzione negazione IT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11" w:type="dxa"/>
            <w:vAlign w:val="center"/>
          </w:tcPr>
          <w:p w14:paraId="064A884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Instabilità editoriale o manipolazione emotiva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4" w:type="dxa"/>
            <w:vAlign w:val="center"/>
          </w:tcPr>
          <w:p w14:paraId="1A3AE9D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Silenzio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0E29BD4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Gap temporali anomali rispetto alla baseline della fonte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2" w:type="dxa"/>
            <w:vAlign w:val="center"/>
          </w:tcPr>
          <w:p w14:paraId="5439EA5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Analisi gap vs. soglie per source_type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11" w:type="dxa"/>
            <w:vAlign w:val="center"/>
          </w:tcPr>
          <w:p w14:paraId="39709EB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Inattività sospetta o interruzioni nel flusso pubblicativo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34" w:type="dxa"/>
            <w:vAlign w:val="center"/>
          </w:tcPr>
          <w:p w14:paraId="158DDAE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Gaming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6E58196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Metriche di complessità lessicale e pattern di pubblicazione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2" w:type="dxa"/>
            <w:vAlign w:val="center"/>
          </w:tcPr>
          <w:p w14:paraId="0A98FED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TTR + ripetizione bigrammi + burst rate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11" w:type="dxa"/>
            <w:vAlign w:val="center"/>
          </w:tcPr>
          <w:p w14:paraId="5A8354B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Bot, automazione algoritmica, ripetizioni compulsive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2.3 Caratteristiche Distintive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CATS presenta tre caratteristiche distintive: (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a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) 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spiegabilità nativa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— ogni valutazione genera un trace_id che permette di ricostruire esattamente i segnali contribuenti, superando il limite delle piattaforme black-box; (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b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) 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conformità proattiva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— endpoint GDPR integrati nativamente fin dalla v1.0; (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c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) 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open source (MIT)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— codice auditabile pubblicamente, senza dipendenze da componenti proprietari.</w:t>
      </w:r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3. Architettura Tecnica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3.1 Panoramica del Sistema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CATS è una REST API a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sincrona costruita su FastAPI (Python 3.11), con storage persistente su PostgreSQL 16 e rate limiting distribuito su Redis 7. Il deployment è containerizzato con Docker multi-stage (utente non-root, filesystem read-only) e nginx come reverse proxy TLS 1.3.</w:t>
      </w:r>
      <w:r/>
    </w:p>
    <w:p>
      <w:pPr>
        <w:pBdr/>
        <w:spacing w:after="60" w:before="0"/>
        <w:ind/>
        <w:rPr/>
      </w:pPr>
      <w:r/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Client (HTTPS + Bearer Token)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|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nginx  (TLS 1.3 · rate 30 req/min per IP)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|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FastAPI  —  9-phase evaluation pipeline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|_________________________|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Redis 7                 PostgreSQL 16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(rate limiting)         (AES-256-GCM audit + APScheduler purge)</w:t>
      </w:r>
      <w:r/>
    </w:p>
    <w:p>
      <w:pPr>
        <w:pBdr/>
        <w:spacing w:after="240" w:before="60"/>
        <w:ind/>
        <w:jc w:val="center"/>
        <w:rPr/>
      </w:pPr>
      <w:r>
        <w:rPr>
          <w:rFonts w:ascii="Google Sans" w:hAnsi="Google Sans" w:eastAsia="Google Sans" w:cs="Google Sans"/>
          <w:i/>
          <w:iCs/>
          <w:color w:val="444746"/>
          <w:sz w:val="18"/>
          <w:szCs w:val="18"/>
        </w:rPr>
        <w:t xml:space="preserve">Figura 1 — Architettura di sistema CATS v1.0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3.2 Il Pipeline di Valutazione (9 Fasi)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Ogni chiamata a POST /v1/cats/evaluate attraversa le seguenti fasi in sequenza: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2200"/>
        <w:gridCol w:w="67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1D1A1AD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Fase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3AD3875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Modulo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242C8D4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2760236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1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132EF3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normalize_messages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4A72859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Validazione, ordinamento UTC, deduplicazione messaggi in input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63829B2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2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4DD5B1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compute_coherence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6A1412E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Estrazione entità (spaCy NER) e calcolo Jaccard similarity tra messaggi consecutivi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0836270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3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F8D9F2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compute_volatility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377DB1E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Rilevamento spike di sentiment (TextBlob + correzione negazione italiana)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1747C32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4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1BD043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compute_silence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1C10D1D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Analisi gap temporali anomali rispetto alle soglie per tipo di fonte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4C6949A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5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2FBFEEB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compute_gaming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2B07CFF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Calcolo TTR, ripetizione bigrammi, burst rate, diversità lessicale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6D234C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6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68D70CA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get_dynamic_weights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094BC26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Selezione matrice pesi contestuale (social / news / default)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5A7CD5F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7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0147EFC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aggregate_score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2CDB37A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Media ponderata dei quattro segnali → score 0–100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7025A2B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8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4F480E0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determine_band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30663AD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Classificazione ordinale in 5 bande di affidabilità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 w14:paraId="152FB1B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9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 w14:paraId="5F062EA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log_evaluation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38" w:type="dxa"/>
            <w:vAlign w:val="center"/>
          </w:tcPr>
          <w:p w14:paraId="2E1BC1E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Scrittura audit log cifrato AES-256-GCM in PostgreSQL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4. Segnali Analitici — Dettaglio Tecnico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4.1 Coerenza (Coherence)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Misura la consistenza tematica di una fonte nel tempo tramite Named Entity Recognition (NER) via spaCy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it_core_news_lg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, estraendo entità di tipo PER, ORG, GPE, LOC. La coerenza è la media delle similarità di Jaccard tra coppie consecutive:</w:t>
      </w:r>
      <w:r/>
    </w:p>
    <w:p>
      <w:pPr>
        <w:pBdr/>
        <w:shd w:val="clear" w:color="auto" w:fill="eceff1"/>
        <w:spacing w:after="80" w:before="80"/>
        <w:ind/>
        <w:jc w:val="center"/>
        <w:rPr/>
      </w:pPr>
      <w:r>
        <w:rPr>
          <w:rFonts w:ascii="Courier New" w:hAnsi="Courier New" w:eastAsia="Courier New" w:cs="Courier New"/>
          <w:b/>
          <w:bCs/>
          <w:color w:val="37474f"/>
          <w:sz w:val="22"/>
          <w:szCs w:val="22"/>
        </w:rPr>
        <w:t xml:space="preserve">Jaccard(A, B)  =  |A ∩ B|  /  |A ∪ B|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Una coerenza bassa indica che la fonte cambia sistematicamente i soggetti discussi: segnale di incoerenza narrativa o cambio di orientamento editoriale.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4.2 Volatilità (Volatility)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Rileva variazioni brusche nel tono narrativo. Il sentiment di ciascun messaggio è calcolato via TextBlob con correzione per la negazione italiana (parole-chiave: </w:t>
      </w:r>
      <w:r>
        <w:rPr>
          <w:rFonts w:ascii="Google Sans" w:hAnsi="Google Sans" w:eastAsia="Google Sans" w:cs="Google Sans"/>
          <w:i/>
          <w:iCs/>
          <w:color w:val="1f1f1f"/>
          <w:sz w:val="22"/>
          <w:szCs w:val="22"/>
        </w:rPr>
        <w:t xml:space="preserve">non, no, mai, niente, nessuno, senza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). Uno spike è definito come |delta_sentiment| &gt; 0.4 tra messaggi consecutivi.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4.3 Silenzio (Silence)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Rileva gap temporali anomali nel ritmo di pubblicazione. La soglia default è 72 ore, configurabile per tipo di fonte. Il punteggio è la percentuale di gap superiori alla soglia rispetto al totale.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4.4 Gaming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Rileva pattern di manipolazione algoritmica attraverso quattro sotto-metriche: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20"/>
        <w:gridCol w:w="2891"/>
        <w:gridCol w:w="4627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293DA4D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Metrica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6547FF3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Formula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27" w:type="dxa"/>
            <w:vAlign w:val="center"/>
          </w:tcPr>
          <w:p w14:paraId="50CC45C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Rileva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71E4ED1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TTR (Type-Token Ratio)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1C55C10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1 − |vocab_unici| / |token_totali|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27" w:type="dxa"/>
            <w:vAlign w:val="center"/>
          </w:tcPr>
          <w:p w14:paraId="43F35D3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Bassa diversità lessicale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EAADB9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Repetition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54937F1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max(freq_bigrammi − 1) / 10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27" w:type="dxa"/>
            <w:vAlign w:val="center"/>
          </w:tcPr>
          <w:p w14:paraId="178C12E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Ripetizione compulsiva di frasi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1556BE3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Burst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7073937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% intervalli &lt; avg/3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27" w:type="dxa"/>
            <w:vAlign w:val="center"/>
          </w:tcPr>
          <w:p w14:paraId="71E689D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Pattern di pubblicazione a raffiche (bot)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F4E815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Vocab Diversity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  <w:vAlign w:val="center"/>
          </w:tcPr>
          <w:p w14:paraId="366B245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1 − |unici| / |totale| (per testi &gt;50 token)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27" w:type="dxa"/>
            <w:vAlign w:val="center"/>
          </w:tcPr>
          <w:p w14:paraId="5D5C5A8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Lessico artificialmente omogeneo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5. Modello di Scoring e Classificazione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5.1 Aggregazione Ponderata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trust score finale è la media ponderata dei quattro segnali:</w:t>
      </w:r>
      <w:r/>
    </w:p>
    <w:p>
      <w:pPr>
        <w:pBdr/>
        <w:shd w:val="clear" w:color="auto" w:fill="eceff1"/>
        <w:spacing w:after="80" w:before="80"/>
        <w:ind/>
        <w:jc w:val="center"/>
        <w:rPr/>
      </w:pPr>
      <w:r>
        <w:rPr>
          <w:rFonts w:ascii="Courier New" w:hAnsi="Courier New" w:eastAsia="Courier New" w:cs="Courier New"/>
          <w:b/>
          <w:bCs/>
          <w:color w:val="37474f"/>
          <w:sz w:val="22"/>
          <w:szCs w:val="22"/>
        </w:rPr>
        <w:t xml:space="preserve">score  =  Σ (signal_i × weight_i)  /  Σ (weight_i)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5.2 Matrice dei Pesi per Tipo di Fonte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01A5501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 fonte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6540D66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Coerenza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6021101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Volatilità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4FB8B56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Silenzio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  <w:vAlign w:val="center"/>
          </w:tcPr>
          <w:p w14:paraId="6CD4E02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Gaming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1A9594B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social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2438621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0.25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4858444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0.30 ★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383EEE4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0.20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  <w:vAlign w:val="center"/>
          </w:tcPr>
          <w:p w14:paraId="444DE57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0.25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7FEC1C3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news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692053A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0.35 ★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52BCBBF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0.20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3C24C19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0.25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  <w:vAlign w:val="center"/>
          </w:tcPr>
          <w:p w14:paraId="364AB17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0.20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669918D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default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0313B00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0.30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30F363E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0.25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 w14:paraId="12F5AB5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0.25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  <w:vAlign w:val="center"/>
          </w:tcPr>
          <w:p w14:paraId="7E7BA3F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0.20</w:t>
            </w:r>
            <w:r/>
            <w:r/>
          </w:p>
        </w:tc>
      </w:tr>
    </w:tbl>
    <w:p>
      <w:pPr>
        <w:pBdr/>
        <w:spacing w:after="240" w:before="60"/>
        <w:ind/>
        <w:jc w:val="center"/>
        <w:rPr/>
      </w:pPr>
      <w:r>
        <w:rPr>
          <w:rFonts w:ascii="Google Sans" w:hAnsi="Google Sans" w:eastAsia="Google Sans" w:cs="Google Sans"/>
          <w:i/>
          <w:iCs/>
          <w:color w:val="444746"/>
          <w:sz w:val="18"/>
          <w:szCs w:val="18"/>
        </w:rPr>
        <w:t xml:space="preserve">La somma dei pesi per ogni tipo di fonte = 1.0 (verificata a compile-time).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5.3 Bande di Affidabilità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500"/>
        <w:gridCol w:w="2400"/>
        <w:gridCol w:w="57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 w14:paraId="529A200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Score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 w14:paraId="0F03A86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Banda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  <w:vAlign w:val="center"/>
          </w:tcPr>
          <w:p w14:paraId="5883C7B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Azione raccomandata</w:t>
            </w:r>
            <w:r/>
            <w:r/>
          </w:p>
        </w:tc>
      </w:tr>
      <w:tr>
        <w:trPr/>
        <w:tc>
          <w:tcPr>
            <w:shd w:val="clear" w:color="ffffff" w:fill="d4ed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00" w:type="dxa"/>
          </w:tcPr>
          <w:p w14:paraId="72F2D12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80–100</w:t>
            </w:r>
            <w:r/>
            <w:r/>
          </w:p>
        </w:tc>
        <w:tc>
          <w:tcPr>
            <w:shd w:val="clear" w:color="ffffff" w:fill="d4ed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2FA169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20"/>
                <w:szCs w:val="20"/>
              </w:rPr>
              <w:t xml:space="preserve">high</w:t>
            </w:r>
            <w:r/>
            <w:r/>
          </w:p>
        </w:tc>
        <w:tc>
          <w:tcPr>
            <w:shd w:val="clear" w:color="ffffff" w:fill="d4ed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</w:tcPr>
          <w:p w14:paraId="689CC5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Fonte usabile per OSINT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00" w:type="dxa"/>
          </w:tcPr>
          <w:p w14:paraId="1BBC4A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60–79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2A9562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20"/>
                <w:szCs w:val="20"/>
              </w:rPr>
              <w:t xml:space="preserve">medium_high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</w:tcPr>
          <w:p w14:paraId="11FE6F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Cross-validare le affermazioni principali</w:t>
            </w:r>
            <w:r/>
            <w:r/>
          </w:p>
        </w:tc>
      </w:tr>
      <w:tr>
        <w:trPr/>
        <w:tc>
          <w:tcPr>
            <w:shd w:val="clear" w:color="ffffff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00" w:type="dxa"/>
          </w:tcPr>
          <w:p w14:paraId="0887272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40–59</w:t>
            </w:r>
            <w:r/>
            <w:r/>
          </w:p>
        </w:tc>
        <w:tc>
          <w:tcPr>
            <w:shd w:val="clear" w:color="ffffff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593E07B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20"/>
                <w:szCs w:val="20"/>
              </w:rPr>
              <w:t xml:space="preserve">medium</w:t>
            </w:r>
            <w:r/>
            <w:r/>
          </w:p>
        </w:tc>
        <w:tc>
          <w:tcPr>
            <w:shd w:val="clear" w:color="ffffff" w:fill="fff3c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</w:tcPr>
          <w:p w14:paraId="6082C2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Review umana raccomandata</w:t>
            </w:r>
            <w:r/>
            <w:r/>
          </w:p>
        </w:tc>
      </w:tr>
      <w:tr>
        <w:trPr/>
        <w:tc>
          <w:tcPr>
            <w:shd w:val="clear" w:color="ffffff" w:fill="fdece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00" w:type="dxa"/>
          </w:tcPr>
          <w:p w14:paraId="70C214F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20–39</w:t>
            </w:r>
            <w:r/>
            <w:r/>
          </w:p>
        </w:tc>
        <w:tc>
          <w:tcPr>
            <w:shd w:val="clear" w:color="ffffff" w:fill="fdece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059588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20"/>
                <w:szCs w:val="20"/>
              </w:rPr>
              <w:t xml:space="preserve">low</w:t>
            </w:r>
            <w:r/>
            <w:r/>
          </w:p>
        </w:tc>
        <w:tc>
          <w:tcPr>
            <w:shd w:val="clear" w:color="ffffff" w:fill="fdece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</w:tcPr>
          <w:p w14:paraId="60D74E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Review umana obbligatoria</w:t>
            </w:r>
            <w:r/>
            <w:r/>
          </w:p>
        </w:tc>
      </w:tr>
      <w:tr>
        <w:trPr/>
        <w:tc>
          <w:tcPr>
            <w:shd w:val="clear" w:color="ffffff" w:fill="f5c6c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00" w:type="dxa"/>
          </w:tcPr>
          <w:p w14:paraId="2D8219C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0–19</w:t>
            </w:r>
            <w:r/>
            <w:r/>
          </w:p>
        </w:tc>
        <w:tc>
          <w:tcPr>
            <w:shd w:val="clear" w:color="ffffff" w:fill="f5c6c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584435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404040"/>
                <w:sz w:val="20"/>
                <w:szCs w:val="20"/>
              </w:rPr>
              <w:t xml:space="preserve">very_low</w:t>
            </w:r>
            <w:r/>
            <w:r/>
          </w:p>
        </w:tc>
        <w:tc>
          <w:tcPr>
            <w:shd w:val="clear" w:color="ffffff" w:fill="f5c6c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38" w:type="dxa"/>
          </w:tcPr>
          <w:p w14:paraId="0ED3B15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Non utilizzare senza validazione indipendente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6. API Reference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6.1 Autenticazione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Tutte le chiamate richiedono l’header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Authorization: Bearer &lt;API_KEY&gt;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. Il sistema supporta la rotazione a doppia chiave (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cats_api_key + cats_api_key_prev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) per aggiornamenti di sicurezza senza downtime.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6.2 Endpoint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80"/>
        <w:gridCol w:w="3000"/>
        <w:gridCol w:w="605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0" w:type="dxa"/>
            <w:vAlign w:val="center"/>
          </w:tcPr>
          <w:p w14:paraId="0790C41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Metodo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 w14:paraId="2628C0E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Path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  <w:vAlign w:val="center"/>
          </w:tcPr>
          <w:p w14:paraId="47DC2D0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77E50AC5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POST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602516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/v1/cats/evaluate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3D7A045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Pipeline completo: score, banda, segnali, requires_review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4DD62FB6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GET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06C09B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/v1/cats/explain/{trace_id}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05F9DB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GDPR Art.14/22 — scomposizione del punteggio con disclaimer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571D6F25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POST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6769F6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/v1/cats/contest/{trace_id}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130391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GDPR Art.22 — contestazione di una decisione automatizzata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28421D28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POST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7ECD03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/v1/cats/review/{trace_id}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09BC79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Registra richiesta di revisione umana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72143D40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GET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20AB91A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/v1/cats/stats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496AA5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Statistiche aggregate (totale valutazioni, media score, bande)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3C05D325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GET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615A6E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/health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66C643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Health check profondo: API + Redis + PostgreSQL + NLP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60" w:type="dxa"/>
              <w:top w:w="80" w:type="dxa"/>
              <w:right w:w="60" w:type="dxa"/>
              <w:bottom w:w="80" w:type="dxa"/>
            </w:tcMar>
            <w:tcW w:w="580" w:type="dxa"/>
          </w:tcPr>
          <w:p w14:paraId="635896BA"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3a5c"/>
                <w:sz w:val="18"/>
                <w:szCs w:val="18"/>
              </w:rPr>
              <w:t xml:space="preserve">GET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 w14:paraId="37ACE9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404040"/>
                <w:sz w:val="18"/>
                <w:szCs w:val="18"/>
              </w:rPr>
              <w:t xml:space="preserve">/metrics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8" w:type="dxa"/>
          </w:tcPr>
          <w:p w14:paraId="494DDB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18"/>
                <w:szCs w:val="18"/>
              </w:rPr>
              <w:t xml:space="preserve">Endpoint Prometheus (placeholder — da integrare con prometheus-client)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6.3 Esempio di Richiesta e Risposta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POST /v1/cats/evaluate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Authorization: Bearer &lt;API_KEY&gt;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Content-Type: application/json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{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"source_id": "twitter:example_handle",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"messages": [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{"timestamp": "2026-01-01T08:00:00Z", "text": "Governo annuncia piano economico."},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{"timestamp": "2026-01-01T09:00:00Z", "text": "Protesta dei lavoratori in piazza."},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{"timestamp": "2026-01-01T10:00:00Z", "text": "Parlamento discute la legge di bilancio."}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],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"context": {"source_type": "social"}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}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// Risposta 200 OK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{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"trace_id": "550e8400-e29b-41d4-a716-446655440000",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"score": 68.4,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"band": "medium_high",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"requires_review": false,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"signals": [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{"name": "coherence",  "value": 71.2, "confidence": 0.30},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{"name": "volatility", "value": 55.0, "confidence": 0.15},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{"name": "silence",    "value": 0.0,  "confidence": 0.10},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  {"name": "gaming",     "value": 12.8, "confidence": 0.06}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  ]</w:t>
      </w:r>
      <w:r/>
    </w:p>
    <w:p>
      <w:pPr>
        <w:pBdr/>
        <w:shd w:val="clear" w:color="auto" w:fill="eceff1"/>
        <w:spacing w:after="0" w:before="0"/>
        <w:ind w:right="240" w:left="240"/>
        <w:rPr/>
      </w:pPr>
      <w:r>
        <w:rPr>
          <w:rFonts w:ascii="Courier New" w:hAnsi="Courier New" w:eastAsia="Courier New" w:cs="Courier New"/>
          <w:color w:val="37474f"/>
          <w:sz w:val="18"/>
          <w:szCs w:val="18"/>
        </w:rPr>
        <w:t xml:space="preserve">}</w:t>
      </w:r>
      <w:r/>
    </w:p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7. Sicurezza, Resilienza e Conformità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7.1 Controlli di Sicurezza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295CD0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Controllo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46EF8DE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65406CE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Auth API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001BF2C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Bearer token + rotazione doppia chiave senza downtime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0B10E8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JWT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3535487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RS256 con keypair RSA 2048 rigenerata a ogni avvio di processo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1C4BBF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Rate Limiting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2BC438F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Sliding-window Lua su Redis, 30 req/min per IP (atomico)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1FFF051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Audit Log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5559710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AES-256-GCM con nonce random 96 bit; chiave validata a 32 byte esatti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4B9D1A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Parsing IP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12F36B6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X-Forwarded-For: primo IP estratto in sicurezza dietro proxy multi-hop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0193E24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Container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313891A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Utente non-root, filesystem read-only, no-new-privileges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D1F2DC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TLS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7FEB4F4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nginx TLS 1.2+/1.3, cipher suite HIGH:!aNULL:!MD5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D00819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GDPR Purge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2A50651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APScheduler notturno con distributed lock Redis (max_instances=1, retention 90 gg)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7.2 Conformità GDPR (Regolamento UE 2016/679)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200"/>
        <w:gridCol w:w="3600"/>
        <w:gridCol w:w="48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3DCB5FD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Articolo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 w14:paraId="00E9243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Obbligo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center"/>
          </w:tcPr>
          <w:p w14:paraId="592475E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Implementazione CATS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4096F8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Art. 5(1)(e)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 w14:paraId="7A83500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Limitazione della conservazione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center"/>
          </w:tcPr>
          <w:p w14:paraId="4A98332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Retention 90 giorni; purge notturno con lock distribuito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004D8B2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Art. 13–14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 w14:paraId="445B9D6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Trasparenza e informazione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center"/>
          </w:tcPr>
          <w:p w14:paraId="52B2B8B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GET /explain/{trace_id}: scomposizione + disclaimer obbligatorio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5E57A8D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Art. 22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 w14:paraId="7C69165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Diritto di non essere soggetto a decisioni automatizzate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center"/>
          </w:tcPr>
          <w:p w14:paraId="0C91DFB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POST /contest/{trace_id}; flag requires_review; endpoint /review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24ED0B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Art. 25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 w14:paraId="3BD0A80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Privacy by design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center"/>
          </w:tcPr>
          <w:p w14:paraId="667E15C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Audit cifrato; nessun dato personale grezzo in trust_scores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7BA380B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Art. 32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0" w:type="dxa"/>
            <w:vAlign w:val="center"/>
          </w:tcPr>
          <w:p w14:paraId="1F90855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Sicurezza del trattamento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38" w:type="dxa"/>
            <w:vAlign w:val="center"/>
          </w:tcPr>
          <w:p w14:paraId="19A2E5D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TLS 1.3; AES-256-GCM; utente non-root; rate limiting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7.3 EU AI Act (Regolamento UE 2024/1689)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CATS è classificato come </w:t>
      </w:r>
      <w:r>
        <w:rPr>
          <w:rFonts w:ascii="Google Sans" w:hAnsi="Google Sans" w:eastAsia="Google Sans" w:cs="Google Sans"/>
          <w:b/>
          <w:bCs/>
          <w:color w:val="1f1f1f"/>
          <w:sz w:val="22"/>
          <w:szCs w:val="22"/>
        </w:rPr>
        <w:t xml:space="preserve">sistema AI a rischio limitato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ai sensi dell’art. 6(2) / Allegato III. Le obbligazion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 di trasparenza sono soddisfatte tramite: (a) endpoint /explain per ogni valutazione; (b) disclaimer obbligatorio (WP 4.1/4.3); (c) documentazione pubblica delle limitazioni; (d) supervisione umana garantita da requires_review e endpoint di contestazione.</w:t>
      </w:r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8. Casi d’Uso e Modello Operativo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8.1 Validazione di Fonti Social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Scenario tipico: analisi di un account che pubblica contenuti su eventi di attualità. CATS esamina la serie storica dei messaggi e calcola i quattro segnali. Se rileva un segnale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gaming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elevato (TTR basso + burst rate alto) o un segnale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coherence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in forte calo, emette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requires_review: true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e registra l’audit cifrato per la tracciabilità della decisione.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8.2 Validazione di Fonti nel Contesto CTI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Nel contesto della Cyber Threat Intelligence, un team di sicurezza analizza lo storico di un account che ha pubblicato presunte prove di una violazione. CATS calcola il segnale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volatility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: variazioni brusche di sentiment in breve periodo possono indicare contenuto generato artificialmente o disinformazione. Il trace_id consente la ricostruzione completa del processo di valutazione.</w:t>
      </w:r>
      <w:r/>
    </w:p>
    <w:p>
      <w:pPr>
        <w:pStyle w:val="729"/>
        <w:pBdr/>
        <w:spacing w:after="120" w:before="24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8"/>
          <w:szCs w:val="28"/>
        </w:rPr>
        <w:t xml:space="preserve">8.3 Modello di Interazione Umano-Sistema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CATS non sostituisce l’analista, ma agisce come primo livello di triage automatizzato. Il sistema gestisce la valutazione su scala, mentre l’analista interviene per risolvere le ambiguità segnalate dal flag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requires_review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.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7CF1A0B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Profilo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6DF6036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Interazione con il sistema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4" w:type="dxa"/>
            <w:vAlign w:val="center"/>
          </w:tcPr>
          <w:p w14:paraId="2B787DF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Output ottenuto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5370871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Analista OSINT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7F5E871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POST /v1/cats/evaluate con set di messaggi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4" w:type="dxa"/>
            <w:vAlign w:val="center"/>
          </w:tcPr>
          <w:p w14:paraId="6C308FB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Score, banda di rischio e lista segnali per ogni fonte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7CF7084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Operatore Compliance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2645B3A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GET /v1/cats/explain/{trace_id}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4" w:type="dxa"/>
            <w:vAlign w:val="center"/>
          </w:tcPr>
          <w:p w14:paraId="408B109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Scomposizione completa del punteggio con disclaimer GDPR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423601E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Sviluppatore / DevSecOps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  <w:vAlign w:val="center"/>
          </w:tcPr>
          <w:p w14:paraId="75C9089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GET /health e /metrics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4" w:type="dxa"/>
            <w:vAlign w:val="center"/>
          </w:tcPr>
          <w:p w14:paraId="1AEA29D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Stato dei componenti e metriche operative del pipeline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9. Rischi e Mitigazioni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445"/>
        <w:gridCol w:w="2698"/>
        <w:gridCol w:w="2698"/>
        <w:gridCol w:w="2797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5" w:type="dxa"/>
            <w:vAlign w:val="center"/>
          </w:tcPr>
          <w:p w14:paraId="1BB4702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774CCB3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Rischio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6D0CE0E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Probabilità / Impatto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97" w:type="dxa"/>
            <w:vAlign w:val="center"/>
          </w:tcPr>
          <w:p w14:paraId="69C91B8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5" w:type="dxa"/>
            <w:vAlign w:val="center"/>
          </w:tcPr>
          <w:p w14:paraId="4F569D8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Tecnico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7F6F9A3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Accuratezza NLP al 55–62% (v1.0) insufficiente per use case critici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605E50D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Media / Alto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97" w:type="dxa"/>
            <w:vAlign w:val="center"/>
          </w:tcPr>
          <w:p w14:paraId="4B0C0D4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Roadmap v1.1–2.0: BERT + Sentence-BERT; disclaimer obbligatori WP 4.1/4.3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5" w:type="dxa"/>
            <w:vAlign w:val="center"/>
          </w:tcPr>
          <w:p w14:paraId="569EFE4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Tecnico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6356141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Parametri non calibrati su dataset reali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783881C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Media / Medio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97" w:type="dxa"/>
            <w:vAlign w:val="center"/>
          </w:tcPr>
          <w:p w14:paraId="6DEBF53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Raccolta dataset etichettati in roadmap v1.2; validazione AUC-ROC in v2.0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5" w:type="dxa"/>
            <w:vAlign w:val="center"/>
          </w:tcPr>
          <w:p w14:paraId="53E9A7A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Operativo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48DD80E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Single point of failure su Redis o PostgreSQL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7526BFB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Bassa / Alto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97" w:type="dxa"/>
            <w:vAlign w:val="center"/>
          </w:tcPr>
          <w:p w14:paraId="4E9E523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Healthcheck profondo; pool di connessioni configurabile; replica Redis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5" w:type="dxa"/>
            <w:vAlign w:val="center"/>
          </w:tcPr>
          <w:p w14:paraId="69F8BE4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Normativo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217A194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Evoluzione del quadro EU AI Act oltre rischio limitato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3084163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Bassa / Alto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97" w:type="dxa"/>
            <w:vAlign w:val="center"/>
          </w:tcPr>
          <w:p w14:paraId="6857F31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Monitoraggio normativo continuo; architettura modulare per aggiungere controlli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5" w:type="dxa"/>
            <w:vAlign w:val="center"/>
          </w:tcPr>
          <w:p w14:paraId="75288F7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Linguistico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43BF308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Accuratezza degradata per lingue non italiane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98" w:type="dxa"/>
            <w:vAlign w:val="center"/>
          </w:tcPr>
          <w:p w14:paraId="3E575C3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Alta / Medio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97" w:type="dxa"/>
            <w:vAlign w:val="center"/>
          </w:tcPr>
          <w:p w14:paraId="777AECB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Roadmap multilingua; nota nei disclaimer; modello pluggabile per lingua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10. Stack Tecnico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20"/>
        <w:gridCol w:w="2120"/>
        <w:gridCol w:w="539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542189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7BCBF3C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29CF2CE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Versione / Note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7F5F55D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API Framework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6EF1C3C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FastAPI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335F9DF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0.109.0 — async, Pydantic v2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20133EC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Runtime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288D992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Python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7E1077A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3.11+ — asyncio nativo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2BC45C5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Database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7BD6C42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PostgreSQL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3046074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16 Alpine — JSONB per segnali e audit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14EA399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Cache / Rate-limit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6D80AE7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Redis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6CBB46C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7 Alpine — Lua sliding-window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088327A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ORM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5F46AC3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SQLAlchemy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1489026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2.0.25 — async, connection pooling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2079243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Migrazioni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670B842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Alembic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75F234B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1.13.1 — async engine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4802101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NLP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0278BE7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spaCy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17CEF68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3.7.2 + it_core_news_lg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24BDDF8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Sentiment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4DFA9C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TextBlob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54DF15F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0.18.0 + correzione negazione IT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82DB78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Auth / Crypto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652230F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python-jose + cryptography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28178AC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RS256 JWT + AES-256-GCM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3FA7C3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Logging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14CE3D1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structlog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15DE5A6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24.1.0 — JSON renderer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1B7F04E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Scheduler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1C1D706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APScheduler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63A0AF6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3.10.4 — AsyncIOScheduler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7BD2469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Proxy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6E78562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nginx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7CAB8A6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1.25 Alpine — TLS 1.3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095ED4C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Container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  <w:vAlign w:val="center"/>
          </w:tcPr>
          <w:p w14:paraId="34587EA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Docker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98" w:type="dxa"/>
            <w:vAlign w:val="center"/>
          </w:tcPr>
          <w:p w14:paraId="7CF3128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Multi-stage build, utente non-root, read-only FS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11. Roadmap e Milestones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200"/>
        <w:gridCol w:w="1600"/>
        <w:gridCol w:w="68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 w14:paraId="36D5988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 w14:paraId="0F790E6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Target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75B311E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 chiave</w:t>
            </w:r>
            <w:r/>
            <w:r/>
          </w:p>
        </w:tc>
      </w:tr>
      <w:tr>
        <w:trPr/>
        <w:tc>
          <w:tcPr>
            <w:shd w:val="clear" w:color="ffffff" w:fill="d4ed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4A69ED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✅ v1.0</w:t>
            </w:r>
            <w:r/>
            <w:r/>
          </w:p>
        </w:tc>
        <w:tc>
          <w:tcPr>
            <w:shd w:val="clear" w:color="ffffff" w:fill="d4ed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09569E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Ora</w:t>
            </w:r>
            <w:r/>
            <w:r/>
          </w:p>
        </w:tc>
        <w:tc>
          <w:tcPr>
            <w:shd w:val="clear" w:color="ffffff" w:fill="d4edd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</w:tcPr>
          <w:p w14:paraId="75D129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spaCy NER · pipeline 9 fasi · API GDPR · Docker · CI/CD GitHub Actions · white paper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335ED2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v1.1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257596D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Q2 2026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</w:tcPr>
          <w:p w14:paraId="151A3E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BERT sentiment italiano (sostituisce TextBlob) · multi-tenant PostgreSQL · endpoint /batch · Prometheus metrics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541A21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v1.2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5475F4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Q3 2026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</w:tcPr>
          <w:p w14:paraId="48852C7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Sentence-BERT per coerenza · SHAP explainer · supporto multilingua (EN, FR, DE)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0AAFD4C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v2.0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</w:tcPr>
          <w:p w14:paraId="7EAABE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2027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</w:tcPr>
          <w:p w14:paraId="49C1C2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AUC-ROC ≥ 0.78 su dataset etichettato · EU AI Act Annex IX · calibrazione empirica parametri</w:t>
            </w:r>
            <w:r/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12. Conclusioni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CATS v1.0 fornisce un sistema funzionale e production-ready per la valutazione automatizzata dell’affidabilità delle fonti OSINT, con un approccio trasparente, esplicabile e conforme alle principali normative europee (GDPR e EU AI Act).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sistema è progettato con consapevolezza dei propri limiti: la documentazione delle limitazioni (WP 4.1), i disclaimer obbligatori sulle risposte (WP 4.3), e il flag </w:t>
      </w:r>
      <w:r>
        <w:rPr>
          <w:rFonts w:ascii="Courier New" w:hAnsi="Courier New" w:eastAsia="Courier New" w:cs="Courier New"/>
          <w:color w:val="37474f"/>
          <w:sz w:val="22"/>
          <w:szCs w:val="22"/>
        </w:rPr>
        <w:t xml:space="preserve">requires_review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 garantiscono che CATS sia usato com</w:t>
      </w: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e strumento di supporto alla decisione e non come sostituto del giudizio umano. La roadmap verso v2.0 prevede la sostituzione dei modelli NLP rule-based con approcci transformer (BERT, Sentence-BERT, SHAP) e la calibrazione empirica su dataset etichettati.</w:t>
      </w:r>
      <w:r/>
    </w:p>
    <w:p>
      <w:pPr>
        <w:pBdr/>
        <w:spacing w:after="80" w:before="0"/>
        <w:ind/>
        <w:rPr/>
      </w:pPr>
      <w:r/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ffffff" w:fill="d5e8f4"/>
            <w:tcBorders>
              <w:top w:val="single" w:color="2e75b6" w:sz="4" w:space="0"/>
              <w:left w:val="single" w:color="2e75b6" w:sz="16" w:space="0"/>
              <w:bottom w:val="single" w:color="2e75b6" w:sz="4" w:space="0"/>
              <w:right w:val="single" w:color="2e75b6" w:sz="4" w:space="0"/>
            </w:tcBorders>
            <w:tcMar>
              <w:left w:w="240" w:type="dxa"/>
              <w:top w:w="160" w:type="dxa"/>
              <w:right w:w="240" w:type="dxa"/>
              <w:bottom w:w="160" w:type="dxa"/>
            </w:tcMar>
            <w:tcW w:w="9638" w:type="dxa"/>
          </w:tcPr>
          <w:p w14:paraId="0BDAFBC9"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 xml:space="preserve">Disclaimer (WP 4.1 / WP 4.3)</w:t>
            </w:r>
            <w:r/>
            <w:r/>
          </w:p>
          <w:p w14:paraId="5C8715E3">
            <w:pPr>
              <w:pBdr/>
              <w:spacing w:after="0" w:before="0"/>
              <w:ind/>
              <w:jc w:val="both"/>
              <w:rPr/>
            </w:pP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I p</w:t>
            </w:r>
            <w:r>
              <w:rPr>
                <w:rFonts w:ascii="Arial" w:hAnsi="Arial" w:eastAsia="Arial" w:cs="Arial"/>
                <w:color w:val="404040"/>
                <w:sz w:val="20"/>
                <w:szCs w:val="20"/>
              </w:rPr>
              <w:t xml:space="preserve">unteggi CATS sono classificazioni ordinali dei pattern di affidabilità delle fonti, non probabilità assolute. L’accuratezza NLP è stimata al 55–62% (v1.0); i parametri non sono calibrati empiricamente. Non adatti come unico criterio per decisioni autonome.</w:t>
            </w:r>
            <w:r/>
            <w:r/>
          </w:p>
        </w:tc>
      </w:tr>
    </w:tbl>
    <w:p>
      <w:pPr>
        <w:pBdr/>
        <w:spacing w:after="24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Appendice A — File di Documentazione del Repository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Il repository GitHub include i seguenti file di documentazione, referenziati nel README: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452C03B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File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1F91D06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22B72FD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docs/api.md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6E7218B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Reference completa di tutti gli endpoint, parametri, esempi di request/response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038C042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docs/architecture.md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00EC596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Algoritmi dei segnali, matrice dei pesi, security design dettagliato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1C91B6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docs/compliance.md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07C1760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Mapping GDPR Art. 5/13/22/25/32 e EU AI Act — implementazione CATS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71E23DC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CHANGELOG.md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0C543E4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Cronologia delle versioni in formato Keep a Changelog + Semantic Versioning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375BD2E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CONTRIBUTING.md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110C743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Guida allo sviluppo: setup, standard di codice, procedura per aggiungere un segnale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 w14:paraId="5159B25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SECURITY.md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center"/>
          </w:tcPr>
          <w:p w14:paraId="61E4B35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Policy di segnalazione vulnerabilità (responsible disclosure) e scope del programma</w:t>
            </w:r>
            <w:r/>
            <w:r/>
          </w:p>
        </w:tc>
      </w:tr>
    </w:tbl>
    <w:p>
      <w:pPr>
        <w:pBdr/>
        <w:spacing w:after="24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Appendice B — Glossario Tecnico</w:t>
      </w:r>
      <w:r/>
    </w:p>
    <w:tbl>
      <w:tblPr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rPr/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441F37F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Termine</w:t>
            </w:r>
            <w:r/>
            <w:r/>
          </w:p>
        </w:tc>
        <w:tc>
          <w:tcPr>
            <w:shd w:val="clear" w:color="ffffff" w:fill="1a3a5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561B420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2424AAB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AES-256-GCM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069F550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Advanced Encryption Standard a 256 bit in modalità Galois/Counter Mode. Cifra autenticata usata per l’audit log.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2D9E967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APScheduler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086F595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Advanced Python Scheduler. Libreria per esecuzione di job pianificati (es. purge notturno GDPR).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32FEF46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CTI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15E99BA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Cyber Threat Intelligence. Attività di raccolta e analisi di informazioni su minacce informatiche.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6E11D4CA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GDPR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5EFBB7EE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General Data Protection Regulation. Regolamento UE 2016/679 sulla protezione dei dati personali.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03685FC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Jaccard Similarity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1BF58B5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Misura di similarità tra insiemi: |A∩B| / |A∪B|. Usata per confrontare entità nominate tra messaggi.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142361F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JWT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57FF5B1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JSON Web Token. Standard per l’autenticazione stateless tramite token firmati (RS256 in CATS).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150E058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NER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729BF7D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Named Entity Recognition. Tecnica NLP per estrarre entità nominate (persone, luoghi, organizzazioni).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39B9C94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OSINT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588D8D7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Open Source Intelligence. Intelligence derivata da fonti pubblicamente accessibili.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0025CBE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Redis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6FCD6B7D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Database in-memory usato per rate limiting distribuito tramite script Lua sliding-window.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3CA7F16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Score ordinale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36D33AE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Punteggio che rappresenta un ranking relativo, non una probabilità assoluta.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61CE5E2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SHAP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52A5601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SHapley Additive exPlanations. Framework per l’esplicabilità dei modelli ML (roadmap v1.2).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455575A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spaCy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26F26F0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Libreria NLP open-source. In CATS usa il modello it_core_news_lg per il testo italiano.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3B8969E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TTR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04ADBFBC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Type-Token Ratio. Rapporto tra vocaboli unici e totale dei token; misura la diversità lessicale.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6FE100F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Trace ID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450C035F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UUID univoco assegnato a ogni valutazione. Consente la ricostruzione completa del processo (GDPR Art.22).</w:t>
            </w:r>
            <w:r/>
            <w:r/>
          </w:p>
        </w:tc>
      </w:tr>
      <w:tr>
        <w:trPr/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 w14:paraId="0E18DA3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404040"/>
                <w:sz w:val="20"/>
                <w:szCs w:val="20"/>
              </w:rPr>
              <w:t xml:space="preserve">TLS</w:t>
            </w:r>
            <w:r/>
            <w:r/>
          </w:p>
        </w:tc>
        <w:tc>
          <w:tcPr>
            <w:shd w:val="clear" w:color="ffffff" w:fill="d5e8f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vAlign w:val="center"/>
          </w:tcPr>
          <w:p w14:paraId="6966A5D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</w:rPr>
              <w:t xml:space="preserve">Transport Layer Security. Protocollo crittografico per comunicazioni sicure (v1.3 in CATS).</w:t>
            </w:r>
            <w:r/>
            <w:r/>
          </w:p>
        </w:tc>
      </w:tr>
    </w:tbl>
    <w:p>
      <w:pPr>
        <w:pBdr/>
        <w:spacing w:after="24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Appendice C — Gap Documentale e Aree di Sviluppo</w:t>
      </w:r>
      <w:r/>
    </w:p>
    <w:p>
      <w:pPr>
        <w:pBdr/>
        <w:spacing w:after="240" w:before="0" w:line="276" w:lineRule="auto"/>
        <w:ind/>
        <w:jc w:val="both"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Dall’analisi dei materiali disponibili, le seguenti informazioni sono assenti o parziali e richiedono sviluppo nelle versioni future: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Metriche di benchmark su dataset reali: sebbene sia dichiarata un’accuratezza NLP al 55–62%, mancano i dataset di test (dimensione, provenienza) che la validano.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Supporto multilingua: il sistema è ottimizzato per l’italiano; la roadmap tecnica per EN, FR, DE non è ancora dettagliata a livello implementativo.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Requisiti hardware minimi: non sono specificati requisiti di CPU/RAM per garantire le performance dichiarate in scenari di produzione ad alto volume.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Modalità tecniche di acquisizione dati: la documentazione non descrive come il sistema gestisce l’ingestione da fonti non indicizzate o che richiedono autenticazione.</w:t>
      </w:r>
      <w:r/>
    </w:p>
    <w:p>
      <w:pPr>
        <w:pStyle w:val="7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Google Sans" w:hAnsi="Google Sans" w:eastAsia="Google Sans" w:cs="Google Sans"/>
          <w:color w:val="1f1f1f"/>
          <w:sz w:val="22"/>
          <w:szCs w:val="22"/>
        </w:rPr>
        <w:t xml:space="preserve">Sezione Team e Governance: assente nei documenti fonte; rilevante per la trasparenza sul progetto open source.</w:t>
      </w:r>
      <w:r/>
    </w:p>
    <w:p w14:paraId="3DC49507">
      <w:pPr>
        <w:pStyle w:val="7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  <w:u w:val="none"/>
        </w:rPr>
        <w:t xml:space="preserve">Quadro Normativo e Standard di Riferimento</w:t>
      </w:r>
      <w:r/>
    </w:p>
    <w:p w14:paraId="0FEA9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2"/>
          <w:u w:val="none"/>
        </w:rPr>
        <w:t xml:space="preserve">L'efficacia di CATS come strumento di livello enterprise è garantita dal suo allineamento ai principali framework normativi internazionali e standard di intelligence.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1</w:t>
      </w:r>
      <w:r/>
    </w:p>
    <w:p w14:paraId="630BDDA2"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Normative Europee e Protezione dei Dati</w:t>
      </w:r>
      <w:r/>
    </w:p>
    <w:p w14:paraId="51E2CF7A">
      <w:pPr>
        <w:pStyle w:val="7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GDPR (Regolamento UE 2016/679):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Il sistema rispetta il principio di "Privacy by Design" (Art. 25), assicurando che nessun dato personale grezzo venga memorizzato in chiaro. Gli endpoint per la trasparenza (Artt. 13-14) e la contestazione delle decisioni automatizzate (Art. 22) garantisc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ono la piena conformità per le organizzazioni che operano sul mercato UE.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1</w:t>
      </w:r>
      <w:r/>
    </w:p>
    <w:p w14:paraId="4AFE2F09">
      <w:pPr>
        <w:pStyle w:val="7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EU AI Act (Regolamento UE 2024/1689):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CATS è classificato come sistema AI a rischio limitato (Art. 50), richiedendo obblighi di trasparenza che il sistema assolve tramite la documentazione delle limitazioni tecniche e l'endpoint di spiegazione dei punteggi.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1</w:t>
      </w:r>
      <w:r/>
    </w:p>
    <w:p w14:paraId="4287352F"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Framework per il Settore Finanziario e SaaS</w:t>
      </w:r>
      <w:r/>
    </w:p>
    <w:p w14:paraId="744785F8">
      <w:pPr>
        <w:pStyle w:val="7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PCI DSS &amp; PSD2: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Per l'integrazione in piattaforme fintech, CATS adotta standard di crittografia (AES-256) e autenticazione (Bearer Token con rotazione doppia) allineati ai requisiti di protezione dei dati finanziari e autenticazione forte.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1</w:t>
      </w:r>
      <w:r/>
    </w:p>
    <w:p w14:paraId="64D2D3A4">
      <w:pPr>
        <w:pStyle w:val="7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DORA (Digital Operational Resilience Act):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Il sistema supporta la resilienza operativa fornendo dati OSINT validati che possono essere integrati nei piani di gestione del rischio ICT delle istituzioni finanziarie.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8</w:t>
      </w:r>
      <w:r/>
    </w:p>
    <w:p w14:paraId="3B3AAC57">
      <w:pPr>
        <w:pStyle w:val="7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  <w:u w:val="none"/>
        </w:rPr>
        <w:t xml:space="preserve">Intelligence e Sicurezza Informatica</w:t>
      </w:r>
      <w:r/>
    </w:p>
    <w:p w14:paraId="02B68DBA">
      <w:pPr>
        <w:pStyle w:val="7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Admiralty Code (NATO):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Il sistema utilizza come benchmark concettuale il sistema di classificazione NATO (A–F per l'affidabilità, 1–6 per la credibilità) per mappare i propri punteggi ordinali verso standard di intelligence riconosciuti globalmente.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14</w:t>
      </w:r>
      <w:r/>
    </w:p>
    <w:p w14:paraId="787C8983">
      <w:pPr>
        <w:pStyle w:val="7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31" w:lineRule="auto"/>
        <w:ind w:righ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ICS 206-01: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CATS implementa la necessità di "descrittori narrativi" per ogni fonte, fornendo una giustificazione tecnica della credibilità in linea con i nuovi standard dell'Intelligence Community statunitense.</w:t>
      </w:r>
      <w:r>
        <w:rPr>
          <w:rFonts w:ascii="Arial" w:hAnsi="Arial" w:eastAsia="Arial" w:cs="Arial"/>
          <w:color w:val="444746"/>
          <w:sz w:val="14"/>
          <w:vertAlign w:val="superscript"/>
        </w:rPr>
        <w:t xml:space="preserve">7</w:t>
      </w:r>
      <w:r/>
    </w:p>
    <w:p w14:paraId="11EB9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2"/>
          <w:u w:val="none"/>
        </w:rPr>
        <w:t xml:space="preserve">ISO 27001 &amp; NIST:</w:t>
      </w:r>
      <w:r>
        <w:rPr>
          <w:rFonts w:ascii="Arial" w:hAnsi="Arial" w:eastAsia="Arial" w:cs="Arial"/>
          <w:color w:val="1f1f1f"/>
          <w:sz w:val="22"/>
          <w:u w:val="none"/>
        </w:rPr>
        <w:t xml:space="preserve"> L'infrastruttura di CATS segue le linee guida NIST per lo sviluppo software sicuro e la gestione del rischio nella catena di fornitura, garantendo l'integrità degli audit log e la sicurezza degli endpoint .</w:t>
      </w:r>
      <w:r/>
    </w:p>
    <w:p>
      <w:pPr>
        <w:pBdr/>
        <w:spacing w:after="240" w:before="0"/>
        <w:ind/>
        <w:rPr/>
      </w:pPr>
      <w:r/>
      <w:r/>
    </w:p>
    <w:p>
      <w:pPr>
        <w:pStyle w:val="728"/>
        <w:pBdr/>
        <w:spacing w:after="12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36"/>
          <w:szCs w:val="36"/>
        </w:rPr>
        <w:t xml:space="preserve">Appendice D — Bibliografia e Riferimenti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1.  CATS Project. (2026). CATS_WhitePaper_v1.0 — Documentazione tecnica interna. github.com/cats-project/cats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2.  ShadowDragon. (2026). OSINT Year in Review: How Open-Source Intelligence Became Core to Enterprise Risk in 2025. shadowdragon.io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3.  MDPI Computers. (2026). Automated OSINT Techniques for Digital Asset Discovery and Cyber Risk Assessment. doi:10.3390/computers14100430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4.  trail-ml. (2026). EU AI Act: Risk-Classifications of the AI Regulation. trail-ml.com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5.  Blackdot Solutions. (2026). OSINT in 2026: Key Trends and What to Expect. blackdotsolutions.com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6.  Neotas. (2026). OSINT Tools and Techniques. neotas.com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7.  Recorded Future. (2026). Top 15 Free OSINT Tools. recordedfuture.com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8.  Wiz. (2026). 9 Top OSINT Tools &amp; How to Evaluate Them. wiz.io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9.  ShadowDragon. (2026). What is OSINT? 2026 Guide. shadowdragon.io/blog/what-is-osint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10.  Osavul. (2026). The Ultimate Guide to Open Source Investigations in 2026. osavul.cloud</w:t>
      </w:r>
      <w:r/>
    </w:p>
    <w:p>
      <w:pPr>
        <w:pBdr/>
        <w:spacing w:after="80" w:before="0" w:line="276" w:lineRule="auto"/>
        <w:ind w:hanging="720" w:left="720"/>
        <w:rPr/>
      </w:pPr>
      <w:r>
        <w:rPr>
          <w:rFonts w:ascii="Google Sans" w:hAnsi="Google Sans" w:eastAsia="Google Sans" w:cs="Google Sans"/>
          <w:color w:val="444746"/>
          <w:sz w:val="20"/>
          <w:szCs w:val="20"/>
        </w:rPr>
        <w:t xml:space="preserve">11.  DNI.gov. (2024). The IC OSINT Strategy 2024–2026. dni.gov</w:t>
      </w:r>
      <w:r/>
    </w:p>
    <w:p>
      <w:pPr>
        <w:pBdr/>
        <w:spacing w:after="200" w:before="0"/>
        <w:ind/>
        <w:rPr/>
      </w:pPr>
      <w:r/>
      <w:r/>
    </w:p>
    <w:p>
      <w:pPr>
        <w:pBdr/>
        <w:spacing w:after="0" w:before="0"/>
        <w:ind/>
        <w:jc w:val="center"/>
        <w:rPr/>
      </w:pPr>
      <w:r>
        <w:rPr>
          <w:rFonts w:ascii="Google Sans" w:hAnsi="Google Sans" w:eastAsia="Google Sans" w:cs="Google Sans"/>
          <w:i/>
          <w:iCs/>
          <w:color w:val="444746"/>
          <w:sz w:val="18"/>
          <w:szCs w:val="18"/>
        </w:rPr>
        <w:t xml:space="preserve">CATS — MIT License 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Google Sans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88F252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BE8BCE4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444746" w:sz="4" w:space="1"/>
      </w:pBdr>
      <w:tabs>
        <w:tab w:val="right" w:leader="none" w:pos="9360"/>
      </w:tabs>
      <w:spacing w:after="80" w:before="0"/>
      <w:ind/>
      <w:rPr/>
    </w:pPr>
    <w:r>
      <w:rPr>
        <w:rFonts w:ascii="Google Sans" w:hAnsi="Google Sans" w:eastAsia="Google Sans" w:cs="Google Sans"/>
        <w:color w:val="444746"/>
        <w:sz w:val="18"/>
        <w:szCs w:val="18"/>
      </w:rPr>
      <w:t xml:space="preserve">CATS — White Paper Tecnico v</w:t>
    </w:r>
    <w:r>
      <w:rPr>
        <w:rFonts w:ascii="Google Sans" w:hAnsi="Google Sans" w:eastAsia="Google Sans" w:cs="Google Sans"/>
        <w:color w:val="444746"/>
        <w:sz w:val="18"/>
        <w:szCs w:val="18"/>
        <w:lang w:val="it-IT"/>
      </w:rPr>
      <w:t xml:space="preserve">1</w:t>
    </w:r>
    <w:r>
      <w:rPr>
        <w:rFonts w:ascii="Google Sans" w:hAnsi="Google Sans" w:eastAsia="Google Sans" w:cs="Google Sans"/>
        <w:color w:val="444746"/>
        <w:sz w:val="18"/>
        <w:szCs w:val="18"/>
      </w:rPr>
      <w:t xml:space="preserve">.0</w:t>
    </w:r>
    <w:r>
      <w:rPr>
        <w:rFonts w:ascii="Google Sans" w:hAnsi="Google Sans" w:eastAsia="Google Sans" w:cs="Google Sans"/>
        <w:sz w:val="18"/>
        <w:szCs w:val="18"/>
      </w:rPr>
      <w:tab/>
    </w:r>
    <w:r>
      <w:rPr>
        <w:rFonts w:ascii="Google Sans" w:hAnsi="Google Sans" w:eastAsia="Google Sans" w:cs="Google Sans"/>
        <w:i/>
        <w:iCs/>
        <w:color w:val="444746"/>
        <w:sz w:val="18"/>
        <w:szCs w:val="18"/>
      </w:rPr>
      <w:t xml:space="preserve">Marzo 2026 — Pubblico — MIT License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FFBC1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oogle Sans" w:hAnsi="Google Sans" w:eastAsia="Google Sans" w:cs="Google Sans"/>
        <w:color w:val="1f1f1f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4">
    <w:name w:val="Title"/>
    <w:qFormat/>
    <w:pPr>
      <w:pBdr/>
      <w:spacing/>
      <w:ind/>
    </w:pPr>
    <w:rPr>
      <w:sz w:val="56"/>
      <w:szCs w:val="56"/>
    </w:rPr>
  </w:style>
  <w:style w:type="paragraph" w:styleId="718">
    <w:name w:val="Heading 4"/>
    <w:qFormat/>
    <w:pPr>
      <w:pBdr/>
      <w:spacing/>
      <w:ind/>
    </w:pPr>
    <w:rPr>
      <w:i/>
      <w:iCs/>
      <w:color w:val="2e74b5"/>
    </w:rPr>
  </w:style>
  <w:style w:type="paragraph" w:styleId="719">
    <w:name w:val="Heading 5"/>
    <w:qFormat/>
    <w:pPr>
      <w:pBdr/>
      <w:spacing/>
      <w:ind/>
    </w:pPr>
    <w:rPr>
      <w:color w:val="2e74b5"/>
    </w:rPr>
  </w:style>
  <w:style w:type="paragraph" w:styleId="720">
    <w:name w:val="Heading 6"/>
    <w:qFormat/>
    <w:pPr>
      <w:pBdr/>
      <w:spacing/>
      <w:ind/>
    </w:pPr>
    <w:rPr>
      <w:color w:val="1f4d78"/>
    </w:rPr>
  </w:style>
  <w:style w:type="paragraph" w:styleId="721">
    <w:name w:val="Strong"/>
    <w:qFormat/>
    <w:pPr>
      <w:pBdr/>
      <w:spacing/>
      <w:ind/>
    </w:pPr>
    <w:rPr>
      <w:b/>
      <w:bCs/>
    </w:rPr>
  </w:style>
  <w:style w:type="paragraph" w:styleId="722">
    <w:name w:val="List Paragraph"/>
    <w:qFormat/>
    <w:pPr>
      <w:pBdr/>
      <w:spacing/>
      <w:ind/>
    </w:pPr>
  </w:style>
  <w:style w:type="character" w:styleId="72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5">
    <w:name w:val="footnote text"/>
    <w:link w:val="7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6">
    <w:name w:val="Footnote Text Char"/>
    <w:link w:val="72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7">
    <w:name w:val="Heading 1"/>
    <w:qFormat/>
    <w:pPr>
      <w:pBdr/>
      <w:spacing w:after="120" w:before="400" w:line="276" w:lineRule="auto"/>
      <w:ind/>
      <w:outlineLvl w:val="0"/>
    </w:pPr>
    <w:rPr>
      <w:rFonts w:ascii="Google Sans" w:hAnsi="Google Sans" w:eastAsia="Google Sans" w:cs="Google Sans"/>
      <w:b/>
      <w:bCs/>
      <w:color w:val="1f1f1f"/>
      <w:sz w:val="48"/>
      <w:szCs w:val="48"/>
    </w:rPr>
  </w:style>
  <w:style w:type="paragraph" w:styleId="728">
    <w:name w:val="Heading 2"/>
    <w:qFormat/>
    <w:pPr>
      <w:pBdr/>
      <w:spacing w:after="120" w:before="320" w:line="276" w:lineRule="auto"/>
      <w:ind/>
      <w:outlineLvl w:val="1"/>
    </w:pPr>
    <w:rPr>
      <w:rFonts w:ascii="Google Sans" w:hAnsi="Google Sans" w:eastAsia="Google Sans" w:cs="Google Sans"/>
      <w:b/>
      <w:bCs/>
      <w:color w:val="1f1f1f"/>
      <w:sz w:val="36"/>
      <w:szCs w:val="36"/>
    </w:rPr>
  </w:style>
  <w:style w:type="paragraph" w:styleId="729">
    <w:name w:val="Heading 3"/>
    <w:qFormat/>
    <w:pPr>
      <w:pBdr/>
      <w:spacing w:after="120" w:before="240" w:line="276" w:lineRule="auto"/>
      <w:ind/>
      <w:outlineLvl w:val="2"/>
    </w:pPr>
    <w:rPr>
      <w:rFonts w:ascii="Google Sans" w:hAnsi="Google Sans" w:eastAsia="Google Sans" w:cs="Google Sans"/>
      <w:b/>
      <w:bCs/>
      <w:color w:val="1f1f1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CATS — Contextual Ambiguity &amp; Trust Scoring — White Paper Tecnico v3.0</dc:title>
  <dc:subject>Valutazione affidabilità fonti OSINT — Architettura tecnica e conformità normativa</dc:subject>
  <dc:creator>CATS Project</dc:creator>
  <cp:keywords>OSINT, trust scoring, GDPR, EU AI Act, FastAPI, NLP, spaCy, open source</cp:keywords>
  <dc:description>White paper tecnico del sistema CATS: pipeline 9 fasi, quattro segnali analitici, conformità GDPR Artt. 13-22 e EU AI Act.</dc:description>
  <cp:revision>4</cp:revision>
  <dcterms:created xsi:type="dcterms:W3CDTF">2026-03-08T00:00:00Z</dcterms:created>
  <dcterms:modified xsi:type="dcterms:W3CDTF">2026-03-10T09:39:23Z</dcterms:modified>
</cp:coreProperties>
</file>