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774DB" w14:textId="77777777" w:rsidR="009B0780" w:rsidRDefault="009B0780">
      <w:pPr>
        <w:rPr>
          <w:sz w:val="36"/>
          <w:szCs w:val="36"/>
        </w:rPr>
      </w:pPr>
    </w:p>
    <w:p w14:paraId="50DA414B" w14:textId="496844E2" w:rsidR="00B00695" w:rsidRDefault="00B00695">
      <w:pPr>
        <w:rPr>
          <w:sz w:val="36"/>
          <w:szCs w:val="36"/>
        </w:rPr>
      </w:pPr>
      <w:r>
        <w:rPr>
          <w:sz w:val="36"/>
          <w:szCs w:val="36"/>
        </w:rPr>
        <w:t>Hedera HBAR: A decentralized security approach</w:t>
      </w:r>
      <w:r w:rsidR="00A54B48">
        <w:rPr>
          <w:sz w:val="36"/>
          <w:szCs w:val="36"/>
        </w:rPr>
        <w:t xml:space="preserve"> B</w:t>
      </w:r>
      <w:r>
        <w:rPr>
          <w:sz w:val="36"/>
          <w:szCs w:val="36"/>
        </w:rPr>
        <w:t>ased on Blockchain</w:t>
      </w:r>
      <w:r w:rsidR="00A54B48">
        <w:rPr>
          <w:sz w:val="36"/>
          <w:szCs w:val="36"/>
        </w:rPr>
        <w:t xml:space="preserve"> </w:t>
      </w:r>
      <w:r w:rsidR="00422FE1">
        <w:rPr>
          <w:sz w:val="36"/>
          <w:szCs w:val="36"/>
        </w:rPr>
        <w:t xml:space="preserve">with </w:t>
      </w:r>
      <w:r w:rsidR="00A54B48">
        <w:rPr>
          <w:sz w:val="36"/>
          <w:szCs w:val="36"/>
        </w:rPr>
        <w:t>NFT Transaction</w:t>
      </w:r>
    </w:p>
    <w:p w14:paraId="343B4049" w14:textId="77777777" w:rsidR="00422FE1" w:rsidRDefault="00422FE1">
      <w:pPr>
        <w:rPr>
          <w:sz w:val="36"/>
          <w:szCs w:val="36"/>
        </w:rPr>
      </w:pPr>
    </w:p>
    <w:p w14:paraId="45B3D876" w14:textId="1C7C0F73" w:rsidR="00B00695" w:rsidRDefault="00B00695">
      <w:pPr>
        <w:rPr>
          <w:sz w:val="32"/>
          <w:szCs w:val="32"/>
        </w:rPr>
      </w:pPr>
      <w:r>
        <w:rPr>
          <w:sz w:val="32"/>
          <w:szCs w:val="32"/>
        </w:rPr>
        <w:t>Abstract:</w:t>
      </w:r>
    </w:p>
    <w:p w14:paraId="11FA9256" w14:textId="77777777" w:rsidR="000C17BB" w:rsidRDefault="002F1CC3" w:rsidP="008403E0">
      <w:pPr>
        <w:jc w:val="both"/>
        <w:rPr>
          <w:sz w:val="24"/>
          <w:szCs w:val="24"/>
        </w:rPr>
      </w:pPr>
      <w:r>
        <w:rPr>
          <w:sz w:val="24"/>
          <w:szCs w:val="24"/>
        </w:rPr>
        <w:tab/>
      </w:r>
    </w:p>
    <w:p w14:paraId="5E69791B" w14:textId="4F69DDD9" w:rsidR="002F1CC3" w:rsidRDefault="002F1CC3" w:rsidP="000C17BB">
      <w:pPr>
        <w:ind w:firstLine="720"/>
        <w:jc w:val="both"/>
        <w:rPr>
          <w:sz w:val="24"/>
          <w:szCs w:val="24"/>
        </w:rPr>
      </w:pPr>
      <w:r>
        <w:rPr>
          <w:sz w:val="24"/>
          <w:szCs w:val="24"/>
        </w:rPr>
        <w:t xml:space="preserve">Hedera is a </w:t>
      </w:r>
      <w:r w:rsidRPr="00CF1506">
        <w:rPr>
          <w:sz w:val="24"/>
          <w:szCs w:val="24"/>
          <w:highlight w:val="yellow"/>
        </w:rPr>
        <w:t>public distributed ledger</w:t>
      </w:r>
      <w:r>
        <w:rPr>
          <w:sz w:val="24"/>
          <w:szCs w:val="24"/>
        </w:rPr>
        <w:t xml:space="preserve"> and governing body built from the ground-up to support to support new and existing applications running at web scale. </w:t>
      </w:r>
      <w:r w:rsidR="00C63CD9" w:rsidRPr="00C63CD9">
        <w:rPr>
          <w:sz w:val="24"/>
          <w:szCs w:val="24"/>
        </w:rPr>
        <w:t>Distributed ledger technologies are used by developers to embed computational trust directly into their applications.</w:t>
      </w:r>
      <w:r w:rsidR="00C63CD9">
        <w:rPr>
          <w:sz w:val="24"/>
          <w:szCs w:val="24"/>
        </w:rPr>
        <w:t xml:space="preserve"> </w:t>
      </w:r>
      <w:r w:rsidR="00C63CD9" w:rsidRPr="00C63CD9">
        <w:rPr>
          <w:sz w:val="24"/>
          <w:szCs w:val="24"/>
        </w:rPr>
        <w:t>Individuals and corporations who may not know or trust one other can work swiftly and cheaply as a result of this.</w:t>
      </w:r>
      <w:r w:rsidR="00C63CD9">
        <w:rPr>
          <w:sz w:val="24"/>
          <w:szCs w:val="24"/>
        </w:rPr>
        <w:t xml:space="preserve"> </w:t>
      </w:r>
      <w:r w:rsidRPr="00A311D0">
        <w:rPr>
          <w:sz w:val="24"/>
          <w:szCs w:val="24"/>
          <w:highlight w:val="yellow"/>
        </w:rPr>
        <w:t>Public distributed ledgers</w:t>
      </w:r>
      <w:r>
        <w:rPr>
          <w:sz w:val="24"/>
          <w:szCs w:val="24"/>
        </w:rPr>
        <w:t xml:space="preserve"> allow for creating and exchanging value, proving identity, verifying and authenticating important data and much more.</w:t>
      </w:r>
      <w:r w:rsidR="008403E0">
        <w:rPr>
          <w:sz w:val="24"/>
          <w:szCs w:val="24"/>
        </w:rPr>
        <w:t xml:space="preserve"> Hedera is unique in that it achieves the same result as </w:t>
      </w:r>
      <w:r w:rsidR="008403E0" w:rsidRPr="00A311D0">
        <w:rPr>
          <w:sz w:val="24"/>
          <w:szCs w:val="24"/>
          <w:highlight w:val="yellow"/>
        </w:rPr>
        <w:t>the most ubiquitous public blockchains</w:t>
      </w:r>
      <w:r w:rsidR="008403E0">
        <w:rPr>
          <w:sz w:val="24"/>
          <w:szCs w:val="24"/>
        </w:rPr>
        <w:t xml:space="preserve"> (such as Bitcoin or Ethereum), But in a way that is </w:t>
      </w:r>
      <w:r w:rsidR="008403E0" w:rsidRPr="00BE6907">
        <w:rPr>
          <w:sz w:val="24"/>
          <w:szCs w:val="24"/>
          <w:highlight w:val="yellow"/>
        </w:rPr>
        <w:t>faster</w:t>
      </w:r>
      <w:r w:rsidR="008403E0">
        <w:rPr>
          <w:sz w:val="24"/>
          <w:szCs w:val="24"/>
        </w:rPr>
        <w:t xml:space="preserve">, fairer and more energy efficient, scale, and secure – these advantages can be attributed to the </w:t>
      </w:r>
      <w:r w:rsidR="008403E0" w:rsidRPr="00BE6907">
        <w:rPr>
          <w:sz w:val="24"/>
          <w:szCs w:val="24"/>
          <w:highlight w:val="yellow"/>
        </w:rPr>
        <w:t>underlying hash-graph consensus algorithm</w:t>
      </w:r>
      <w:r w:rsidR="008403E0">
        <w:rPr>
          <w:sz w:val="24"/>
          <w:szCs w:val="24"/>
        </w:rPr>
        <w:t xml:space="preserve"> and the global enterprise governing body, which owns and operates Hedera today.</w:t>
      </w:r>
      <w:r w:rsidR="00282385">
        <w:rPr>
          <w:sz w:val="24"/>
          <w:szCs w:val="24"/>
        </w:rPr>
        <w:t xml:space="preserve"> </w:t>
      </w:r>
    </w:p>
    <w:p w14:paraId="041A8815" w14:textId="77777777" w:rsidR="000C17BB" w:rsidRDefault="00ED23C9" w:rsidP="008403E0">
      <w:pPr>
        <w:jc w:val="both"/>
        <w:rPr>
          <w:sz w:val="24"/>
          <w:szCs w:val="24"/>
        </w:rPr>
      </w:pPr>
      <w:r>
        <w:rPr>
          <w:sz w:val="24"/>
          <w:szCs w:val="24"/>
        </w:rPr>
        <w:tab/>
      </w:r>
    </w:p>
    <w:p w14:paraId="791EDE92" w14:textId="4B874C24" w:rsidR="00ED23C9" w:rsidRDefault="00C63CD9" w:rsidP="000C17BB">
      <w:pPr>
        <w:ind w:firstLine="720"/>
        <w:jc w:val="both"/>
        <w:rPr>
          <w:rFonts w:ascii="Arial" w:hAnsi="Arial" w:cs="Arial"/>
          <w:color w:val="464646"/>
          <w:sz w:val="21"/>
          <w:szCs w:val="21"/>
          <w:shd w:val="clear" w:color="auto" w:fill="F9F9F9"/>
        </w:rPr>
      </w:pPr>
      <w:r w:rsidRPr="00C63CD9">
        <w:rPr>
          <w:sz w:val="24"/>
          <w:szCs w:val="24"/>
        </w:rPr>
        <w:t xml:space="preserve">Hedera is administered by the </w:t>
      </w:r>
      <w:r w:rsidRPr="00747C4A">
        <w:rPr>
          <w:sz w:val="24"/>
          <w:szCs w:val="24"/>
          <w:highlight w:val="yellow"/>
        </w:rPr>
        <w:t>Hedera Governing Council</w:t>
      </w:r>
      <w:r w:rsidRPr="00C63CD9">
        <w:rPr>
          <w:sz w:val="24"/>
          <w:szCs w:val="24"/>
        </w:rPr>
        <w:t>, which consists of the following members: An expert committee made up of 39 of the world's most influential people has been formed.</w:t>
      </w:r>
      <w:r>
        <w:rPr>
          <w:sz w:val="24"/>
          <w:szCs w:val="24"/>
        </w:rPr>
        <w:t xml:space="preserve"> </w:t>
      </w:r>
      <w:r w:rsidR="00C2043C" w:rsidRPr="00C2043C">
        <w:rPr>
          <w:sz w:val="24"/>
          <w:szCs w:val="24"/>
        </w:rPr>
        <w:t>Global businesses and organi</w:t>
      </w:r>
      <w:r w:rsidR="00C2043C">
        <w:rPr>
          <w:sz w:val="24"/>
          <w:szCs w:val="24"/>
        </w:rPr>
        <w:t>z</w:t>
      </w:r>
      <w:r w:rsidR="00C2043C" w:rsidRPr="00C2043C">
        <w:rPr>
          <w:sz w:val="24"/>
          <w:szCs w:val="24"/>
        </w:rPr>
        <w:t>ations, encompassing up to 11 industries and a diverse range of products and services</w:t>
      </w:r>
      <w:r w:rsidR="00ED23C9">
        <w:rPr>
          <w:sz w:val="24"/>
          <w:szCs w:val="24"/>
        </w:rPr>
        <w:t xml:space="preserve">. The Governing Council makes key decisions over </w:t>
      </w:r>
      <w:r w:rsidR="00ED23C9" w:rsidRPr="00BE6907">
        <w:rPr>
          <w:sz w:val="24"/>
          <w:szCs w:val="24"/>
          <w:highlight w:val="yellow"/>
        </w:rPr>
        <w:t>software upgrades, network pricing, treasury management</w:t>
      </w:r>
      <w:r w:rsidR="00ED23C9">
        <w:rPr>
          <w:sz w:val="24"/>
          <w:szCs w:val="24"/>
        </w:rPr>
        <w:t>, and more. Governing Council members are term-limited and do not receive any profits from Hedera.</w:t>
      </w:r>
      <w:r w:rsidR="00567B66">
        <w:rPr>
          <w:sz w:val="24"/>
          <w:szCs w:val="24"/>
        </w:rPr>
        <w:t xml:space="preserve"> </w:t>
      </w:r>
      <w:r w:rsidR="00C2043C" w:rsidRPr="00C2043C">
        <w:rPr>
          <w:sz w:val="24"/>
          <w:szCs w:val="24"/>
        </w:rPr>
        <w:t>The Hedera Governing Council is designed to better satisfy the platform's long-term goals for decentrali</w:t>
      </w:r>
      <w:r w:rsidR="00C2043C">
        <w:rPr>
          <w:sz w:val="24"/>
          <w:szCs w:val="24"/>
        </w:rPr>
        <w:t>z</w:t>
      </w:r>
      <w:r w:rsidR="00C2043C" w:rsidRPr="00C2043C">
        <w:rPr>
          <w:sz w:val="24"/>
          <w:szCs w:val="24"/>
        </w:rPr>
        <w:t>ed, wise, and stable governance.</w:t>
      </w:r>
      <w:r w:rsidR="00C2043C">
        <w:rPr>
          <w:sz w:val="24"/>
          <w:szCs w:val="24"/>
        </w:rPr>
        <w:t xml:space="preserve"> </w:t>
      </w:r>
      <w:r w:rsidR="00567B66">
        <w:rPr>
          <w:sz w:val="24"/>
          <w:szCs w:val="24"/>
        </w:rPr>
        <w:t xml:space="preserve">All governing council members have all taken partial </w:t>
      </w:r>
      <w:r w:rsidR="00567B66" w:rsidRPr="00747C4A">
        <w:rPr>
          <w:sz w:val="24"/>
          <w:szCs w:val="24"/>
          <w:highlight w:val="yellow"/>
        </w:rPr>
        <w:t>ownership of Hedera Hash-Graph LLC</w:t>
      </w:r>
      <w:r w:rsidR="00567B66">
        <w:rPr>
          <w:sz w:val="24"/>
          <w:szCs w:val="24"/>
        </w:rPr>
        <w:t>, by signing the agreement.</w:t>
      </w:r>
      <w:r w:rsidR="00BE6907">
        <w:rPr>
          <w:sz w:val="24"/>
          <w:szCs w:val="24"/>
        </w:rPr>
        <w:t xml:space="preserve"> </w:t>
      </w:r>
      <w:r w:rsidR="000C17BB" w:rsidRPr="000C17BB">
        <w:rPr>
          <w:sz w:val="24"/>
          <w:szCs w:val="24"/>
        </w:rPr>
        <w:t>In this article, we will undertake NFT transactions in a range of areas, including cryptography, banking, and financial transactions, using our hedera network.</w:t>
      </w:r>
      <w:r w:rsidR="00A06A33">
        <w:rPr>
          <w:sz w:val="24"/>
          <w:szCs w:val="24"/>
        </w:rPr>
        <w:t xml:space="preserve"> </w:t>
      </w:r>
      <w:r w:rsidR="00A06A33" w:rsidRPr="00A06A33">
        <w:rPr>
          <w:sz w:val="24"/>
          <w:szCs w:val="24"/>
        </w:rPr>
        <w:t>The study that supports NFT transactions in the hedera network phase of the three can be classified in the introductory section below.</w:t>
      </w:r>
      <w:r w:rsidR="00567B66">
        <w:rPr>
          <w:sz w:val="24"/>
          <w:szCs w:val="24"/>
        </w:rPr>
        <w:t xml:space="preserve"> </w:t>
      </w:r>
      <w:r w:rsidR="00560B12">
        <w:rPr>
          <w:rFonts w:ascii="Arial" w:hAnsi="Arial" w:cs="Arial"/>
          <w:color w:val="464646"/>
          <w:sz w:val="21"/>
          <w:szCs w:val="21"/>
          <w:shd w:val="clear" w:color="auto" w:fill="F9F9F9"/>
        </w:rPr>
        <w:t>To the best of knowledge, this is first eminent study on the NFT Transaction in the blockchain methodology.</w:t>
      </w:r>
    </w:p>
    <w:p w14:paraId="738C3154" w14:textId="77777777" w:rsidR="000C17BB" w:rsidRDefault="000C17BB" w:rsidP="008403E0">
      <w:pPr>
        <w:jc w:val="both"/>
        <w:rPr>
          <w:sz w:val="24"/>
          <w:szCs w:val="24"/>
        </w:rPr>
      </w:pPr>
    </w:p>
    <w:p w14:paraId="769BD5A8" w14:textId="0E8D6DD0" w:rsidR="00A47548" w:rsidRDefault="003A5ACA" w:rsidP="008403E0">
      <w:pPr>
        <w:jc w:val="both"/>
        <w:rPr>
          <w:sz w:val="24"/>
          <w:szCs w:val="24"/>
        </w:rPr>
      </w:pPr>
      <w:r>
        <w:rPr>
          <w:sz w:val="32"/>
          <w:szCs w:val="32"/>
        </w:rPr>
        <w:t xml:space="preserve">Keywords: </w:t>
      </w:r>
      <w:r w:rsidR="00A47548">
        <w:rPr>
          <w:sz w:val="24"/>
          <w:szCs w:val="24"/>
        </w:rPr>
        <w:t xml:space="preserve"> Blockchain, NFT</w:t>
      </w:r>
      <w:r w:rsidR="001429F7">
        <w:rPr>
          <w:sz w:val="24"/>
          <w:szCs w:val="24"/>
        </w:rPr>
        <w:t xml:space="preserve"> </w:t>
      </w:r>
      <w:r w:rsidR="00A47548">
        <w:rPr>
          <w:sz w:val="24"/>
          <w:szCs w:val="24"/>
        </w:rPr>
        <w:t xml:space="preserve">(Non-fungible Token), Security, Scalability, Authentication, Decentralized security, Hedera HBAR, </w:t>
      </w:r>
      <w:r w:rsidR="001429F7">
        <w:rPr>
          <w:sz w:val="24"/>
          <w:szCs w:val="24"/>
        </w:rPr>
        <w:t>Hedera Token Service.</w:t>
      </w:r>
    </w:p>
    <w:p w14:paraId="1CE66F2A" w14:textId="169EC7E7" w:rsidR="000C17BB" w:rsidRPr="00A47548" w:rsidRDefault="000C17BB" w:rsidP="008403E0">
      <w:pPr>
        <w:jc w:val="both"/>
        <w:rPr>
          <w:sz w:val="24"/>
          <w:szCs w:val="24"/>
        </w:rPr>
        <w:sectPr w:rsidR="000C17BB" w:rsidRPr="00A47548">
          <w:pgSz w:w="12240" w:h="15840"/>
          <w:pgMar w:top="1440" w:right="1440" w:bottom="1440" w:left="1440" w:header="720" w:footer="720" w:gutter="0"/>
          <w:cols w:space="720"/>
          <w:docGrid w:linePitch="360"/>
        </w:sectPr>
      </w:pPr>
    </w:p>
    <w:p w14:paraId="05AE0875" w14:textId="338741F8" w:rsidR="008403E0" w:rsidRDefault="008403E0" w:rsidP="008403E0">
      <w:pPr>
        <w:jc w:val="both"/>
        <w:rPr>
          <w:sz w:val="32"/>
          <w:szCs w:val="32"/>
        </w:rPr>
      </w:pPr>
      <w:r>
        <w:rPr>
          <w:sz w:val="32"/>
          <w:szCs w:val="32"/>
        </w:rPr>
        <w:lastRenderedPageBreak/>
        <w:t>Introduction:</w:t>
      </w:r>
    </w:p>
    <w:p w14:paraId="0AE39FF1" w14:textId="7844DA18" w:rsidR="0028271F" w:rsidRPr="00EF6836" w:rsidRDefault="00754730" w:rsidP="00754730">
      <w:pPr>
        <w:jc w:val="both"/>
        <w:rPr>
          <w:rFonts w:ascii="Calibri" w:hAnsi="Calibri" w:cs="Calibri"/>
          <w:color w:val="000000" w:themeColor="text1"/>
          <w:sz w:val="24"/>
          <w:szCs w:val="24"/>
          <w:shd w:val="clear" w:color="auto" w:fill="F9F9F9"/>
        </w:rPr>
      </w:pPr>
      <w:r w:rsidRPr="00754730">
        <w:rPr>
          <w:rFonts w:ascii="Calibri" w:hAnsi="Calibri" w:cs="Calibri"/>
          <w:color w:val="000000" w:themeColor="text1"/>
          <w:sz w:val="24"/>
          <w:szCs w:val="24"/>
          <w:shd w:val="clear" w:color="auto" w:fill="F9F9F9"/>
        </w:rPr>
        <w:t xml:space="preserve">Hedera is a </w:t>
      </w:r>
      <w:r w:rsidRPr="00A06A33">
        <w:rPr>
          <w:rFonts w:ascii="Calibri" w:hAnsi="Calibri" w:cs="Calibri"/>
          <w:color w:val="000000" w:themeColor="text1"/>
          <w:sz w:val="24"/>
          <w:szCs w:val="24"/>
          <w:highlight w:val="yellow"/>
          <w:shd w:val="clear" w:color="auto" w:fill="F9F9F9"/>
        </w:rPr>
        <w:t>proof-of-stake public distributed ledger</w:t>
      </w:r>
      <w:r w:rsidRPr="00754730">
        <w:rPr>
          <w:rFonts w:ascii="Calibri" w:hAnsi="Calibri" w:cs="Calibri"/>
          <w:color w:val="000000" w:themeColor="text1"/>
          <w:sz w:val="24"/>
          <w:szCs w:val="24"/>
          <w:shd w:val="clear" w:color="auto" w:fill="F9F9F9"/>
        </w:rPr>
        <w:t xml:space="preserve"> which aims to use a combination of a “path to permissionless” (network nodes) and a “path to widespread coin distribution” (HBAR cryptocurrency) to keep the network secure, while working to achieve full decentralization. Let's focus on permissionless nodes and coin distribution, and the role they play in securely achieving and maintaining decentralization.</w:t>
      </w:r>
      <w:r w:rsidR="00282385">
        <w:rPr>
          <w:rFonts w:ascii="Calibri" w:hAnsi="Calibri" w:cs="Calibri"/>
          <w:color w:val="000000" w:themeColor="text1"/>
          <w:sz w:val="24"/>
          <w:szCs w:val="24"/>
          <w:shd w:val="clear" w:color="auto" w:fill="F9F9F9"/>
        </w:rPr>
        <w:t xml:space="preserve"> [3]</w:t>
      </w:r>
    </w:p>
    <w:p w14:paraId="1FA0A2FC" w14:textId="744D95A9" w:rsidR="0028271F" w:rsidRPr="0028271F" w:rsidRDefault="0028271F" w:rsidP="0028271F">
      <w:pPr>
        <w:jc w:val="both"/>
        <w:rPr>
          <w:rFonts w:ascii="Calibri" w:hAnsi="Calibri" w:cs="Calibri"/>
          <w:color w:val="000000" w:themeColor="text1"/>
          <w:sz w:val="24"/>
          <w:szCs w:val="24"/>
        </w:rPr>
      </w:pPr>
      <w:r w:rsidRPr="0028271F">
        <w:rPr>
          <w:rFonts w:ascii="Calibri" w:hAnsi="Calibri" w:cs="Calibri"/>
          <w:color w:val="000000" w:themeColor="text1"/>
          <w:sz w:val="24"/>
          <w:szCs w:val="24"/>
        </w:rPr>
        <w:t>Hedera is starting off at open access in the upper left quadrant, as a public permissioned network — the nodes which constitute the network will be operated by Hedera Governing Council members, which have been invited to join as network operators. As performance, security, stability, and incentives of the Hedera network mature, Hedera will open node operation to more entities and individuals, relaxing permissions.</w:t>
      </w:r>
    </w:p>
    <w:p w14:paraId="1DC98062" w14:textId="4599230A" w:rsidR="003A5ACA" w:rsidRDefault="0028271F" w:rsidP="0028271F">
      <w:pPr>
        <w:jc w:val="both"/>
        <w:rPr>
          <w:rFonts w:ascii="Calibri" w:hAnsi="Calibri" w:cs="Calibri"/>
          <w:color w:val="000000" w:themeColor="text1"/>
          <w:sz w:val="24"/>
          <w:szCs w:val="24"/>
        </w:rPr>
        <w:sectPr w:rsidR="003A5ACA" w:rsidSect="003A5ACA">
          <w:type w:val="continuous"/>
          <w:pgSz w:w="12240" w:h="15840"/>
          <w:pgMar w:top="1440" w:right="1440" w:bottom="1440" w:left="1440" w:header="720" w:footer="720" w:gutter="0"/>
          <w:cols w:num="2" w:space="720"/>
          <w:docGrid w:linePitch="360"/>
        </w:sectPr>
      </w:pPr>
      <w:r w:rsidRPr="0028271F">
        <w:rPr>
          <w:rFonts w:ascii="Calibri" w:hAnsi="Calibri" w:cs="Calibri"/>
          <w:color w:val="000000" w:themeColor="text1"/>
          <w:sz w:val="24"/>
          <w:szCs w:val="24"/>
        </w:rPr>
        <w:t>The Hedera network will become public and fully permissionless — any individual or organization can run a node anonymously and earn HBAR cryptocurrency for assisting with network operation. This is the path Hedera will take, ensuring security at every point along the path, to fully realize its mission of becoming the most decentralized public permissionless ledger in the market.</w:t>
      </w:r>
    </w:p>
    <w:p w14:paraId="79C1D596" w14:textId="77777777" w:rsidR="003A5ACA" w:rsidRDefault="003A5ACA" w:rsidP="00EF5D55">
      <w:pPr>
        <w:jc w:val="both"/>
        <w:rPr>
          <w:sz w:val="32"/>
          <w:szCs w:val="32"/>
        </w:rPr>
      </w:pPr>
    </w:p>
    <w:p w14:paraId="0B25C172" w14:textId="24D425FB" w:rsidR="00EF5D55" w:rsidRDefault="00EF5D55" w:rsidP="00EF5D55">
      <w:pPr>
        <w:jc w:val="both"/>
        <w:rPr>
          <w:sz w:val="32"/>
          <w:szCs w:val="32"/>
        </w:rPr>
      </w:pPr>
      <w:r>
        <w:rPr>
          <w:sz w:val="32"/>
          <w:szCs w:val="32"/>
        </w:rPr>
        <w:t>Research Questions:</w:t>
      </w:r>
    </w:p>
    <w:p w14:paraId="548BD135" w14:textId="0870A513" w:rsidR="0027521E" w:rsidRPr="0027521E" w:rsidRDefault="009D463B" w:rsidP="0027521E">
      <w:pPr>
        <w:pStyle w:val="ListParagraph"/>
        <w:numPr>
          <w:ilvl w:val="0"/>
          <w:numId w:val="1"/>
        </w:numPr>
        <w:jc w:val="both"/>
        <w:rPr>
          <w:sz w:val="24"/>
          <w:szCs w:val="24"/>
        </w:rPr>
      </w:pPr>
      <w:r>
        <w:rPr>
          <w:sz w:val="24"/>
          <w:szCs w:val="24"/>
        </w:rPr>
        <w:t xml:space="preserve"> </w:t>
      </w:r>
    </w:p>
    <w:p w14:paraId="428DCF77" w14:textId="555CD901" w:rsidR="009261EA" w:rsidRDefault="009261EA" w:rsidP="00EF5D55">
      <w:pPr>
        <w:jc w:val="both"/>
        <w:rPr>
          <w:sz w:val="32"/>
          <w:szCs w:val="32"/>
        </w:rPr>
      </w:pPr>
    </w:p>
    <w:p w14:paraId="56600E2B" w14:textId="77777777" w:rsidR="00C676C2" w:rsidRDefault="00C676C2" w:rsidP="009261EA">
      <w:pPr>
        <w:jc w:val="both"/>
        <w:rPr>
          <w:sz w:val="32"/>
          <w:szCs w:val="32"/>
        </w:rPr>
        <w:sectPr w:rsidR="00C676C2" w:rsidSect="007B4AFB">
          <w:type w:val="continuous"/>
          <w:pgSz w:w="12240" w:h="15840"/>
          <w:pgMar w:top="1440" w:right="1440" w:bottom="1440" w:left="1440" w:header="720" w:footer="720" w:gutter="0"/>
          <w:cols w:space="720"/>
          <w:docGrid w:linePitch="360"/>
        </w:sectPr>
      </w:pPr>
    </w:p>
    <w:p w14:paraId="209DAAA7" w14:textId="77777777" w:rsidR="009D463B" w:rsidRDefault="009D463B" w:rsidP="009261EA">
      <w:pPr>
        <w:jc w:val="both"/>
        <w:rPr>
          <w:sz w:val="32"/>
          <w:szCs w:val="32"/>
        </w:rPr>
      </w:pPr>
    </w:p>
    <w:p w14:paraId="1C44D7FE" w14:textId="5BA88AD4" w:rsidR="009261EA" w:rsidRDefault="009261EA" w:rsidP="009261EA">
      <w:pPr>
        <w:jc w:val="both"/>
        <w:rPr>
          <w:sz w:val="32"/>
          <w:szCs w:val="32"/>
        </w:rPr>
      </w:pPr>
      <w:r>
        <w:rPr>
          <w:sz w:val="32"/>
          <w:szCs w:val="32"/>
        </w:rPr>
        <w:t>Literature Survey:</w:t>
      </w:r>
    </w:p>
    <w:p w14:paraId="5B0595D2" w14:textId="005F4B26" w:rsidR="000A7B22" w:rsidRDefault="009261EA" w:rsidP="009261EA">
      <w:pPr>
        <w:jc w:val="both"/>
        <w:rPr>
          <w:sz w:val="32"/>
          <w:szCs w:val="32"/>
        </w:rPr>
      </w:pPr>
      <w:r w:rsidRPr="0033226F">
        <w:rPr>
          <w:sz w:val="32"/>
          <w:szCs w:val="32"/>
          <w:highlight w:val="yellow"/>
        </w:rPr>
        <w:t xml:space="preserve">Survey Report: </w:t>
      </w:r>
      <w:r w:rsidR="00573C0B" w:rsidRPr="0033226F">
        <w:rPr>
          <w:sz w:val="32"/>
          <w:szCs w:val="32"/>
          <w:highlight w:val="yellow"/>
        </w:rPr>
        <w:t>On Hedera Token service</w:t>
      </w:r>
      <w:r w:rsidR="00573C0B">
        <w:rPr>
          <w:sz w:val="32"/>
          <w:szCs w:val="32"/>
        </w:rPr>
        <w:t xml:space="preserve"> </w:t>
      </w:r>
    </w:p>
    <w:p w14:paraId="001A44D0" w14:textId="3B4A7752" w:rsidR="00C46AEF" w:rsidRDefault="007855C5" w:rsidP="009261EA">
      <w:pPr>
        <w:jc w:val="both"/>
        <w:rPr>
          <w:sz w:val="24"/>
          <w:szCs w:val="24"/>
        </w:rPr>
      </w:pPr>
      <w:r>
        <w:rPr>
          <w:sz w:val="24"/>
          <w:szCs w:val="24"/>
        </w:rPr>
        <w:t>In Hedera token service, which consists of 3 phases are Main-net, Mirror-net, Test-net which is used to implement the NFT Transaction in Hedera Network.</w:t>
      </w:r>
      <w:r w:rsidR="00200C63">
        <w:rPr>
          <w:sz w:val="24"/>
          <w:szCs w:val="24"/>
        </w:rPr>
        <w:t xml:space="preserve"> In Main-net phase, it contains Main-net nodes, Mirror nodes, Network services and support. In Mirror-net Phase, which contains the information about community mirror nodes, Hedera ETL, Hedera Mirror node, One-Click Node Deployment, Run your own Beta </w:t>
      </w:r>
      <w:r w:rsidR="00ED1C95">
        <w:rPr>
          <w:sz w:val="24"/>
          <w:szCs w:val="24"/>
        </w:rPr>
        <w:t>mirror node. The Beta version can implement only if the NFT Transaction phase should before the deployment to Main-net phase</w:t>
      </w:r>
      <w:r w:rsidR="00504C62">
        <w:rPr>
          <w:sz w:val="24"/>
          <w:szCs w:val="24"/>
        </w:rPr>
        <w:t>. In Test-net phase which contains Testnet nodes, Mirror nodes, Network services and support. The Network services consists of cryptocurrency, consensus, tokens, files and smart contracts.</w:t>
      </w:r>
      <w:r w:rsidR="007915F0">
        <w:rPr>
          <w:sz w:val="24"/>
          <w:szCs w:val="24"/>
        </w:rPr>
        <w:t xml:space="preserve"> </w:t>
      </w:r>
    </w:p>
    <w:p w14:paraId="7080086D" w14:textId="465F0BAC" w:rsidR="00504C62" w:rsidRDefault="00C46AEF" w:rsidP="009261EA">
      <w:pPr>
        <w:jc w:val="both"/>
        <w:rPr>
          <w:sz w:val="24"/>
          <w:szCs w:val="24"/>
        </w:rPr>
      </w:pPr>
      <w:r>
        <w:rPr>
          <w:noProof/>
          <w:sz w:val="24"/>
          <w:szCs w:val="24"/>
        </w:rPr>
        <w:drawing>
          <wp:inline distT="0" distB="0" distL="0" distR="0" wp14:anchorId="474F9EB9" wp14:editId="30F230F3">
            <wp:extent cx="2651760" cy="975360"/>
            <wp:effectExtent l="0" t="19050" r="0" b="1524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9445852" w14:textId="77777777" w:rsidR="00C676C2" w:rsidRDefault="00B25B22" w:rsidP="00C676C2">
      <w:pPr>
        <w:jc w:val="both"/>
        <w:rPr>
          <w:sz w:val="32"/>
          <w:szCs w:val="32"/>
        </w:rPr>
      </w:pPr>
      <w:r>
        <w:rPr>
          <w:sz w:val="24"/>
          <w:szCs w:val="24"/>
        </w:rPr>
        <w:t>[Transaction Phase of Hedera HBAR Network]</w:t>
      </w:r>
      <w:r w:rsidR="00C676C2" w:rsidRPr="00C676C2">
        <w:rPr>
          <w:sz w:val="32"/>
          <w:szCs w:val="32"/>
        </w:rPr>
        <w:t xml:space="preserve"> </w:t>
      </w:r>
    </w:p>
    <w:p w14:paraId="5D687F7C" w14:textId="43485727" w:rsidR="00C676C2" w:rsidRDefault="00C676C2" w:rsidP="00C676C2">
      <w:pPr>
        <w:jc w:val="both"/>
        <w:rPr>
          <w:sz w:val="32"/>
          <w:szCs w:val="32"/>
        </w:rPr>
      </w:pPr>
      <w:r w:rsidRPr="009D463B">
        <w:rPr>
          <w:sz w:val="32"/>
          <w:szCs w:val="32"/>
          <w:highlight w:val="yellow"/>
        </w:rPr>
        <w:t>Survey Report: On Main-net Access</w:t>
      </w:r>
    </w:p>
    <w:p w14:paraId="0CEF8FB7" w14:textId="64DF0500" w:rsidR="00C676C2" w:rsidRDefault="00C676C2" w:rsidP="00C676C2">
      <w:pPr>
        <w:jc w:val="both"/>
        <w:rPr>
          <w:sz w:val="24"/>
          <w:szCs w:val="24"/>
        </w:rPr>
      </w:pPr>
      <w:r>
        <w:rPr>
          <w:sz w:val="24"/>
          <w:szCs w:val="24"/>
        </w:rPr>
        <w:t>A Main-net phase, which should have Hedera main-net account to interact with and pay for any of the network services (cryptocurrency, consensus, tokens, files and smart contracts). Hedera Account is what holds balance of HBAR to be used for transfer accounts or payments for network.</w:t>
      </w:r>
    </w:p>
    <w:p w14:paraId="054279BE" w14:textId="18995374" w:rsidR="00DE6771" w:rsidRDefault="00DE6771" w:rsidP="00DE6771">
      <w:pPr>
        <w:jc w:val="both"/>
        <w:rPr>
          <w:sz w:val="32"/>
          <w:szCs w:val="32"/>
        </w:rPr>
      </w:pPr>
      <w:r w:rsidRPr="009D463B">
        <w:rPr>
          <w:sz w:val="32"/>
          <w:szCs w:val="32"/>
          <w:highlight w:val="yellow"/>
        </w:rPr>
        <w:t>Survey Report:</w:t>
      </w:r>
      <w:r w:rsidR="00E403BB" w:rsidRPr="009D463B">
        <w:rPr>
          <w:sz w:val="32"/>
          <w:szCs w:val="32"/>
          <w:highlight w:val="yellow"/>
        </w:rPr>
        <w:t xml:space="preserve"> </w:t>
      </w:r>
      <w:r w:rsidRPr="009D463B">
        <w:rPr>
          <w:sz w:val="32"/>
          <w:szCs w:val="32"/>
          <w:highlight w:val="yellow"/>
        </w:rPr>
        <w:t>Remove centralized control</w:t>
      </w:r>
      <w:r w:rsidR="00E403BB" w:rsidRPr="009D463B">
        <w:rPr>
          <w:sz w:val="32"/>
          <w:szCs w:val="32"/>
          <w:highlight w:val="yellow"/>
        </w:rPr>
        <w:t>: Hala Systems</w:t>
      </w:r>
    </w:p>
    <w:p w14:paraId="6245332E" w14:textId="77777777" w:rsidR="00DE6771" w:rsidRPr="00C676C2" w:rsidRDefault="00DE6771" w:rsidP="00DE6771">
      <w:pPr>
        <w:jc w:val="both"/>
        <w:rPr>
          <w:sz w:val="24"/>
          <w:szCs w:val="24"/>
        </w:rPr>
      </w:pPr>
      <w:r w:rsidRPr="00C676C2">
        <w:rPr>
          <w:sz w:val="24"/>
          <w:szCs w:val="24"/>
        </w:rPr>
        <w:t>Storing data to a central database necessitates trust — faith that the database will be adequately secured and that the data will not be tampered with or erased.</w:t>
      </w:r>
    </w:p>
    <w:p w14:paraId="13C95EA7" w14:textId="77777777" w:rsidR="00DE6771" w:rsidRPr="00C676C2" w:rsidRDefault="00DE6771" w:rsidP="00DE6771">
      <w:pPr>
        <w:jc w:val="both"/>
        <w:rPr>
          <w:sz w:val="24"/>
          <w:szCs w:val="24"/>
        </w:rPr>
      </w:pPr>
      <w:r w:rsidRPr="00C676C2">
        <w:rPr>
          <w:sz w:val="24"/>
          <w:szCs w:val="24"/>
        </w:rPr>
        <w:t>after it has already been written Hala Systems was looking for a solution that could act quickly.as an unbiased observer who is not influenced by them or a single party</w:t>
      </w:r>
    </w:p>
    <w:p w14:paraId="49F261E1" w14:textId="77777777" w:rsidR="00E403BB" w:rsidRPr="00E403BB" w:rsidRDefault="00DE6771" w:rsidP="00E403BB">
      <w:pPr>
        <w:jc w:val="both"/>
        <w:rPr>
          <w:sz w:val="24"/>
          <w:szCs w:val="24"/>
        </w:rPr>
      </w:pPr>
      <w:r w:rsidRPr="00C676C2">
        <w:rPr>
          <w:sz w:val="24"/>
          <w:szCs w:val="24"/>
        </w:rPr>
        <w:t xml:space="preserve">a single entity, but one that is dispersed and highly decentralized among several </w:t>
      </w:r>
      <w:r w:rsidR="00D91847">
        <w:rPr>
          <w:sz w:val="24"/>
          <w:szCs w:val="24"/>
        </w:rPr>
        <w:t>p</w:t>
      </w:r>
      <w:r w:rsidRPr="00C676C2">
        <w:rPr>
          <w:sz w:val="24"/>
          <w:szCs w:val="24"/>
        </w:rPr>
        <w:t>arties who are impartial. This distributed character, along with the fact that Multiple assurances are provided by its immutable nature. independent parties to determine who submitted the data and when it was received recorded, as well as the information it contains.</w:t>
      </w:r>
      <w:r w:rsidR="00D91847">
        <w:rPr>
          <w:sz w:val="24"/>
          <w:szCs w:val="24"/>
        </w:rPr>
        <w:t xml:space="preserve"> </w:t>
      </w:r>
      <w:r w:rsidR="00D91847" w:rsidRPr="00D91847">
        <w:rPr>
          <w:sz w:val="24"/>
          <w:szCs w:val="24"/>
        </w:rPr>
        <w:t>Due to unauthori</w:t>
      </w:r>
      <w:r w:rsidR="00D91847">
        <w:rPr>
          <w:sz w:val="24"/>
          <w:szCs w:val="24"/>
        </w:rPr>
        <w:t>z</w:t>
      </w:r>
      <w:r w:rsidR="00D91847" w:rsidRPr="00D91847">
        <w:rPr>
          <w:sz w:val="24"/>
          <w:szCs w:val="24"/>
        </w:rPr>
        <w:t>ed access to Hala Systems' network domain, over 2 million people's accounts have been alerted. There were 140 warning messages sent to their clients about illegal access to their information. During the case study, 250k persons experienced less trauma as a result of using this service.</w:t>
      </w:r>
      <w:r w:rsidR="00D91847">
        <w:rPr>
          <w:sz w:val="24"/>
          <w:szCs w:val="24"/>
        </w:rPr>
        <w:t xml:space="preserve"> </w:t>
      </w:r>
      <w:r w:rsidR="00E403BB" w:rsidRPr="00E403BB">
        <w:rPr>
          <w:sz w:val="24"/>
          <w:szCs w:val="24"/>
        </w:rPr>
        <w:t>Every Hedera network service uses the hashgraph consensus technique to establish distributed consensus.</w:t>
      </w:r>
    </w:p>
    <w:p w14:paraId="3E0C67E8" w14:textId="7ED830B3" w:rsidR="00C676C2" w:rsidRPr="00C676C2" w:rsidRDefault="00E403BB" w:rsidP="00504C62">
      <w:pPr>
        <w:jc w:val="both"/>
        <w:rPr>
          <w:sz w:val="24"/>
          <w:szCs w:val="24"/>
        </w:rPr>
        <w:sectPr w:rsidR="00C676C2" w:rsidRPr="00C676C2" w:rsidSect="00C676C2">
          <w:type w:val="continuous"/>
          <w:pgSz w:w="12240" w:h="15840"/>
          <w:pgMar w:top="1440" w:right="1440" w:bottom="1440" w:left="1440" w:header="720" w:footer="720" w:gutter="0"/>
          <w:cols w:num="2" w:space="720"/>
          <w:docGrid w:linePitch="360"/>
        </w:sectPr>
      </w:pPr>
      <w:r w:rsidRPr="00E403BB">
        <w:rPr>
          <w:sz w:val="24"/>
          <w:szCs w:val="24"/>
        </w:rPr>
        <w:t>Hashgraph proposed two innovative ideas to produce what may be the most mathematically efficient sort of consensus possible: gossip chatter and virtual voting. Hashgraph is not only efficient, but also secure; due to its asynchronous Byzantine fault tolerance, it has been found to be more robust in more conditions than rival consensus algorithms.</w:t>
      </w:r>
    </w:p>
    <w:p w14:paraId="57AC744F" w14:textId="77777777" w:rsidR="00C676C2" w:rsidRDefault="00C676C2" w:rsidP="00504C62">
      <w:pPr>
        <w:jc w:val="both"/>
        <w:rPr>
          <w:sz w:val="32"/>
          <w:szCs w:val="32"/>
        </w:rPr>
        <w:sectPr w:rsidR="00C676C2" w:rsidSect="007B4AFB">
          <w:type w:val="continuous"/>
          <w:pgSz w:w="12240" w:h="15840"/>
          <w:pgMar w:top="1440" w:right="1440" w:bottom="1440" w:left="1440" w:header="720" w:footer="720" w:gutter="0"/>
          <w:cols w:space="720"/>
          <w:docGrid w:linePitch="360"/>
        </w:sectPr>
      </w:pPr>
    </w:p>
    <w:p w14:paraId="1DB14D17" w14:textId="42D9CE32" w:rsidR="001249F4" w:rsidRDefault="001249F4" w:rsidP="009261EA">
      <w:pPr>
        <w:jc w:val="both"/>
        <w:rPr>
          <w:sz w:val="32"/>
          <w:szCs w:val="32"/>
        </w:rPr>
      </w:pPr>
      <w:r>
        <w:rPr>
          <w:sz w:val="32"/>
          <w:szCs w:val="32"/>
        </w:rPr>
        <w:t>Proposed System:</w:t>
      </w:r>
    </w:p>
    <w:p w14:paraId="58514618" w14:textId="77777777" w:rsidR="00C46AEF" w:rsidRDefault="00C46AEF" w:rsidP="009261EA">
      <w:pPr>
        <w:jc w:val="both"/>
        <w:rPr>
          <w:b/>
          <w:bCs/>
          <w:sz w:val="24"/>
          <w:szCs w:val="24"/>
        </w:rPr>
        <w:sectPr w:rsidR="00C46AEF" w:rsidSect="007B4AFB">
          <w:type w:val="continuous"/>
          <w:pgSz w:w="12240" w:h="15840"/>
          <w:pgMar w:top="1440" w:right="1440" w:bottom="1440" w:left="1440" w:header="720" w:footer="720" w:gutter="0"/>
          <w:cols w:space="720"/>
          <w:docGrid w:linePitch="360"/>
        </w:sectPr>
      </w:pPr>
    </w:p>
    <w:p w14:paraId="74D4DAE3" w14:textId="71D95089" w:rsidR="009261EA" w:rsidRPr="00DD7CD5" w:rsidRDefault="001249F4" w:rsidP="009261EA">
      <w:pPr>
        <w:jc w:val="both"/>
        <w:rPr>
          <w:b/>
          <w:bCs/>
          <w:sz w:val="24"/>
          <w:szCs w:val="24"/>
        </w:rPr>
      </w:pPr>
      <w:r w:rsidRPr="00DD7CD5">
        <w:rPr>
          <w:b/>
          <w:bCs/>
          <w:sz w:val="24"/>
          <w:szCs w:val="24"/>
        </w:rPr>
        <w:t xml:space="preserve">Non-Fungible Transaction: </w:t>
      </w:r>
    </w:p>
    <w:p w14:paraId="4B8E7701" w14:textId="5F736A41" w:rsidR="003E1896" w:rsidRDefault="001249F4" w:rsidP="009261EA">
      <w:pPr>
        <w:jc w:val="both"/>
        <w:rPr>
          <w:noProof/>
          <w:sz w:val="24"/>
          <w:szCs w:val="24"/>
        </w:rPr>
      </w:pPr>
      <w:r>
        <w:rPr>
          <w:sz w:val="24"/>
          <w:szCs w:val="24"/>
        </w:rPr>
        <w:t xml:space="preserve">A non-fungible transaction is a type of cryptographic token technique is its attributes typically programmed into the </w:t>
      </w:r>
      <w:r w:rsidRPr="00D1596E">
        <w:rPr>
          <w:sz w:val="24"/>
          <w:szCs w:val="24"/>
          <w:highlight w:val="yellow"/>
        </w:rPr>
        <w:t>NFT’s issuing smart constructor</w:t>
      </w:r>
      <w:r>
        <w:rPr>
          <w:sz w:val="24"/>
          <w:szCs w:val="24"/>
        </w:rPr>
        <w:t xml:space="preserve"> are part of the initial native configuration of the NFT before issue</w:t>
      </w:r>
      <w:r w:rsidR="00931924">
        <w:rPr>
          <w:sz w:val="24"/>
          <w:szCs w:val="24"/>
        </w:rPr>
        <w:t xml:space="preserve"> are</w:t>
      </w:r>
      <w:r w:rsidR="00931924">
        <w:rPr>
          <w:noProof/>
          <w:sz w:val="24"/>
          <w:szCs w:val="24"/>
        </w:rPr>
        <w:t>.</w:t>
      </w:r>
    </w:p>
    <w:p w14:paraId="69C0352C" w14:textId="0DC4D8F7" w:rsidR="00EF6836" w:rsidRDefault="00EF6836" w:rsidP="009261EA">
      <w:pPr>
        <w:jc w:val="both"/>
        <w:rPr>
          <w:noProof/>
          <w:sz w:val="24"/>
          <w:szCs w:val="24"/>
        </w:rPr>
      </w:pPr>
    </w:p>
    <w:p w14:paraId="45BE72CF" w14:textId="2D5719EA" w:rsidR="00D509D0" w:rsidRDefault="00931924" w:rsidP="009261EA">
      <w:pPr>
        <w:jc w:val="both"/>
        <w:rPr>
          <w:sz w:val="24"/>
          <w:szCs w:val="24"/>
        </w:rPr>
      </w:pPr>
      <w:r>
        <w:rPr>
          <w:noProof/>
          <w:sz w:val="24"/>
          <w:szCs w:val="24"/>
        </w:rPr>
        <w:drawing>
          <wp:inline distT="0" distB="0" distL="0" distR="0" wp14:anchorId="54048C43" wp14:editId="20E7E23A">
            <wp:extent cx="3070860" cy="1463040"/>
            <wp:effectExtent l="0" t="38100" r="0" b="8001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001A19">
        <w:rPr>
          <w:sz w:val="24"/>
          <w:szCs w:val="24"/>
        </w:rPr>
        <w:t xml:space="preserve">          </w:t>
      </w:r>
      <w:r w:rsidR="00D73D12">
        <w:rPr>
          <w:sz w:val="24"/>
          <w:szCs w:val="24"/>
        </w:rPr>
        <w:t>[Flow of NFT Transaction phases(a)]</w:t>
      </w:r>
    </w:p>
    <w:p w14:paraId="43FBD0A5" w14:textId="77777777" w:rsidR="00FB2623" w:rsidRDefault="00FB2623" w:rsidP="00FB2623">
      <w:pPr>
        <w:jc w:val="both"/>
        <w:rPr>
          <w:sz w:val="32"/>
          <w:szCs w:val="32"/>
        </w:rPr>
      </w:pPr>
      <w:r>
        <w:rPr>
          <w:noProof/>
          <w:sz w:val="32"/>
          <w:szCs w:val="32"/>
        </w:rPr>
        <w:drawing>
          <wp:inline distT="0" distB="0" distL="0" distR="0" wp14:anchorId="06FA6989" wp14:editId="77F46E25">
            <wp:extent cx="2990850" cy="1283970"/>
            <wp:effectExtent l="0" t="19050" r="0" b="1143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E803192" w14:textId="77777777" w:rsidR="00FB2623" w:rsidRPr="005E71D6" w:rsidRDefault="00FB2623" w:rsidP="00001A19">
      <w:pPr>
        <w:ind w:firstLine="720"/>
        <w:jc w:val="both"/>
        <w:rPr>
          <w:sz w:val="32"/>
          <w:szCs w:val="32"/>
        </w:rPr>
      </w:pPr>
      <w:r>
        <w:rPr>
          <w:sz w:val="24"/>
          <w:szCs w:val="24"/>
        </w:rPr>
        <w:t>[Flow of NFT Transaction phases(b)]</w:t>
      </w:r>
    </w:p>
    <w:p w14:paraId="6BD0CAAA" w14:textId="1FBF7980" w:rsidR="00FB2623" w:rsidRDefault="00695792" w:rsidP="009261EA">
      <w:pPr>
        <w:jc w:val="both"/>
        <w:rPr>
          <w:sz w:val="24"/>
          <w:szCs w:val="24"/>
        </w:rPr>
      </w:pPr>
      <w:r>
        <w:rPr>
          <w:noProof/>
          <w:sz w:val="24"/>
          <w:szCs w:val="24"/>
        </w:rPr>
        <w:drawing>
          <wp:inline distT="0" distB="0" distL="0" distR="0" wp14:anchorId="09D90ED3" wp14:editId="4985FAF3">
            <wp:extent cx="2743200" cy="1305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7331" cy="1307526"/>
                    </a:xfrm>
                    <a:prstGeom prst="rect">
                      <a:avLst/>
                    </a:prstGeom>
                  </pic:spPr>
                </pic:pic>
              </a:graphicData>
            </a:graphic>
          </wp:inline>
        </w:drawing>
      </w:r>
    </w:p>
    <w:p w14:paraId="1627466D" w14:textId="32D06A51" w:rsidR="008A58DD" w:rsidRPr="00613C6F" w:rsidRDefault="00695792" w:rsidP="00613C6F">
      <w:pPr>
        <w:ind w:firstLine="720"/>
        <w:jc w:val="both"/>
        <w:rPr>
          <w:sz w:val="32"/>
          <w:szCs w:val="32"/>
        </w:rPr>
      </w:pPr>
      <w:r>
        <w:rPr>
          <w:sz w:val="24"/>
          <w:szCs w:val="24"/>
        </w:rPr>
        <w:t>[Flow of NFT Transaction phases(c)]</w:t>
      </w:r>
    </w:p>
    <w:p w14:paraId="0842EB21" w14:textId="510DB6B6" w:rsidR="009261EA" w:rsidRPr="003F1AA0" w:rsidRDefault="00DD7CD5" w:rsidP="003F1AA0">
      <w:pPr>
        <w:jc w:val="both"/>
        <w:rPr>
          <w:sz w:val="32"/>
          <w:szCs w:val="32"/>
        </w:rPr>
      </w:pPr>
      <w:r w:rsidRPr="00DD7CD5">
        <w:rPr>
          <w:b/>
          <w:bCs/>
          <w:sz w:val="24"/>
          <w:szCs w:val="24"/>
        </w:rPr>
        <w:t>Blockchain Methodology:</w:t>
      </w:r>
    </w:p>
    <w:p w14:paraId="0AF53E2E" w14:textId="77777777" w:rsidR="005E71D6" w:rsidRDefault="00C46AEF" w:rsidP="009261EA">
      <w:pPr>
        <w:jc w:val="both"/>
        <w:rPr>
          <w:sz w:val="24"/>
          <w:szCs w:val="24"/>
        </w:rPr>
      </w:pPr>
      <w:r w:rsidRPr="00C46AEF">
        <w:rPr>
          <w:sz w:val="24"/>
          <w:szCs w:val="24"/>
        </w:rPr>
        <w:t xml:space="preserve">As the word is used in the blockchain world, </w:t>
      </w:r>
      <w:r w:rsidRPr="0033226F">
        <w:rPr>
          <w:sz w:val="24"/>
          <w:szCs w:val="24"/>
          <w:highlight w:val="yellow"/>
        </w:rPr>
        <w:t>the hashgraph is 100 percent efficient.</w:t>
      </w:r>
      <w:r w:rsidRPr="00C46AEF">
        <w:rPr>
          <w:sz w:val="24"/>
          <w:szCs w:val="24"/>
        </w:rPr>
        <w:t xml:space="preserve"> Work is occasionally lost in blockchain mining a block that is subsequently deemed old and abandoned by the community. The equivalent of a "block" in hashgraph never grows stale. Hashgraph makes good use of</w:t>
      </w:r>
    </w:p>
    <w:p w14:paraId="69C9FE92" w14:textId="4B48A951" w:rsidR="00C46AEF" w:rsidRPr="00E107E5" w:rsidRDefault="00C46AEF" w:rsidP="009261EA">
      <w:pPr>
        <w:jc w:val="both"/>
        <w:rPr>
          <w:sz w:val="24"/>
          <w:szCs w:val="24"/>
        </w:rPr>
      </w:pPr>
      <w:r w:rsidRPr="00C46AEF">
        <w:rPr>
          <w:sz w:val="24"/>
          <w:szCs w:val="24"/>
        </w:rPr>
        <w:t>bandwidth as well. Hashgraph adds just a little cost above and above the amount of bandwidth necessary simply to tell all nodes about a particular transaction (even without obtaining consensus on a timestamp for such transaction).</w:t>
      </w:r>
    </w:p>
    <w:p w14:paraId="37A7413A" w14:textId="77507596" w:rsidR="00E107E5" w:rsidRPr="00E107E5" w:rsidRDefault="00E107E5" w:rsidP="009261EA">
      <w:pPr>
        <w:jc w:val="both"/>
        <w:rPr>
          <w:b/>
          <w:bCs/>
          <w:sz w:val="24"/>
          <w:szCs w:val="24"/>
        </w:rPr>
      </w:pPr>
      <w:r>
        <w:rPr>
          <w:b/>
          <w:bCs/>
          <w:sz w:val="24"/>
          <w:szCs w:val="24"/>
        </w:rPr>
        <w:t>Gossip Protocol</w:t>
      </w:r>
      <w:r w:rsidRPr="00DD7CD5">
        <w:rPr>
          <w:b/>
          <w:bCs/>
          <w:sz w:val="24"/>
          <w:szCs w:val="24"/>
        </w:rPr>
        <w:t>:</w:t>
      </w:r>
    </w:p>
    <w:p w14:paraId="586F1313" w14:textId="77777777" w:rsidR="00D73D12" w:rsidRDefault="00E107E5" w:rsidP="009261EA">
      <w:pPr>
        <w:jc w:val="both"/>
        <w:rPr>
          <w:sz w:val="24"/>
          <w:szCs w:val="24"/>
        </w:rPr>
      </w:pPr>
      <w:r w:rsidRPr="00E107E5">
        <w:rPr>
          <w:sz w:val="24"/>
          <w:szCs w:val="24"/>
        </w:rPr>
        <w:t xml:space="preserve">A gossip protocol, also known as an </w:t>
      </w:r>
      <w:r w:rsidRPr="00D1596E">
        <w:rPr>
          <w:sz w:val="24"/>
          <w:szCs w:val="24"/>
          <w:highlight w:val="yellow"/>
        </w:rPr>
        <w:t>epidemic protocol, is a computer peer-to-peer communication mechanism or process based on how epidemics propagate</w:t>
      </w:r>
      <w:r w:rsidRPr="00E107E5">
        <w:rPr>
          <w:sz w:val="24"/>
          <w:szCs w:val="24"/>
        </w:rPr>
        <w:t xml:space="preserve">. To guarantee that data is delivered to all members of a group, numerous distributed methods utilize </w:t>
      </w:r>
      <w:r w:rsidRPr="002E3452">
        <w:rPr>
          <w:sz w:val="24"/>
          <w:szCs w:val="24"/>
          <w:highlight w:val="yellow"/>
        </w:rPr>
        <w:t>peer-to-peer gossip</w:t>
      </w:r>
      <w:r w:rsidRPr="00E107E5">
        <w:rPr>
          <w:sz w:val="24"/>
          <w:szCs w:val="24"/>
        </w:rPr>
        <w:t>.</w:t>
      </w:r>
      <w:r>
        <w:rPr>
          <w:sz w:val="24"/>
          <w:szCs w:val="24"/>
        </w:rPr>
        <w:t xml:space="preserve"> </w:t>
      </w:r>
      <w:r w:rsidR="0028694F" w:rsidRPr="0028694F">
        <w:rPr>
          <w:sz w:val="24"/>
          <w:szCs w:val="24"/>
        </w:rPr>
        <w:t>This is the technique that allows all transactions to commit their transactions via the gossip protocol. This can resolve the error in multicast broadcasting communication by itself</w:t>
      </w:r>
      <w:r w:rsidR="00D73D12">
        <w:rPr>
          <w:sz w:val="24"/>
          <w:szCs w:val="24"/>
        </w:rPr>
        <w:t>.</w:t>
      </w:r>
    </w:p>
    <w:p w14:paraId="2C388239" w14:textId="58B7F6F4" w:rsidR="00E403BB" w:rsidRDefault="00D73D12" w:rsidP="009261EA">
      <w:pPr>
        <w:jc w:val="both"/>
        <w:rPr>
          <w:sz w:val="24"/>
          <w:szCs w:val="24"/>
        </w:rPr>
      </w:pPr>
      <w:r w:rsidRPr="00D73D12">
        <w:rPr>
          <w:sz w:val="24"/>
          <w:szCs w:val="24"/>
        </w:rPr>
        <w:t>Participants in the gossip protocol on the blockchain transmit new information (called gossip) about transactions, </w:t>
      </w:r>
      <w:r w:rsidRPr="002E3452">
        <w:rPr>
          <w:sz w:val="24"/>
          <w:szCs w:val="24"/>
          <w:highlight w:val="yellow"/>
        </w:rPr>
        <w:t>as well as gossip about gossip</w:t>
      </w:r>
      <w:r w:rsidRPr="00D73D12">
        <w:rPr>
          <w:sz w:val="24"/>
          <w:szCs w:val="24"/>
        </w:rPr>
        <w:t>.</w:t>
      </w:r>
    </w:p>
    <w:p w14:paraId="16970AB0" w14:textId="79E89760" w:rsidR="00E403BB" w:rsidRPr="00E403BB" w:rsidRDefault="00E403BB" w:rsidP="00E403BB">
      <w:pPr>
        <w:jc w:val="both"/>
        <w:rPr>
          <w:b/>
          <w:bCs/>
          <w:sz w:val="24"/>
          <w:szCs w:val="24"/>
        </w:rPr>
      </w:pPr>
      <w:r w:rsidRPr="00E403BB">
        <w:rPr>
          <w:b/>
          <w:bCs/>
          <w:sz w:val="24"/>
          <w:szCs w:val="24"/>
        </w:rPr>
        <w:t>Hashgraph</w:t>
      </w:r>
      <w:r>
        <w:rPr>
          <w:b/>
          <w:bCs/>
          <w:sz w:val="24"/>
          <w:szCs w:val="24"/>
        </w:rPr>
        <w:t>:</w:t>
      </w:r>
    </w:p>
    <w:p w14:paraId="2489CDE0" w14:textId="5E4BB693" w:rsidR="00E403BB" w:rsidRDefault="00E403BB" w:rsidP="00C81EEE">
      <w:pPr>
        <w:jc w:val="both"/>
        <w:rPr>
          <w:sz w:val="24"/>
          <w:szCs w:val="24"/>
        </w:rPr>
      </w:pPr>
      <w:r w:rsidRPr="00E403BB">
        <w:rPr>
          <w:sz w:val="24"/>
          <w:szCs w:val="24"/>
        </w:rPr>
        <w:t xml:space="preserve">Hedera Hashgraph employs its own consensus method and data structure called </w:t>
      </w:r>
      <w:r w:rsidRPr="00D1596E">
        <w:rPr>
          <w:sz w:val="24"/>
          <w:szCs w:val="24"/>
          <w:highlight w:val="yellow"/>
        </w:rPr>
        <w:t>hashgraph to perform 100x more transactions per second than blockchain-based alternatives.</w:t>
      </w:r>
      <w:r w:rsidRPr="00E403BB">
        <w:rPr>
          <w:sz w:val="24"/>
          <w:szCs w:val="24"/>
        </w:rPr>
        <w:t xml:space="preserve"> Hashgraph is incredibly efficient thanks to two features: virtual voting and chatter about gossip.</w:t>
      </w:r>
      <w:r w:rsidR="00C81EEE">
        <w:rPr>
          <w:sz w:val="24"/>
          <w:szCs w:val="24"/>
        </w:rPr>
        <w:t xml:space="preserve"> </w:t>
      </w:r>
      <w:r w:rsidR="00C81EEE" w:rsidRPr="00C81EEE">
        <w:rPr>
          <w:sz w:val="24"/>
          <w:szCs w:val="24"/>
        </w:rPr>
        <w:t>On hashgraph, each event has the following information:</w:t>
      </w:r>
      <w:r w:rsidR="00C81EEE">
        <w:rPr>
          <w:sz w:val="24"/>
          <w:szCs w:val="24"/>
        </w:rPr>
        <w:t xml:space="preserve"> </w:t>
      </w:r>
      <w:r w:rsidR="00C81EEE" w:rsidRPr="00C81EEE">
        <w:rPr>
          <w:sz w:val="24"/>
          <w:szCs w:val="24"/>
        </w:rPr>
        <w:t>Self-parent, Other-parent</w:t>
      </w:r>
      <w:r w:rsidR="00C81EEE">
        <w:rPr>
          <w:sz w:val="24"/>
          <w:szCs w:val="24"/>
        </w:rPr>
        <w:t>;</w:t>
      </w:r>
      <w:r w:rsidR="00C81EEE" w:rsidRPr="00C81EEE">
        <w:rPr>
          <w:sz w:val="24"/>
          <w:szCs w:val="24"/>
        </w:rPr>
        <w:t xml:space="preserve"> Transactions, Timestamp, Signature on a computer</w:t>
      </w:r>
      <w:r w:rsidR="00C81EEE">
        <w:rPr>
          <w:sz w:val="24"/>
          <w:szCs w:val="24"/>
        </w:rPr>
        <w:t>.</w:t>
      </w:r>
    </w:p>
    <w:p w14:paraId="19A80C6E" w14:textId="3E950A95" w:rsidR="004840EA" w:rsidRDefault="004840EA" w:rsidP="00C81EEE">
      <w:pPr>
        <w:jc w:val="both"/>
        <w:rPr>
          <w:sz w:val="24"/>
          <w:szCs w:val="24"/>
        </w:rPr>
      </w:pPr>
      <w:r>
        <w:rPr>
          <w:sz w:val="24"/>
          <w:szCs w:val="24"/>
        </w:rPr>
        <w:t>The table about the consensus algorithm compone</w:t>
      </w:r>
      <w:r w:rsidR="004F7EE5">
        <w:rPr>
          <w:sz w:val="24"/>
          <w:szCs w:val="24"/>
        </w:rPr>
        <w:t>n</w:t>
      </w:r>
      <w:r>
        <w:rPr>
          <w:sz w:val="24"/>
          <w:szCs w:val="24"/>
        </w:rPr>
        <w:t>ts:</w:t>
      </w:r>
    </w:p>
    <w:p w14:paraId="76C3C1F4" w14:textId="77777777" w:rsidR="00CD4DA0" w:rsidRDefault="00CD4DA0" w:rsidP="00C81EEE">
      <w:pPr>
        <w:jc w:val="both"/>
        <w:rPr>
          <w:sz w:val="24"/>
          <w:szCs w:val="24"/>
        </w:rPr>
      </w:pPr>
    </w:p>
    <w:tbl>
      <w:tblPr>
        <w:tblStyle w:val="TableGrid"/>
        <w:tblW w:w="5125" w:type="dxa"/>
        <w:tblLook w:val="04A0" w:firstRow="1" w:lastRow="0" w:firstColumn="1" w:lastColumn="0" w:noHBand="0" w:noVBand="1"/>
      </w:tblPr>
      <w:tblGrid>
        <w:gridCol w:w="994"/>
        <w:gridCol w:w="1392"/>
        <w:gridCol w:w="2739"/>
      </w:tblGrid>
      <w:tr w:rsidR="0033226F" w14:paraId="198E653D" w14:textId="77777777" w:rsidTr="00613C6F">
        <w:tc>
          <w:tcPr>
            <w:tcW w:w="994" w:type="dxa"/>
          </w:tcPr>
          <w:p w14:paraId="57F8F565" w14:textId="44A9A17B" w:rsidR="0033226F" w:rsidRDefault="0033226F" w:rsidP="00C81EEE">
            <w:pPr>
              <w:jc w:val="both"/>
              <w:rPr>
                <w:sz w:val="24"/>
                <w:szCs w:val="24"/>
              </w:rPr>
            </w:pPr>
            <w:r>
              <w:rPr>
                <w:sz w:val="24"/>
                <w:szCs w:val="24"/>
              </w:rPr>
              <w:t>SNO</w:t>
            </w:r>
          </w:p>
        </w:tc>
        <w:tc>
          <w:tcPr>
            <w:tcW w:w="1392" w:type="dxa"/>
          </w:tcPr>
          <w:p w14:paraId="04EAFE82" w14:textId="235FBB62" w:rsidR="0033226F" w:rsidRDefault="0033226F" w:rsidP="00C81EEE">
            <w:pPr>
              <w:jc w:val="both"/>
              <w:rPr>
                <w:sz w:val="24"/>
                <w:szCs w:val="24"/>
              </w:rPr>
            </w:pPr>
            <w:r>
              <w:rPr>
                <w:sz w:val="24"/>
                <w:szCs w:val="24"/>
              </w:rPr>
              <w:t>Item</w:t>
            </w:r>
          </w:p>
        </w:tc>
        <w:tc>
          <w:tcPr>
            <w:tcW w:w="2739" w:type="dxa"/>
          </w:tcPr>
          <w:p w14:paraId="46327A66" w14:textId="4F4F77D8" w:rsidR="0033226F" w:rsidRDefault="0033226F" w:rsidP="00C81EEE">
            <w:pPr>
              <w:jc w:val="both"/>
              <w:rPr>
                <w:sz w:val="24"/>
                <w:szCs w:val="24"/>
              </w:rPr>
            </w:pPr>
            <w:r>
              <w:rPr>
                <w:sz w:val="24"/>
                <w:szCs w:val="24"/>
              </w:rPr>
              <w:t>Description</w:t>
            </w:r>
          </w:p>
        </w:tc>
      </w:tr>
      <w:tr w:rsidR="0033226F" w14:paraId="6C7A0C88" w14:textId="77777777" w:rsidTr="00613C6F">
        <w:trPr>
          <w:trHeight w:val="1295"/>
        </w:trPr>
        <w:tc>
          <w:tcPr>
            <w:tcW w:w="994" w:type="dxa"/>
          </w:tcPr>
          <w:p w14:paraId="06CE81E5" w14:textId="479B37E3" w:rsidR="00F350CE" w:rsidRDefault="00F350CE" w:rsidP="00C81EEE">
            <w:pPr>
              <w:jc w:val="both"/>
              <w:rPr>
                <w:sz w:val="24"/>
                <w:szCs w:val="24"/>
              </w:rPr>
            </w:pPr>
            <w:r>
              <w:rPr>
                <w:sz w:val="24"/>
                <w:szCs w:val="24"/>
              </w:rPr>
              <w:t>1.</w:t>
            </w:r>
          </w:p>
        </w:tc>
        <w:tc>
          <w:tcPr>
            <w:tcW w:w="1392" w:type="dxa"/>
          </w:tcPr>
          <w:p w14:paraId="3B59F287" w14:textId="28D92063" w:rsidR="0033226F" w:rsidRDefault="00010044" w:rsidP="00C81EEE">
            <w:pPr>
              <w:jc w:val="both"/>
              <w:rPr>
                <w:sz w:val="24"/>
                <w:szCs w:val="24"/>
              </w:rPr>
            </w:pPr>
            <w:r w:rsidRPr="005F0548">
              <w:rPr>
                <w:sz w:val="24"/>
                <w:szCs w:val="24"/>
                <w:highlight w:val="yellow"/>
              </w:rPr>
              <w:t>Timestamp</w:t>
            </w:r>
          </w:p>
        </w:tc>
        <w:tc>
          <w:tcPr>
            <w:tcW w:w="2739" w:type="dxa"/>
          </w:tcPr>
          <w:p w14:paraId="04B9F1B3" w14:textId="776D2380" w:rsidR="0033226F" w:rsidRDefault="00010044" w:rsidP="00C81EEE">
            <w:pPr>
              <w:jc w:val="both"/>
              <w:rPr>
                <w:sz w:val="24"/>
                <w:szCs w:val="24"/>
              </w:rPr>
            </w:pPr>
            <w:r>
              <w:rPr>
                <w:sz w:val="24"/>
                <w:szCs w:val="24"/>
              </w:rPr>
              <w:t>The timestamp of when the member created the event commemorating the gossip sync</w:t>
            </w:r>
          </w:p>
        </w:tc>
      </w:tr>
      <w:tr w:rsidR="00F350CE" w14:paraId="50882E2E" w14:textId="77777777" w:rsidTr="00613C6F">
        <w:tc>
          <w:tcPr>
            <w:tcW w:w="994" w:type="dxa"/>
          </w:tcPr>
          <w:p w14:paraId="503DE3FF" w14:textId="77777777" w:rsidR="00F350CE" w:rsidRDefault="00F350CE" w:rsidP="00C81EEE">
            <w:pPr>
              <w:jc w:val="both"/>
              <w:rPr>
                <w:sz w:val="24"/>
                <w:szCs w:val="24"/>
              </w:rPr>
            </w:pPr>
            <w:r>
              <w:rPr>
                <w:sz w:val="24"/>
                <w:szCs w:val="24"/>
              </w:rPr>
              <w:t>2.</w:t>
            </w:r>
          </w:p>
          <w:p w14:paraId="44C1749D" w14:textId="28473EB8" w:rsidR="00F350CE" w:rsidRDefault="00F350CE" w:rsidP="00C81EEE">
            <w:pPr>
              <w:jc w:val="both"/>
              <w:rPr>
                <w:sz w:val="24"/>
                <w:szCs w:val="24"/>
              </w:rPr>
            </w:pPr>
          </w:p>
        </w:tc>
        <w:tc>
          <w:tcPr>
            <w:tcW w:w="1392" w:type="dxa"/>
          </w:tcPr>
          <w:p w14:paraId="4CA37630" w14:textId="075909D1" w:rsidR="00F350CE" w:rsidRDefault="00010044" w:rsidP="00C81EEE">
            <w:pPr>
              <w:jc w:val="both"/>
              <w:rPr>
                <w:sz w:val="24"/>
                <w:szCs w:val="24"/>
              </w:rPr>
            </w:pPr>
            <w:r w:rsidRPr="005F0548">
              <w:rPr>
                <w:sz w:val="24"/>
                <w:szCs w:val="24"/>
                <w:highlight w:val="yellow"/>
              </w:rPr>
              <w:t>Transaction</w:t>
            </w:r>
          </w:p>
        </w:tc>
        <w:tc>
          <w:tcPr>
            <w:tcW w:w="2739" w:type="dxa"/>
          </w:tcPr>
          <w:p w14:paraId="35F9F065" w14:textId="3A23455B" w:rsidR="00F350CE" w:rsidRDefault="00010044" w:rsidP="00C81EEE">
            <w:pPr>
              <w:jc w:val="both"/>
              <w:rPr>
                <w:sz w:val="24"/>
                <w:szCs w:val="24"/>
              </w:rPr>
            </w:pPr>
            <w:r>
              <w:rPr>
                <w:sz w:val="24"/>
                <w:szCs w:val="24"/>
              </w:rPr>
              <w:t>The event can hold zero or more transactions</w:t>
            </w:r>
          </w:p>
        </w:tc>
      </w:tr>
      <w:tr w:rsidR="00010044" w14:paraId="7B275C33" w14:textId="77777777" w:rsidTr="00613C6F">
        <w:tc>
          <w:tcPr>
            <w:tcW w:w="994" w:type="dxa"/>
          </w:tcPr>
          <w:p w14:paraId="357E53A3" w14:textId="0EB49BFB" w:rsidR="00010044" w:rsidRDefault="00010044" w:rsidP="00C81EEE">
            <w:pPr>
              <w:jc w:val="both"/>
              <w:rPr>
                <w:sz w:val="24"/>
                <w:szCs w:val="24"/>
              </w:rPr>
            </w:pPr>
            <w:r>
              <w:rPr>
                <w:sz w:val="24"/>
                <w:szCs w:val="24"/>
              </w:rPr>
              <w:t>3.</w:t>
            </w:r>
          </w:p>
        </w:tc>
        <w:tc>
          <w:tcPr>
            <w:tcW w:w="1392" w:type="dxa"/>
          </w:tcPr>
          <w:p w14:paraId="4A5B601E" w14:textId="68BC41E4" w:rsidR="00010044" w:rsidRPr="005F0548" w:rsidRDefault="00010044" w:rsidP="00C81EEE">
            <w:pPr>
              <w:jc w:val="both"/>
              <w:rPr>
                <w:sz w:val="24"/>
                <w:szCs w:val="24"/>
                <w:highlight w:val="yellow"/>
              </w:rPr>
            </w:pPr>
            <w:r w:rsidRPr="005F0548">
              <w:rPr>
                <w:sz w:val="24"/>
                <w:szCs w:val="24"/>
                <w:highlight w:val="yellow"/>
              </w:rPr>
              <w:t>Hash 1:</w:t>
            </w:r>
          </w:p>
        </w:tc>
        <w:tc>
          <w:tcPr>
            <w:tcW w:w="2739" w:type="dxa"/>
          </w:tcPr>
          <w:p w14:paraId="2E8338D0" w14:textId="0D4373C5" w:rsidR="00010044" w:rsidRDefault="00010044" w:rsidP="00C81EEE">
            <w:pPr>
              <w:jc w:val="both"/>
              <w:rPr>
                <w:sz w:val="24"/>
                <w:szCs w:val="24"/>
              </w:rPr>
            </w:pPr>
            <w:r>
              <w:rPr>
                <w:sz w:val="24"/>
                <w:szCs w:val="24"/>
              </w:rPr>
              <w:t>Self-parent hash</w:t>
            </w:r>
          </w:p>
        </w:tc>
      </w:tr>
      <w:tr w:rsidR="00010044" w14:paraId="241496C2" w14:textId="77777777" w:rsidTr="00613C6F">
        <w:tc>
          <w:tcPr>
            <w:tcW w:w="994" w:type="dxa"/>
          </w:tcPr>
          <w:p w14:paraId="769BA705" w14:textId="21101073" w:rsidR="00010044" w:rsidRDefault="00010044" w:rsidP="00C81EEE">
            <w:pPr>
              <w:jc w:val="both"/>
              <w:rPr>
                <w:sz w:val="24"/>
                <w:szCs w:val="24"/>
              </w:rPr>
            </w:pPr>
            <w:r>
              <w:rPr>
                <w:sz w:val="24"/>
                <w:szCs w:val="24"/>
              </w:rPr>
              <w:t>4.</w:t>
            </w:r>
          </w:p>
        </w:tc>
        <w:tc>
          <w:tcPr>
            <w:tcW w:w="1392" w:type="dxa"/>
          </w:tcPr>
          <w:p w14:paraId="4C635BE2" w14:textId="2E4E4FE5" w:rsidR="00010044" w:rsidRPr="005F0548" w:rsidRDefault="00010044" w:rsidP="00C81EEE">
            <w:pPr>
              <w:jc w:val="both"/>
              <w:rPr>
                <w:sz w:val="24"/>
                <w:szCs w:val="24"/>
                <w:highlight w:val="yellow"/>
              </w:rPr>
            </w:pPr>
            <w:r w:rsidRPr="005F0548">
              <w:rPr>
                <w:sz w:val="24"/>
                <w:szCs w:val="24"/>
                <w:highlight w:val="yellow"/>
              </w:rPr>
              <w:t xml:space="preserve">Hash 2: </w:t>
            </w:r>
          </w:p>
        </w:tc>
        <w:tc>
          <w:tcPr>
            <w:tcW w:w="2739" w:type="dxa"/>
          </w:tcPr>
          <w:p w14:paraId="1AC8CAB1" w14:textId="20BF579B" w:rsidR="00010044" w:rsidRDefault="00010044" w:rsidP="00C81EEE">
            <w:pPr>
              <w:jc w:val="both"/>
              <w:rPr>
                <w:sz w:val="24"/>
                <w:szCs w:val="24"/>
              </w:rPr>
            </w:pPr>
            <w:r>
              <w:rPr>
                <w:sz w:val="24"/>
                <w:szCs w:val="24"/>
              </w:rPr>
              <w:t>Other-parent hash</w:t>
            </w:r>
          </w:p>
        </w:tc>
      </w:tr>
      <w:tr w:rsidR="00010044" w14:paraId="22472AB5" w14:textId="77777777" w:rsidTr="00613C6F">
        <w:tc>
          <w:tcPr>
            <w:tcW w:w="994" w:type="dxa"/>
          </w:tcPr>
          <w:p w14:paraId="035B2783" w14:textId="21FB7709" w:rsidR="00010044" w:rsidRDefault="00010044" w:rsidP="00C81EEE">
            <w:pPr>
              <w:jc w:val="both"/>
              <w:rPr>
                <w:sz w:val="24"/>
                <w:szCs w:val="24"/>
              </w:rPr>
            </w:pPr>
            <w:r>
              <w:rPr>
                <w:sz w:val="24"/>
                <w:szCs w:val="24"/>
              </w:rPr>
              <w:t xml:space="preserve">5. </w:t>
            </w:r>
          </w:p>
        </w:tc>
        <w:tc>
          <w:tcPr>
            <w:tcW w:w="1392" w:type="dxa"/>
          </w:tcPr>
          <w:p w14:paraId="5B0781CA" w14:textId="3D58046B" w:rsidR="00010044" w:rsidRDefault="00010044" w:rsidP="00C81EEE">
            <w:pPr>
              <w:jc w:val="both"/>
              <w:rPr>
                <w:sz w:val="24"/>
                <w:szCs w:val="24"/>
              </w:rPr>
            </w:pPr>
            <w:r w:rsidRPr="005F0548">
              <w:rPr>
                <w:sz w:val="24"/>
                <w:szCs w:val="24"/>
                <w:highlight w:val="yellow"/>
              </w:rPr>
              <w:t>Digital Signature</w:t>
            </w:r>
          </w:p>
        </w:tc>
        <w:tc>
          <w:tcPr>
            <w:tcW w:w="2739" w:type="dxa"/>
          </w:tcPr>
          <w:p w14:paraId="4A0AFADF" w14:textId="471D915C" w:rsidR="00010044" w:rsidRDefault="00010044" w:rsidP="00C81EEE">
            <w:pPr>
              <w:jc w:val="both"/>
              <w:rPr>
                <w:sz w:val="24"/>
                <w:szCs w:val="24"/>
              </w:rPr>
            </w:pPr>
            <w:r>
              <w:rPr>
                <w:sz w:val="24"/>
                <w:szCs w:val="24"/>
              </w:rPr>
              <w:t>Cryptographically signed by the creator of the event</w:t>
            </w:r>
          </w:p>
        </w:tc>
      </w:tr>
    </w:tbl>
    <w:p w14:paraId="2E1FB28C" w14:textId="77777777" w:rsidR="0033226F" w:rsidRDefault="0033226F" w:rsidP="00C81EEE">
      <w:pPr>
        <w:jc w:val="both"/>
        <w:rPr>
          <w:sz w:val="24"/>
          <w:szCs w:val="24"/>
        </w:rPr>
      </w:pPr>
    </w:p>
    <w:p w14:paraId="6A410C72" w14:textId="77777777" w:rsidR="00695792" w:rsidRDefault="00695792" w:rsidP="009261EA">
      <w:pPr>
        <w:jc w:val="both"/>
        <w:rPr>
          <w:b/>
          <w:bCs/>
          <w:sz w:val="24"/>
          <w:szCs w:val="24"/>
        </w:rPr>
      </w:pPr>
    </w:p>
    <w:p w14:paraId="4F363913" w14:textId="77777777" w:rsidR="00695792" w:rsidRDefault="00695792" w:rsidP="009261EA">
      <w:pPr>
        <w:jc w:val="both"/>
        <w:rPr>
          <w:b/>
          <w:bCs/>
          <w:sz w:val="24"/>
          <w:szCs w:val="24"/>
        </w:rPr>
      </w:pPr>
    </w:p>
    <w:p w14:paraId="74CEE2D8" w14:textId="5C87578A" w:rsidR="00C81EEE" w:rsidRDefault="00E403BB" w:rsidP="009261EA">
      <w:pPr>
        <w:jc w:val="both"/>
        <w:rPr>
          <w:b/>
          <w:bCs/>
          <w:sz w:val="24"/>
          <w:szCs w:val="24"/>
        </w:rPr>
      </w:pPr>
      <w:r>
        <w:rPr>
          <w:b/>
          <w:bCs/>
          <w:sz w:val="24"/>
          <w:szCs w:val="24"/>
        </w:rPr>
        <w:t>Consensus Algorithm</w:t>
      </w:r>
      <w:r w:rsidR="00C81EEE">
        <w:rPr>
          <w:b/>
          <w:bCs/>
          <w:sz w:val="24"/>
          <w:szCs w:val="24"/>
        </w:rPr>
        <w:t xml:space="preserve"> [In Gossip Protocol]</w:t>
      </w:r>
      <w:r>
        <w:rPr>
          <w:b/>
          <w:bCs/>
          <w:sz w:val="24"/>
          <w:szCs w:val="24"/>
        </w:rPr>
        <w:t>:</w:t>
      </w:r>
    </w:p>
    <w:p w14:paraId="450082CE" w14:textId="4CD48580" w:rsidR="00C81EEE" w:rsidRDefault="00C81EEE" w:rsidP="009261EA">
      <w:pPr>
        <w:jc w:val="both"/>
        <w:rPr>
          <w:sz w:val="24"/>
          <w:szCs w:val="24"/>
        </w:rPr>
      </w:pPr>
      <w:r w:rsidRPr="00C81EEE">
        <w:rPr>
          <w:sz w:val="24"/>
          <w:szCs w:val="24"/>
        </w:rPr>
        <w:t xml:space="preserve">Grasping the concept of gossip is the history of how these occurrences are connected to </w:t>
      </w:r>
      <w:r w:rsidRPr="00C81EEE">
        <w:rPr>
          <w:sz w:val="24"/>
          <w:szCs w:val="24"/>
          <w:highlight w:val="yellow"/>
        </w:rPr>
        <w:t>one other through their parent hashes</w:t>
      </w:r>
      <w:r w:rsidRPr="00C81EEE">
        <w:rPr>
          <w:sz w:val="24"/>
          <w:szCs w:val="24"/>
        </w:rPr>
        <w:t xml:space="preserve">. This history is represented as a </w:t>
      </w:r>
      <w:r w:rsidRPr="00C81EEE">
        <w:rPr>
          <w:sz w:val="24"/>
          <w:szCs w:val="24"/>
          <w:highlight w:val="yellow"/>
        </w:rPr>
        <w:t>directed acyclic graph (DAG)</w:t>
      </w:r>
      <w:r w:rsidRPr="00C81EEE">
        <w:rPr>
          <w:sz w:val="24"/>
          <w:szCs w:val="24"/>
        </w:rPr>
        <w:t>, a hashgraph, or a graph of hashes.</w:t>
      </w:r>
    </w:p>
    <w:p w14:paraId="05AEE1D5" w14:textId="4B6DF036" w:rsidR="00E74983" w:rsidRDefault="00E74983" w:rsidP="009261EA">
      <w:pPr>
        <w:jc w:val="both"/>
        <w:rPr>
          <w:sz w:val="24"/>
          <w:szCs w:val="24"/>
        </w:rPr>
      </w:pPr>
    </w:p>
    <w:p w14:paraId="2615A9D9" w14:textId="30570670" w:rsidR="00406FE2" w:rsidRDefault="00406FE2" w:rsidP="009261EA">
      <w:pPr>
        <w:jc w:val="both"/>
        <w:rPr>
          <w:sz w:val="24"/>
          <w:szCs w:val="24"/>
        </w:rPr>
      </w:pPr>
      <w:r>
        <w:rPr>
          <w:noProof/>
          <w:sz w:val="24"/>
          <w:szCs w:val="24"/>
        </w:rPr>
        <w:drawing>
          <wp:inline distT="0" distB="0" distL="0" distR="0" wp14:anchorId="159EB69B" wp14:editId="031DC74E">
            <wp:extent cx="2956560" cy="22548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34404" cy="2314249"/>
                    </a:xfrm>
                    <a:prstGeom prst="rect">
                      <a:avLst/>
                    </a:prstGeom>
                  </pic:spPr>
                </pic:pic>
              </a:graphicData>
            </a:graphic>
          </wp:inline>
        </w:drawing>
      </w:r>
    </w:p>
    <w:p w14:paraId="008DE17C" w14:textId="77777777" w:rsidR="00406FE2" w:rsidRDefault="00406FE2" w:rsidP="009261EA">
      <w:pPr>
        <w:jc w:val="both"/>
        <w:rPr>
          <w:sz w:val="24"/>
          <w:szCs w:val="24"/>
        </w:rPr>
      </w:pPr>
    </w:p>
    <w:p w14:paraId="40FAEA00" w14:textId="1360595D" w:rsidR="00406FE2" w:rsidRPr="00E107E5" w:rsidRDefault="00FB2623" w:rsidP="009261EA">
      <w:pPr>
        <w:jc w:val="both"/>
        <w:rPr>
          <w:sz w:val="24"/>
          <w:szCs w:val="24"/>
        </w:rPr>
        <w:sectPr w:rsidR="00406FE2" w:rsidRPr="00E107E5" w:rsidSect="00C46AEF">
          <w:type w:val="continuous"/>
          <w:pgSz w:w="12240" w:h="15840"/>
          <w:pgMar w:top="1440" w:right="1440" w:bottom="1440" w:left="1440" w:header="720" w:footer="720" w:gutter="0"/>
          <w:cols w:num="2" w:space="720"/>
          <w:docGrid w:linePitch="360"/>
        </w:sectPr>
      </w:pPr>
      <w:r w:rsidRPr="00FB2623">
        <w:rPr>
          <w:sz w:val="24"/>
          <w:szCs w:val="24"/>
        </w:rPr>
        <w:t>Each allowed party can get data from the controlled API and check Hedera directly to validate the information and integrity of the state of a coupon. The information for the applicable coupon can be obtained through the API, and the hash can be recalculated by the partner application. The transaction ID can be checked on a Hedera mirror node to ensure it was recorded appropriately on the public ledger once the hash is confirmed to match</w:t>
      </w:r>
      <w:r w:rsidR="0065296C">
        <w:rPr>
          <w:sz w:val="24"/>
          <w:szCs w:val="24"/>
        </w:rPr>
        <w:t>.</w:t>
      </w:r>
    </w:p>
    <w:p w14:paraId="27EEE5C0" w14:textId="77777777" w:rsidR="005E71D6" w:rsidRDefault="005E71D6" w:rsidP="009261EA">
      <w:pPr>
        <w:jc w:val="both"/>
        <w:rPr>
          <w:sz w:val="32"/>
          <w:szCs w:val="32"/>
        </w:rPr>
      </w:pPr>
    </w:p>
    <w:p w14:paraId="62C3107E" w14:textId="298A41E0" w:rsidR="00D73D12" w:rsidRDefault="00E07279" w:rsidP="009261EA">
      <w:pPr>
        <w:jc w:val="both"/>
        <w:rPr>
          <w:sz w:val="32"/>
          <w:szCs w:val="32"/>
        </w:rPr>
      </w:pPr>
      <w:r>
        <w:rPr>
          <w:sz w:val="32"/>
          <w:szCs w:val="32"/>
        </w:rPr>
        <w:t>Performance Evaluation:</w:t>
      </w:r>
    </w:p>
    <w:p w14:paraId="678C805A" w14:textId="77777777" w:rsidR="00651C1B" w:rsidRDefault="00651C1B" w:rsidP="009261EA">
      <w:pPr>
        <w:jc w:val="both"/>
        <w:rPr>
          <w:sz w:val="32"/>
          <w:szCs w:val="32"/>
        </w:rPr>
        <w:sectPr w:rsidR="00651C1B" w:rsidSect="007B4AFB">
          <w:type w:val="continuous"/>
          <w:pgSz w:w="12240" w:h="15840"/>
          <w:pgMar w:top="1440" w:right="1440" w:bottom="1440" w:left="1440" w:header="720" w:footer="720" w:gutter="0"/>
          <w:cols w:space="720"/>
          <w:docGrid w:linePitch="360"/>
        </w:sectPr>
      </w:pPr>
    </w:p>
    <w:p w14:paraId="380DF03D" w14:textId="069D9C94" w:rsidR="005E71D6" w:rsidRPr="00651C1B" w:rsidRDefault="00651C1B" w:rsidP="009261EA">
      <w:pPr>
        <w:jc w:val="both"/>
        <w:rPr>
          <w:sz w:val="24"/>
          <w:szCs w:val="24"/>
        </w:rPr>
      </w:pPr>
      <w:r w:rsidRPr="00651C1B">
        <w:rPr>
          <w:sz w:val="24"/>
          <w:szCs w:val="24"/>
        </w:rPr>
        <w:t xml:space="preserve">This is a report of the Hedera Smart Contract service's performance. A smart contract service that enables blockchain nodes to connect with unknown parties in order to transfer wallet balance from one to another at the same time. It uses Decentralized systems approach to securely commit transactions in </w:t>
      </w:r>
      <w:r w:rsidRPr="002E3452">
        <w:rPr>
          <w:sz w:val="24"/>
          <w:szCs w:val="24"/>
          <w:highlight w:val="yellow"/>
        </w:rPr>
        <w:t>multi-cast way</w:t>
      </w:r>
      <w:r w:rsidRPr="00651C1B">
        <w:rPr>
          <w:sz w:val="24"/>
          <w:szCs w:val="24"/>
        </w:rPr>
        <w:t xml:space="preserve">. This </w:t>
      </w:r>
      <w:r w:rsidRPr="002E3452">
        <w:rPr>
          <w:sz w:val="24"/>
          <w:szCs w:val="24"/>
          <w:highlight w:val="yellow"/>
        </w:rPr>
        <w:t>adds solidity between transactions</w:t>
      </w:r>
      <w:r w:rsidRPr="00651C1B">
        <w:rPr>
          <w:sz w:val="24"/>
          <w:szCs w:val="24"/>
        </w:rPr>
        <w:t>, acting as a bridge between each user throughout the transaction phase.</w:t>
      </w:r>
    </w:p>
    <w:p w14:paraId="451CB7D5" w14:textId="3B16995E" w:rsidR="001067B3" w:rsidRPr="00564CFC" w:rsidRDefault="001530D9" w:rsidP="009261EA">
      <w:pPr>
        <w:jc w:val="both"/>
        <w:rPr>
          <w:sz w:val="32"/>
          <w:szCs w:val="32"/>
        </w:rPr>
      </w:pPr>
      <w:r>
        <w:rPr>
          <w:sz w:val="32"/>
          <w:szCs w:val="32"/>
        </w:rPr>
        <w:t>Transaction cost</w:t>
      </w:r>
      <w:r w:rsidR="00931921">
        <w:rPr>
          <w:sz w:val="32"/>
          <w:szCs w:val="32"/>
        </w:rPr>
        <w:t xml:space="preserve"> Denomination</w:t>
      </w:r>
      <w:r>
        <w:rPr>
          <w:sz w:val="32"/>
          <w:szCs w:val="32"/>
        </w:rPr>
        <w:t xml:space="preserve"> of Hedera Network:</w:t>
      </w:r>
    </w:p>
    <w:p w14:paraId="7A5EAA6B" w14:textId="77777777" w:rsidR="00B121F1" w:rsidRDefault="001530D9" w:rsidP="009261EA">
      <w:pPr>
        <w:jc w:val="both"/>
        <w:rPr>
          <w:rFonts w:ascii="Cambria Math" w:hAnsi="Cambria Math" w:cs="Cambria Math"/>
        </w:rPr>
      </w:pPr>
      <w:r>
        <w:rPr>
          <w:sz w:val="24"/>
          <w:szCs w:val="24"/>
        </w:rPr>
        <w:t>1 Gigabar = 1 G</w:t>
      </w:r>
      <w:r w:rsidRPr="001530D9">
        <w:rPr>
          <w:rFonts w:ascii="Cambria Math" w:hAnsi="Cambria Math" w:cs="Cambria Math"/>
          <w:sz w:val="24"/>
          <w:szCs w:val="24"/>
        </w:rPr>
        <w:t>ℏ</w:t>
      </w:r>
      <w:r>
        <w:rPr>
          <w:sz w:val="24"/>
          <w:szCs w:val="24"/>
        </w:rPr>
        <w:t xml:space="preserve"> = </w:t>
      </w:r>
      <w:r>
        <w:t xml:space="preserve">1,000,000,000 </w:t>
      </w:r>
      <w:bookmarkStart w:id="0" w:name="_Hlk98837727"/>
      <w:r>
        <w:rPr>
          <w:rFonts w:ascii="Cambria Math" w:hAnsi="Cambria Math" w:cs="Cambria Math"/>
        </w:rPr>
        <w:t>ℏ</w:t>
      </w:r>
      <w:bookmarkEnd w:id="0"/>
    </w:p>
    <w:p w14:paraId="719A1E6D" w14:textId="1E4FE707" w:rsidR="001530D9" w:rsidRDefault="001530D9" w:rsidP="009261EA">
      <w:pPr>
        <w:jc w:val="both"/>
        <w:rPr>
          <w:rFonts w:ascii="Cambria Math" w:hAnsi="Cambria Math" w:cs="Cambria Math"/>
        </w:rPr>
      </w:pPr>
      <w:r>
        <w:rPr>
          <w:rFonts w:ascii="Cambria Math" w:hAnsi="Cambria Math" w:cs="Cambria Math"/>
        </w:rPr>
        <w:t>1 Megabar = 1 M</w:t>
      </w:r>
      <w:r w:rsidRPr="001530D9">
        <w:rPr>
          <w:rFonts w:ascii="Cambria Math" w:hAnsi="Cambria Math" w:cs="Cambria Math"/>
        </w:rPr>
        <w:t xml:space="preserve"> </w:t>
      </w:r>
      <w:r>
        <w:rPr>
          <w:rFonts w:ascii="Cambria Math" w:hAnsi="Cambria Math" w:cs="Cambria Math"/>
        </w:rPr>
        <w:t xml:space="preserve">ℏ = </w:t>
      </w:r>
      <w:r>
        <w:t xml:space="preserve">1,000,000 </w:t>
      </w:r>
      <w:r>
        <w:rPr>
          <w:rFonts w:ascii="Cambria Math" w:hAnsi="Cambria Math" w:cs="Cambria Math"/>
        </w:rPr>
        <w:t>ℏ</w:t>
      </w:r>
    </w:p>
    <w:p w14:paraId="616435DE" w14:textId="67887C2E" w:rsidR="001067B3" w:rsidRDefault="001067B3" w:rsidP="009261EA">
      <w:pPr>
        <w:jc w:val="both"/>
        <w:rPr>
          <w:rFonts w:ascii="Cambria Math" w:hAnsi="Cambria Math" w:cs="Cambria Math"/>
        </w:rPr>
      </w:pPr>
      <w:r>
        <w:rPr>
          <w:rFonts w:ascii="Cambria Math" w:hAnsi="Cambria Math" w:cs="Cambria Math"/>
        </w:rPr>
        <w:t>1 Kilobar = 1 K ℏ = 1000 ℏ</w:t>
      </w:r>
    </w:p>
    <w:p w14:paraId="7A10DD47" w14:textId="1F0E4DA4" w:rsidR="001067B3" w:rsidRDefault="001067B3" w:rsidP="009261EA">
      <w:pPr>
        <w:jc w:val="both"/>
        <w:rPr>
          <w:rFonts w:ascii="Cambria Math" w:hAnsi="Cambria Math" w:cs="Cambria Math"/>
        </w:rPr>
      </w:pPr>
      <w:r>
        <w:rPr>
          <w:rFonts w:ascii="Cambria Math" w:hAnsi="Cambria Math" w:cs="Cambria Math"/>
        </w:rPr>
        <w:t>1 Hbar = 1 ℏ = 1 ℏ</w:t>
      </w:r>
    </w:p>
    <w:p w14:paraId="02C54048" w14:textId="746009F8" w:rsidR="001067B3" w:rsidRDefault="001067B3" w:rsidP="009261EA">
      <w:pPr>
        <w:jc w:val="both"/>
        <w:rPr>
          <w:rFonts w:ascii="Cambria Math" w:hAnsi="Cambria Math" w:cs="Cambria Math"/>
        </w:rPr>
      </w:pPr>
      <w:r>
        <w:rPr>
          <w:rFonts w:ascii="Cambria Math" w:hAnsi="Cambria Math" w:cs="Cambria Math"/>
        </w:rPr>
        <w:t>1 Millibar = 1000 m</w:t>
      </w:r>
      <w:r w:rsidRPr="001067B3">
        <w:rPr>
          <w:rFonts w:ascii="Cambria Math" w:hAnsi="Cambria Math" w:cs="Cambria Math"/>
        </w:rPr>
        <w:t xml:space="preserve"> </w:t>
      </w:r>
      <w:r>
        <w:rPr>
          <w:rFonts w:ascii="Cambria Math" w:hAnsi="Cambria Math" w:cs="Cambria Math"/>
        </w:rPr>
        <w:t>ℏ= 1 ℏ</w:t>
      </w:r>
    </w:p>
    <w:p w14:paraId="5F48BB80" w14:textId="77777777" w:rsidR="00EF6836" w:rsidRDefault="001067B3" w:rsidP="009261EA">
      <w:pPr>
        <w:jc w:val="both"/>
        <w:rPr>
          <w:rFonts w:ascii="Cambria Math" w:hAnsi="Cambria Math" w:cs="Cambria Math"/>
        </w:rPr>
      </w:pPr>
      <w:r>
        <w:rPr>
          <w:rFonts w:ascii="Cambria Math" w:hAnsi="Cambria Math" w:cs="Cambria Math"/>
        </w:rPr>
        <w:t xml:space="preserve">1 Microbar = 1,000,000 </w:t>
      </w:r>
      <w:r>
        <w:t>μ</w:t>
      </w:r>
      <w:r>
        <w:rPr>
          <w:rFonts w:ascii="Cambria Math" w:hAnsi="Cambria Math" w:cs="Cambria Math"/>
        </w:rPr>
        <w:t>ℏ = 1 ℏ</w:t>
      </w:r>
    </w:p>
    <w:p w14:paraId="7E559A23" w14:textId="74E3B94D" w:rsidR="001067B3" w:rsidRDefault="001067B3" w:rsidP="009261EA">
      <w:pPr>
        <w:jc w:val="both"/>
        <w:rPr>
          <w:rFonts w:ascii="Cambria Math" w:hAnsi="Cambria Math" w:cs="Cambria Math"/>
        </w:rPr>
      </w:pPr>
      <w:r>
        <w:rPr>
          <w:rFonts w:ascii="Cambria Math" w:hAnsi="Cambria Math" w:cs="Cambria Math"/>
        </w:rPr>
        <w:t xml:space="preserve">1 Tinybar = 100,000,000 </w:t>
      </w:r>
      <w:r>
        <w:t>t</w:t>
      </w:r>
      <w:r>
        <w:rPr>
          <w:rFonts w:ascii="Cambria Math" w:hAnsi="Cambria Math" w:cs="Cambria Math"/>
        </w:rPr>
        <w:t>ℏ = 1 tℏ</w:t>
      </w:r>
    </w:p>
    <w:p w14:paraId="73FBE07A" w14:textId="044E1983" w:rsidR="000600D7" w:rsidRDefault="00564CFC" w:rsidP="009261EA">
      <w:pPr>
        <w:jc w:val="both"/>
      </w:pPr>
      <w:r w:rsidRPr="00564CFC">
        <w:t xml:space="preserve">On the Blockchain transaction charge, these are the transaction fees for the Hedera Token service. The Hedera Block chain NFT Transaction fee denominations can divide bulk transactions into these transaction denominations. It assigns a transaction charge to each </w:t>
      </w:r>
      <w:r>
        <w:t>Tinybar</w:t>
      </w:r>
      <w:r w:rsidRPr="00564CFC">
        <w:t>.</w:t>
      </w:r>
      <w:r>
        <w:t xml:space="preserve"> </w:t>
      </w:r>
      <w:r w:rsidRPr="002E3452">
        <w:rPr>
          <w:highlight w:val="yellow"/>
        </w:rPr>
        <w:t>We can transact the amount of millions of transactions at low cost, low predictable gas fee, low carbon burn.</w:t>
      </w:r>
    </w:p>
    <w:p w14:paraId="57A2094B" w14:textId="716E5C71" w:rsidR="001530D9" w:rsidRDefault="00931921" w:rsidP="009261EA">
      <w:pPr>
        <w:jc w:val="both"/>
        <w:rPr>
          <w:sz w:val="32"/>
          <w:szCs w:val="32"/>
        </w:rPr>
      </w:pPr>
      <w:r>
        <w:rPr>
          <w:sz w:val="32"/>
          <w:szCs w:val="32"/>
        </w:rPr>
        <w:t>Transaction cost of Hedera Network on Blockchain NFT:</w:t>
      </w:r>
    </w:p>
    <w:p w14:paraId="2592E4C3" w14:textId="457701E2" w:rsidR="00EF6836" w:rsidRDefault="00B60604" w:rsidP="009261EA">
      <w:pPr>
        <w:jc w:val="both"/>
        <w:rPr>
          <w:sz w:val="24"/>
          <w:szCs w:val="24"/>
        </w:rPr>
      </w:pPr>
      <w:r w:rsidRPr="00B60604">
        <w:rPr>
          <w:sz w:val="24"/>
          <w:szCs w:val="24"/>
        </w:rPr>
        <w:t>Each function in the hedera solidity programming, which is already pre-defined set of costs, was assigned in the numerous processes conducted by the hedera consensus network.</w:t>
      </w:r>
    </w:p>
    <w:p w14:paraId="0190262E" w14:textId="77777777" w:rsidR="00EF6836" w:rsidRDefault="00EF6836" w:rsidP="009261EA">
      <w:pPr>
        <w:jc w:val="both"/>
        <w:rPr>
          <w:sz w:val="24"/>
          <w:szCs w:val="24"/>
        </w:rPr>
      </w:pPr>
    </w:p>
    <w:p w14:paraId="4F4B9003" w14:textId="43553514" w:rsidR="000600D7" w:rsidRDefault="00D05EC7" w:rsidP="009261EA">
      <w:pPr>
        <w:jc w:val="both"/>
        <w:rPr>
          <w:sz w:val="24"/>
          <w:szCs w:val="24"/>
        </w:rPr>
      </w:pPr>
      <w:r>
        <w:rPr>
          <w:noProof/>
          <w:sz w:val="24"/>
          <w:szCs w:val="24"/>
        </w:rPr>
        <w:drawing>
          <wp:inline distT="0" distB="0" distL="0" distR="0" wp14:anchorId="36E20666" wp14:editId="0634B755">
            <wp:extent cx="2987040" cy="23469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2990929" cy="2350016"/>
                    </a:xfrm>
                    <a:prstGeom prst="rect">
                      <a:avLst/>
                    </a:prstGeom>
                  </pic:spPr>
                </pic:pic>
              </a:graphicData>
            </a:graphic>
          </wp:inline>
        </w:drawing>
      </w:r>
    </w:p>
    <w:p w14:paraId="181AF794" w14:textId="77777777" w:rsidR="002000AA" w:rsidRPr="002000AA" w:rsidRDefault="002000AA" w:rsidP="002000AA">
      <w:pPr>
        <w:jc w:val="both"/>
        <w:rPr>
          <w:sz w:val="24"/>
          <w:szCs w:val="24"/>
        </w:rPr>
      </w:pPr>
      <w:r w:rsidRPr="002000AA">
        <w:rPr>
          <w:sz w:val="24"/>
          <w:szCs w:val="24"/>
        </w:rPr>
        <w:t>To ensure that the Hedera network is secure under a permissionless design, the network's currencies must be broadly distributed.</w:t>
      </w:r>
    </w:p>
    <w:p w14:paraId="14B9D5BB" w14:textId="42B379E4" w:rsidR="006351AB" w:rsidRDefault="002000AA" w:rsidP="002000AA">
      <w:pPr>
        <w:jc w:val="both"/>
        <w:rPr>
          <w:sz w:val="24"/>
          <w:szCs w:val="24"/>
        </w:rPr>
      </w:pPr>
      <w:r w:rsidRPr="00D1596E">
        <w:rPr>
          <w:sz w:val="24"/>
          <w:szCs w:val="24"/>
          <w:highlight w:val="yellow"/>
        </w:rPr>
        <w:t>Coins represent the "stake" of voting power in Hedera's proof-of-stake consensus process – more coins equal more voting power over consensus</w:t>
      </w:r>
      <w:r w:rsidRPr="002000AA">
        <w:rPr>
          <w:sz w:val="24"/>
          <w:szCs w:val="24"/>
        </w:rPr>
        <w:t xml:space="preserve">. To ensure network security, </w:t>
      </w:r>
      <w:r>
        <w:rPr>
          <w:sz w:val="24"/>
          <w:szCs w:val="24"/>
        </w:rPr>
        <w:t>HBARS</w:t>
      </w:r>
      <w:r w:rsidRPr="002000AA">
        <w:rPr>
          <w:sz w:val="24"/>
          <w:szCs w:val="24"/>
        </w:rPr>
        <w:t xml:space="preserve"> must be widely distributed, with no single attacker or group of attackers holding more than one-third of the coins.</w:t>
      </w:r>
      <w:r>
        <w:rPr>
          <w:sz w:val="24"/>
          <w:szCs w:val="24"/>
        </w:rPr>
        <w:t xml:space="preserve"> </w:t>
      </w:r>
      <w:r w:rsidRPr="002000AA">
        <w:rPr>
          <w:sz w:val="24"/>
          <w:szCs w:val="24"/>
        </w:rPr>
        <w:t>Hedera's goal is to combine a "road to permissionless" with a "path to widespread coin distribution" in order to maintain the network secure while also pushing toward more decentrali</w:t>
      </w:r>
      <w:r>
        <w:rPr>
          <w:sz w:val="24"/>
          <w:szCs w:val="24"/>
        </w:rPr>
        <w:t>z</w:t>
      </w:r>
      <w:r w:rsidRPr="002000AA">
        <w:rPr>
          <w:sz w:val="24"/>
          <w:szCs w:val="24"/>
        </w:rPr>
        <w:t>ation.</w:t>
      </w:r>
    </w:p>
    <w:p w14:paraId="7A57F70B" w14:textId="1EE20B87" w:rsidR="00EF572E" w:rsidRDefault="00EF572E" w:rsidP="002000AA">
      <w:pPr>
        <w:jc w:val="both"/>
        <w:rPr>
          <w:sz w:val="24"/>
          <w:szCs w:val="24"/>
        </w:rPr>
      </w:pPr>
      <w:r w:rsidRPr="00EF572E">
        <w:rPr>
          <w:sz w:val="24"/>
          <w:szCs w:val="24"/>
        </w:rPr>
        <w:t xml:space="preserve">First, until enough coins are released, Hedera will remain a permissioned network. The network will remain permissioned for the sake of network security until the total value of all circulating coins reaches a point where a hostile user (or group of users) would be unable to purchase a third of them to carry out an assault. The amount of </w:t>
      </w:r>
      <w:r w:rsidRPr="00D1596E">
        <w:rPr>
          <w:sz w:val="24"/>
          <w:szCs w:val="24"/>
          <w:highlight w:val="yellow"/>
        </w:rPr>
        <w:t>HBARS that can be proxy-staked</w:t>
      </w:r>
      <w:r w:rsidRPr="00EF572E">
        <w:rPr>
          <w:sz w:val="24"/>
          <w:szCs w:val="24"/>
        </w:rPr>
        <w:t xml:space="preserve"> to </w:t>
      </w:r>
      <w:r w:rsidRPr="00D1596E">
        <w:rPr>
          <w:sz w:val="24"/>
          <w:szCs w:val="24"/>
          <w:highlight w:val="yellow"/>
        </w:rPr>
        <w:t>a single node</w:t>
      </w:r>
      <w:r w:rsidRPr="00EF572E">
        <w:rPr>
          <w:sz w:val="24"/>
          <w:szCs w:val="24"/>
        </w:rPr>
        <w:t xml:space="preserve"> will be limited once proxy-staking is introduced.</w:t>
      </w:r>
    </w:p>
    <w:p w14:paraId="60E10C2A" w14:textId="506FE90E" w:rsidR="00D57726" w:rsidRDefault="00D57726" w:rsidP="002000AA">
      <w:pPr>
        <w:jc w:val="both"/>
        <w:rPr>
          <w:sz w:val="24"/>
          <w:szCs w:val="24"/>
        </w:rPr>
      </w:pPr>
      <w:r w:rsidRPr="00D57726">
        <w:rPr>
          <w:sz w:val="24"/>
          <w:szCs w:val="24"/>
        </w:rPr>
        <w:t xml:space="preserve">Second, Hedera has </w:t>
      </w:r>
      <w:r w:rsidRPr="00B121F1">
        <w:rPr>
          <w:sz w:val="24"/>
          <w:szCs w:val="24"/>
          <w:highlight w:val="yellow"/>
        </w:rPr>
        <w:t>a slow and deliberate release timetable,</w:t>
      </w:r>
      <w:r w:rsidRPr="00D57726">
        <w:rPr>
          <w:sz w:val="24"/>
          <w:szCs w:val="24"/>
        </w:rPr>
        <w:t xml:space="preserve"> with only </w:t>
      </w:r>
      <w:r w:rsidRPr="00B121F1">
        <w:rPr>
          <w:sz w:val="24"/>
          <w:szCs w:val="24"/>
          <w:highlight w:val="yellow"/>
        </w:rPr>
        <w:t>34% of all HBARS scheduled to be released before 2025</w:t>
      </w:r>
      <w:r w:rsidRPr="00D57726">
        <w:rPr>
          <w:sz w:val="24"/>
          <w:szCs w:val="24"/>
        </w:rPr>
        <w:t>. This delayed release plan is designed to ensure that the network grows in a stable and orderly manner, allowing it to scale without losing the security required for a really useful and pervasive network that delivers on the promise of creating a trusted, empowering, and secure online world.</w:t>
      </w:r>
    </w:p>
    <w:p w14:paraId="69970EAA" w14:textId="2A2B8DD7" w:rsidR="002000AA" w:rsidRDefault="00752E11" w:rsidP="009261EA">
      <w:pPr>
        <w:jc w:val="both"/>
        <w:rPr>
          <w:sz w:val="24"/>
          <w:szCs w:val="24"/>
        </w:rPr>
      </w:pPr>
      <w:r w:rsidRPr="00752E11">
        <w:rPr>
          <w:sz w:val="24"/>
          <w:szCs w:val="24"/>
        </w:rPr>
        <w:t>The</w:t>
      </w:r>
      <w:r w:rsidR="002000AA">
        <w:rPr>
          <w:sz w:val="24"/>
          <w:szCs w:val="24"/>
        </w:rPr>
        <w:t xml:space="preserve"> below</w:t>
      </w:r>
      <w:r w:rsidRPr="00752E11">
        <w:rPr>
          <w:sz w:val="24"/>
          <w:szCs w:val="24"/>
        </w:rPr>
        <w:t xml:space="preserve"> table</w:t>
      </w:r>
      <w:r w:rsidR="002000AA">
        <w:rPr>
          <w:sz w:val="24"/>
          <w:szCs w:val="24"/>
        </w:rPr>
        <w:t xml:space="preserve"> (a)</w:t>
      </w:r>
      <w:r w:rsidRPr="00752E11">
        <w:rPr>
          <w:sz w:val="24"/>
          <w:szCs w:val="24"/>
        </w:rPr>
        <w:t xml:space="preserve"> shows the service charges acquired by Hedera Network NFT Transactions, such as Cryptocurrency service, Consensus service, Token service, Schedule service, Contract service, and so on. Hedera </w:t>
      </w:r>
      <w:r w:rsidRPr="00D1596E">
        <w:rPr>
          <w:sz w:val="24"/>
          <w:szCs w:val="24"/>
          <w:highlight w:val="yellow"/>
        </w:rPr>
        <w:t>charges a moderate</w:t>
      </w:r>
      <w:r w:rsidRPr="00752E11">
        <w:rPr>
          <w:sz w:val="24"/>
          <w:szCs w:val="24"/>
        </w:rPr>
        <w:t xml:space="preserve"> miscellaneous fee for all operations when compared to the cost of other network providers.</w:t>
      </w:r>
    </w:p>
    <w:tbl>
      <w:tblPr>
        <w:tblStyle w:val="TableGrid"/>
        <w:tblW w:w="4585" w:type="dxa"/>
        <w:tblLook w:val="04A0" w:firstRow="1" w:lastRow="0" w:firstColumn="1" w:lastColumn="0" w:noHBand="0" w:noVBand="1"/>
      </w:tblPr>
      <w:tblGrid>
        <w:gridCol w:w="641"/>
        <w:gridCol w:w="1561"/>
        <w:gridCol w:w="1483"/>
        <w:gridCol w:w="900"/>
      </w:tblGrid>
      <w:tr w:rsidR="000600D7" w14:paraId="04D7B163" w14:textId="77777777" w:rsidTr="00CB6A41">
        <w:tc>
          <w:tcPr>
            <w:tcW w:w="641" w:type="dxa"/>
          </w:tcPr>
          <w:p w14:paraId="26CE1955" w14:textId="42818081" w:rsidR="000600D7" w:rsidRDefault="000600D7" w:rsidP="009261EA">
            <w:pPr>
              <w:jc w:val="both"/>
              <w:rPr>
                <w:sz w:val="24"/>
                <w:szCs w:val="24"/>
              </w:rPr>
            </w:pPr>
            <w:r>
              <w:rPr>
                <w:sz w:val="24"/>
                <w:szCs w:val="24"/>
              </w:rPr>
              <w:t>SNO</w:t>
            </w:r>
          </w:p>
        </w:tc>
        <w:tc>
          <w:tcPr>
            <w:tcW w:w="1561" w:type="dxa"/>
          </w:tcPr>
          <w:p w14:paraId="4BAE8847" w14:textId="7DE5AE62" w:rsidR="000600D7" w:rsidRDefault="000600D7" w:rsidP="009261EA">
            <w:pPr>
              <w:jc w:val="both"/>
              <w:rPr>
                <w:sz w:val="24"/>
                <w:szCs w:val="24"/>
              </w:rPr>
            </w:pPr>
            <w:r>
              <w:rPr>
                <w:sz w:val="24"/>
                <w:szCs w:val="24"/>
              </w:rPr>
              <w:t>Service</w:t>
            </w:r>
          </w:p>
        </w:tc>
        <w:tc>
          <w:tcPr>
            <w:tcW w:w="1483" w:type="dxa"/>
          </w:tcPr>
          <w:p w14:paraId="01AEE0B1" w14:textId="64AC89F9" w:rsidR="000600D7" w:rsidRDefault="000600D7" w:rsidP="009261EA">
            <w:pPr>
              <w:jc w:val="both"/>
              <w:rPr>
                <w:sz w:val="24"/>
                <w:szCs w:val="24"/>
              </w:rPr>
            </w:pPr>
            <w:r>
              <w:rPr>
                <w:sz w:val="24"/>
                <w:szCs w:val="24"/>
              </w:rPr>
              <w:t>Cost ($)</w:t>
            </w:r>
          </w:p>
        </w:tc>
        <w:tc>
          <w:tcPr>
            <w:tcW w:w="900" w:type="dxa"/>
          </w:tcPr>
          <w:p w14:paraId="2CEE920F" w14:textId="3AFF0696" w:rsidR="000600D7" w:rsidRDefault="000600D7" w:rsidP="009261EA">
            <w:pPr>
              <w:jc w:val="both"/>
              <w:rPr>
                <w:sz w:val="24"/>
                <w:szCs w:val="24"/>
              </w:rPr>
            </w:pPr>
            <w:r>
              <w:rPr>
                <w:sz w:val="24"/>
                <w:szCs w:val="24"/>
              </w:rPr>
              <w:t>Others ($)</w:t>
            </w:r>
          </w:p>
        </w:tc>
      </w:tr>
      <w:tr w:rsidR="000600D7" w14:paraId="5D8A5CD1" w14:textId="77777777" w:rsidTr="00CB6A41">
        <w:tc>
          <w:tcPr>
            <w:tcW w:w="641" w:type="dxa"/>
          </w:tcPr>
          <w:p w14:paraId="61BCE7E6" w14:textId="4876420B" w:rsidR="000600D7" w:rsidRDefault="000600D7" w:rsidP="009261EA">
            <w:pPr>
              <w:jc w:val="both"/>
              <w:rPr>
                <w:sz w:val="24"/>
                <w:szCs w:val="24"/>
              </w:rPr>
            </w:pPr>
            <w:r>
              <w:rPr>
                <w:sz w:val="24"/>
                <w:szCs w:val="24"/>
              </w:rPr>
              <w:t>1</w:t>
            </w:r>
          </w:p>
        </w:tc>
        <w:tc>
          <w:tcPr>
            <w:tcW w:w="1561" w:type="dxa"/>
          </w:tcPr>
          <w:p w14:paraId="311D3490" w14:textId="77777777" w:rsidR="000600D7" w:rsidRDefault="000600D7" w:rsidP="00EE27F0">
            <w:pPr>
              <w:jc w:val="both"/>
              <w:rPr>
                <w:rFonts w:ascii="Segoe UI" w:hAnsi="Segoe UI" w:cs="Segoe UI"/>
                <w:color w:val="3B454E"/>
                <w:sz w:val="20"/>
                <w:szCs w:val="20"/>
              </w:rPr>
            </w:pPr>
            <w:r>
              <w:rPr>
                <w:rFonts w:ascii="Segoe UI" w:hAnsi="Segoe UI" w:cs="Segoe UI"/>
                <w:color w:val="3B454E"/>
                <w:sz w:val="20"/>
                <w:szCs w:val="20"/>
              </w:rPr>
              <w:t>Cryptocurrency Service Sum*</w:t>
            </w:r>
          </w:p>
          <w:p w14:paraId="27194097" w14:textId="77777777" w:rsidR="000600D7" w:rsidRDefault="000600D7" w:rsidP="009261EA">
            <w:pPr>
              <w:jc w:val="both"/>
              <w:rPr>
                <w:sz w:val="24"/>
                <w:szCs w:val="24"/>
              </w:rPr>
            </w:pPr>
          </w:p>
        </w:tc>
        <w:tc>
          <w:tcPr>
            <w:tcW w:w="1483" w:type="dxa"/>
          </w:tcPr>
          <w:p w14:paraId="0ECFB920" w14:textId="1910212E" w:rsidR="000600D7" w:rsidRDefault="000600D7" w:rsidP="009261EA">
            <w:pPr>
              <w:jc w:val="both"/>
              <w:rPr>
                <w:sz w:val="24"/>
                <w:szCs w:val="24"/>
              </w:rPr>
            </w:pPr>
            <w:r>
              <w:rPr>
                <w:sz w:val="24"/>
                <w:szCs w:val="24"/>
              </w:rPr>
              <w:t>0.026</w:t>
            </w:r>
          </w:p>
        </w:tc>
        <w:tc>
          <w:tcPr>
            <w:tcW w:w="900" w:type="dxa"/>
          </w:tcPr>
          <w:p w14:paraId="51FDB30D" w14:textId="305AAD82" w:rsidR="000600D7" w:rsidRDefault="000600D7" w:rsidP="009261EA">
            <w:pPr>
              <w:jc w:val="both"/>
              <w:rPr>
                <w:sz w:val="24"/>
                <w:szCs w:val="24"/>
              </w:rPr>
            </w:pPr>
            <w:r>
              <w:rPr>
                <w:sz w:val="24"/>
                <w:szCs w:val="24"/>
              </w:rPr>
              <w:t>0.030</w:t>
            </w:r>
          </w:p>
        </w:tc>
      </w:tr>
      <w:tr w:rsidR="000600D7" w14:paraId="7C84679A" w14:textId="77777777" w:rsidTr="00CB6A41">
        <w:tc>
          <w:tcPr>
            <w:tcW w:w="641" w:type="dxa"/>
          </w:tcPr>
          <w:p w14:paraId="2017AD46" w14:textId="042550F2" w:rsidR="000600D7" w:rsidRDefault="000600D7" w:rsidP="009261EA">
            <w:pPr>
              <w:jc w:val="both"/>
              <w:rPr>
                <w:sz w:val="24"/>
                <w:szCs w:val="24"/>
              </w:rPr>
            </w:pPr>
            <w:r>
              <w:rPr>
                <w:sz w:val="24"/>
                <w:szCs w:val="24"/>
              </w:rPr>
              <w:t>2</w:t>
            </w:r>
          </w:p>
        </w:tc>
        <w:tc>
          <w:tcPr>
            <w:tcW w:w="1561" w:type="dxa"/>
          </w:tcPr>
          <w:p w14:paraId="15AF4EEB" w14:textId="77777777" w:rsidR="000600D7" w:rsidRDefault="000600D7" w:rsidP="00CD5943">
            <w:pPr>
              <w:jc w:val="both"/>
              <w:rPr>
                <w:rFonts w:ascii="Calibri" w:hAnsi="Calibri" w:cs="Calibri"/>
                <w:color w:val="000000"/>
              </w:rPr>
            </w:pPr>
            <w:r>
              <w:rPr>
                <w:rFonts w:ascii="Calibri" w:hAnsi="Calibri" w:cs="Calibri"/>
                <w:color w:val="000000"/>
              </w:rPr>
              <w:t>Consensus Service*</w:t>
            </w:r>
          </w:p>
          <w:p w14:paraId="475F06C2" w14:textId="77777777" w:rsidR="000600D7" w:rsidRDefault="000600D7" w:rsidP="009261EA">
            <w:pPr>
              <w:jc w:val="both"/>
              <w:rPr>
                <w:sz w:val="24"/>
                <w:szCs w:val="24"/>
              </w:rPr>
            </w:pPr>
          </w:p>
        </w:tc>
        <w:tc>
          <w:tcPr>
            <w:tcW w:w="1483" w:type="dxa"/>
          </w:tcPr>
          <w:p w14:paraId="23932063" w14:textId="31EB7F98" w:rsidR="000600D7" w:rsidRDefault="000600D7" w:rsidP="009261EA">
            <w:pPr>
              <w:jc w:val="both"/>
              <w:rPr>
                <w:sz w:val="24"/>
                <w:szCs w:val="24"/>
              </w:rPr>
            </w:pPr>
            <w:r>
              <w:rPr>
                <w:sz w:val="24"/>
                <w:szCs w:val="24"/>
              </w:rPr>
              <w:t>0.02</w:t>
            </w:r>
          </w:p>
        </w:tc>
        <w:tc>
          <w:tcPr>
            <w:tcW w:w="900" w:type="dxa"/>
          </w:tcPr>
          <w:p w14:paraId="5E4E3C9F" w14:textId="39916AD0" w:rsidR="000600D7" w:rsidRDefault="000600D7" w:rsidP="009261EA">
            <w:pPr>
              <w:jc w:val="both"/>
              <w:rPr>
                <w:sz w:val="24"/>
                <w:szCs w:val="24"/>
              </w:rPr>
            </w:pPr>
            <w:r>
              <w:rPr>
                <w:sz w:val="24"/>
                <w:szCs w:val="24"/>
              </w:rPr>
              <w:t>0.10</w:t>
            </w:r>
          </w:p>
        </w:tc>
      </w:tr>
      <w:tr w:rsidR="000600D7" w14:paraId="1762A84E" w14:textId="77777777" w:rsidTr="00CB6A41">
        <w:tc>
          <w:tcPr>
            <w:tcW w:w="641" w:type="dxa"/>
          </w:tcPr>
          <w:p w14:paraId="156820BC" w14:textId="3EDF7D92" w:rsidR="000600D7" w:rsidRDefault="000600D7" w:rsidP="009261EA">
            <w:pPr>
              <w:jc w:val="both"/>
              <w:rPr>
                <w:sz w:val="24"/>
                <w:szCs w:val="24"/>
              </w:rPr>
            </w:pPr>
            <w:r>
              <w:rPr>
                <w:sz w:val="24"/>
                <w:szCs w:val="24"/>
              </w:rPr>
              <w:t>3</w:t>
            </w:r>
          </w:p>
        </w:tc>
        <w:tc>
          <w:tcPr>
            <w:tcW w:w="1561" w:type="dxa"/>
          </w:tcPr>
          <w:p w14:paraId="6B4CE545" w14:textId="77777777" w:rsidR="000600D7" w:rsidRDefault="000600D7" w:rsidP="00CD5943">
            <w:pPr>
              <w:jc w:val="both"/>
              <w:rPr>
                <w:rFonts w:ascii="Calibri" w:hAnsi="Calibri" w:cs="Calibri"/>
                <w:color w:val="000000"/>
              </w:rPr>
            </w:pPr>
            <w:r>
              <w:rPr>
                <w:rFonts w:ascii="Calibri" w:hAnsi="Calibri" w:cs="Calibri"/>
                <w:color w:val="000000"/>
              </w:rPr>
              <w:t>Token Service *</w:t>
            </w:r>
          </w:p>
          <w:p w14:paraId="56BC9C65" w14:textId="77777777" w:rsidR="000600D7" w:rsidRDefault="000600D7" w:rsidP="00CD5943">
            <w:pPr>
              <w:jc w:val="both"/>
              <w:rPr>
                <w:rFonts w:ascii="Calibri" w:hAnsi="Calibri" w:cs="Calibri"/>
                <w:color w:val="000000"/>
              </w:rPr>
            </w:pPr>
          </w:p>
        </w:tc>
        <w:tc>
          <w:tcPr>
            <w:tcW w:w="1483" w:type="dxa"/>
          </w:tcPr>
          <w:p w14:paraId="1CC8AF34" w14:textId="3AE422AC" w:rsidR="000600D7" w:rsidRDefault="000600D7" w:rsidP="009261EA">
            <w:pPr>
              <w:jc w:val="both"/>
              <w:rPr>
                <w:sz w:val="24"/>
                <w:szCs w:val="24"/>
              </w:rPr>
            </w:pPr>
            <w:r>
              <w:rPr>
                <w:sz w:val="24"/>
                <w:szCs w:val="24"/>
              </w:rPr>
              <w:t>3.16</w:t>
            </w:r>
          </w:p>
        </w:tc>
        <w:tc>
          <w:tcPr>
            <w:tcW w:w="900" w:type="dxa"/>
          </w:tcPr>
          <w:p w14:paraId="59F60F91" w14:textId="23F18D66" w:rsidR="000600D7" w:rsidRDefault="000600D7" w:rsidP="009261EA">
            <w:pPr>
              <w:jc w:val="both"/>
              <w:rPr>
                <w:sz w:val="24"/>
                <w:szCs w:val="24"/>
              </w:rPr>
            </w:pPr>
            <w:r>
              <w:rPr>
                <w:sz w:val="24"/>
                <w:szCs w:val="24"/>
              </w:rPr>
              <w:t>3.8</w:t>
            </w:r>
          </w:p>
        </w:tc>
      </w:tr>
      <w:tr w:rsidR="000600D7" w14:paraId="63764499" w14:textId="77777777" w:rsidTr="00CB6A41">
        <w:tc>
          <w:tcPr>
            <w:tcW w:w="641" w:type="dxa"/>
          </w:tcPr>
          <w:p w14:paraId="70BA9BFC" w14:textId="4B32805E" w:rsidR="000600D7" w:rsidRDefault="000600D7" w:rsidP="009261EA">
            <w:pPr>
              <w:jc w:val="both"/>
              <w:rPr>
                <w:sz w:val="24"/>
                <w:szCs w:val="24"/>
              </w:rPr>
            </w:pPr>
            <w:r>
              <w:rPr>
                <w:sz w:val="24"/>
                <w:szCs w:val="24"/>
              </w:rPr>
              <w:t>4</w:t>
            </w:r>
          </w:p>
        </w:tc>
        <w:tc>
          <w:tcPr>
            <w:tcW w:w="1561" w:type="dxa"/>
          </w:tcPr>
          <w:p w14:paraId="38340B1D" w14:textId="77777777" w:rsidR="000600D7" w:rsidRDefault="000600D7" w:rsidP="00CD5943">
            <w:pPr>
              <w:jc w:val="both"/>
              <w:rPr>
                <w:rFonts w:ascii="Segoe UI" w:hAnsi="Segoe UI" w:cs="Segoe UI"/>
                <w:color w:val="3B454E"/>
                <w:sz w:val="20"/>
                <w:szCs w:val="20"/>
              </w:rPr>
            </w:pPr>
            <w:r>
              <w:rPr>
                <w:rFonts w:ascii="Segoe UI" w:hAnsi="Segoe UI" w:cs="Segoe UI"/>
                <w:color w:val="3B454E"/>
                <w:sz w:val="20"/>
                <w:szCs w:val="20"/>
              </w:rPr>
              <w:t>Schedule Fee*</w:t>
            </w:r>
          </w:p>
          <w:p w14:paraId="41FEF753" w14:textId="77777777" w:rsidR="000600D7" w:rsidRDefault="000600D7" w:rsidP="00CD5943">
            <w:pPr>
              <w:jc w:val="both"/>
              <w:rPr>
                <w:rFonts w:ascii="Calibri" w:hAnsi="Calibri" w:cs="Calibri"/>
                <w:color w:val="000000"/>
              </w:rPr>
            </w:pPr>
          </w:p>
        </w:tc>
        <w:tc>
          <w:tcPr>
            <w:tcW w:w="1483" w:type="dxa"/>
          </w:tcPr>
          <w:p w14:paraId="0079BAE5" w14:textId="77777777" w:rsidR="000600D7" w:rsidRDefault="000600D7" w:rsidP="009261EA">
            <w:pPr>
              <w:jc w:val="both"/>
              <w:rPr>
                <w:sz w:val="24"/>
                <w:szCs w:val="24"/>
              </w:rPr>
            </w:pPr>
            <w:r>
              <w:rPr>
                <w:sz w:val="24"/>
                <w:szCs w:val="24"/>
              </w:rPr>
              <w:t>0.01</w:t>
            </w:r>
          </w:p>
          <w:p w14:paraId="6D6310D4" w14:textId="07847B45" w:rsidR="000600D7" w:rsidRDefault="000600D7" w:rsidP="009261EA">
            <w:pPr>
              <w:jc w:val="both"/>
              <w:rPr>
                <w:sz w:val="24"/>
                <w:szCs w:val="24"/>
              </w:rPr>
            </w:pPr>
          </w:p>
        </w:tc>
        <w:tc>
          <w:tcPr>
            <w:tcW w:w="900" w:type="dxa"/>
          </w:tcPr>
          <w:p w14:paraId="0C898184" w14:textId="6EC7641C" w:rsidR="000600D7" w:rsidRDefault="000600D7" w:rsidP="009261EA">
            <w:pPr>
              <w:jc w:val="both"/>
              <w:rPr>
                <w:sz w:val="24"/>
                <w:szCs w:val="24"/>
              </w:rPr>
            </w:pPr>
            <w:r>
              <w:rPr>
                <w:sz w:val="24"/>
                <w:szCs w:val="24"/>
              </w:rPr>
              <w:t>0.0102</w:t>
            </w:r>
          </w:p>
        </w:tc>
      </w:tr>
      <w:tr w:rsidR="000600D7" w14:paraId="55DB06F4" w14:textId="77777777" w:rsidTr="00CB6A41">
        <w:tc>
          <w:tcPr>
            <w:tcW w:w="641" w:type="dxa"/>
          </w:tcPr>
          <w:p w14:paraId="5605F2AA" w14:textId="4EA6AC1C" w:rsidR="000600D7" w:rsidRDefault="000600D7" w:rsidP="009261EA">
            <w:pPr>
              <w:jc w:val="both"/>
              <w:rPr>
                <w:sz w:val="24"/>
                <w:szCs w:val="24"/>
              </w:rPr>
            </w:pPr>
            <w:r>
              <w:rPr>
                <w:sz w:val="24"/>
                <w:szCs w:val="24"/>
              </w:rPr>
              <w:t>5</w:t>
            </w:r>
          </w:p>
        </w:tc>
        <w:tc>
          <w:tcPr>
            <w:tcW w:w="1561" w:type="dxa"/>
          </w:tcPr>
          <w:p w14:paraId="5058EE36" w14:textId="77777777" w:rsidR="000600D7" w:rsidRPr="00747C4A" w:rsidRDefault="000600D7" w:rsidP="00CD5943">
            <w:pPr>
              <w:jc w:val="both"/>
              <w:rPr>
                <w:rFonts w:ascii="Times New Roman" w:hAnsi="Times New Roman" w:cs="Times New Roman"/>
                <w:color w:val="3B454E"/>
                <w:sz w:val="20"/>
                <w:szCs w:val="20"/>
              </w:rPr>
            </w:pPr>
            <w:r w:rsidRPr="00747C4A">
              <w:rPr>
                <w:rFonts w:ascii="Times New Roman" w:hAnsi="Times New Roman" w:cs="Times New Roman"/>
                <w:color w:val="3B454E"/>
                <w:sz w:val="20"/>
                <w:szCs w:val="20"/>
              </w:rPr>
              <w:t>Contract Service*</w:t>
            </w:r>
          </w:p>
          <w:p w14:paraId="3D3B3AD3" w14:textId="77777777" w:rsidR="000600D7" w:rsidRPr="00747C4A" w:rsidRDefault="000600D7" w:rsidP="00CD5943">
            <w:pPr>
              <w:jc w:val="both"/>
              <w:rPr>
                <w:rFonts w:ascii="Times New Roman" w:hAnsi="Times New Roman" w:cs="Times New Roman"/>
                <w:color w:val="3B454E"/>
                <w:sz w:val="20"/>
                <w:szCs w:val="20"/>
              </w:rPr>
            </w:pPr>
          </w:p>
        </w:tc>
        <w:tc>
          <w:tcPr>
            <w:tcW w:w="1483" w:type="dxa"/>
          </w:tcPr>
          <w:p w14:paraId="244C8D0A" w14:textId="787EEB47" w:rsidR="000600D7" w:rsidRDefault="000600D7" w:rsidP="009261EA">
            <w:pPr>
              <w:jc w:val="both"/>
              <w:rPr>
                <w:sz w:val="24"/>
                <w:szCs w:val="24"/>
              </w:rPr>
            </w:pPr>
            <w:r>
              <w:rPr>
                <w:sz w:val="24"/>
                <w:szCs w:val="24"/>
              </w:rPr>
              <w:t>1.16</w:t>
            </w:r>
          </w:p>
        </w:tc>
        <w:tc>
          <w:tcPr>
            <w:tcW w:w="900" w:type="dxa"/>
          </w:tcPr>
          <w:p w14:paraId="27CB910D" w14:textId="5B526456" w:rsidR="000600D7" w:rsidRDefault="000600D7" w:rsidP="009261EA">
            <w:pPr>
              <w:jc w:val="both"/>
              <w:rPr>
                <w:sz w:val="24"/>
                <w:szCs w:val="24"/>
              </w:rPr>
            </w:pPr>
            <w:r>
              <w:rPr>
                <w:sz w:val="24"/>
                <w:szCs w:val="24"/>
              </w:rPr>
              <w:t>1.5</w:t>
            </w:r>
          </w:p>
        </w:tc>
      </w:tr>
      <w:tr w:rsidR="000600D7" w14:paraId="55C626D3" w14:textId="77777777" w:rsidTr="00CB6A41">
        <w:trPr>
          <w:trHeight w:val="521"/>
        </w:trPr>
        <w:tc>
          <w:tcPr>
            <w:tcW w:w="641" w:type="dxa"/>
          </w:tcPr>
          <w:p w14:paraId="1D268AEB" w14:textId="78F11B28" w:rsidR="000600D7" w:rsidRDefault="000600D7" w:rsidP="009261EA">
            <w:pPr>
              <w:jc w:val="both"/>
              <w:rPr>
                <w:sz w:val="24"/>
                <w:szCs w:val="24"/>
              </w:rPr>
            </w:pPr>
            <w:r>
              <w:rPr>
                <w:sz w:val="24"/>
                <w:szCs w:val="24"/>
              </w:rPr>
              <w:t>6</w:t>
            </w:r>
          </w:p>
        </w:tc>
        <w:tc>
          <w:tcPr>
            <w:tcW w:w="1561" w:type="dxa"/>
          </w:tcPr>
          <w:p w14:paraId="4BE91BD3" w14:textId="583E1733" w:rsidR="000600D7" w:rsidRDefault="000600D7" w:rsidP="000600D7">
            <w:pPr>
              <w:jc w:val="both"/>
              <w:rPr>
                <w:rFonts w:ascii="Calibri" w:hAnsi="Calibri" w:cs="Calibri"/>
                <w:color w:val="000000"/>
              </w:rPr>
            </w:pPr>
            <w:r w:rsidRPr="000600D7">
              <w:rPr>
                <w:rFonts w:ascii="Calibri" w:hAnsi="Calibri" w:cs="Calibri"/>
                <w:color w:val="000000"/>
              </w:rPr>
              <w:t>Miscellaneous</w:t>
            </w:r>
            <w:r>
              <w:rPr>
                <w:rFonts w:ascii="Calibri" w:hAnsi="Calibri" w:cs="Calibri"/>
                <w:color w:val="000000"/>
              </w:rPr>
              <w:t xml:space="preserve"> Fee*</w:t>
            </w:r>
          </w:p>
          <w:p w14:paraId="6AAC0893" w14:textId="77777777" w:rsidR="000600D7" w:rsidRDefault="000600D7" w:rsidP="00CD5943">
            <w:pPr>
              <w:jc w:val="both"/>
              <w:rPr>
                <w:rFonts w:ascii="Segoe UI" w:hAnsi="Segoe UI" w:cs="Segoe UI"/>
                <w:color w:val="3B454E"/>
                <w:sz w:val="20"/>
                <w:szCs w:val="20"/>
              </w:rPr>
            </w:pPr>
          </w:p>
        </w:tc>
        <w:tc>
          <w:tcPr>
            <w:tcW w:w="1483" w:type="dxa"/>
          </w:tcPr>
          <w:p w14:paraId="64D1D9E0" w14:textId="348785E0" w:rsidR="000600D7" w:rsidRDefault="000600D7" w:rsidP="009261EA">
            <w:pPr>
              <w:jc w:val="both"/>
              <w:rPr>
                <w:sz w:val="24"/>
                <w:szCs w:val="24"/>
              </w:rPr>
            </w:pPr>
            <w:r>
              <w:rPr>
                <w:sz w:val="24"/>
                <w:szCs w:val="24"/>
              </w:rPr>
              <w:t>0.00</w:t>
            </w:r>
          </w:p>
        </w:tc>
        <w:tc>
          <w:tcPr>
            <w:tcW w:w="900" w:type="dxa"/>
          </w:tcPr>
          <w:p w14:paraId="61A0447C" w14:textId="342D8D80" w:rsidR="000600D7" w:rsidRDefault="000600D7" w:rsidP="009261EA">
            <w:pPr>
              <w:jc w:val="both"/>
              <w:rPr>
                <w:sz w:val="24"/>
                <w:szCs w:val="24"/>
              </w:rPr>
            </w:pPr>
            <w:r>
              <w:rPr>
                <w:sz w:val="24"/>
                <w:szCs w:val="24"/>
              </w:rPr>
              <w:t>0.10</w:t>
            </w:r>
          </w:p>
        </w:tc>
      </w:tr>
    </w:tbl>
    <w:p w14:paraId="1F83CD0E" w14:textId="77777777" w:rsidR="00D1596E" w:rsidRDefault="00D1596E" w:rsidP="002000AA">
      <w:pPr>
        <w:jc w:val="both"/>
        <w:rPr>
          <w:sz w:val="24"/>
          <w:szCs w:val="24"/>
        </w:rPr>
      </w:pPr>
    </w:p>
    <w:p w14:paraId="692A3503" w14:textId="1340AC94" w:rsidR="00D1596E" w:rsidRDefault="002000AA" w:rsidP="009261EA">
      <w:pPr>
        <w:jc w:val="both"/>
        <w:rPr>
          <w:sz w:val="24"/>
          <w:szCs w:val="24"/>
        </w:rPr>
      </w:pPr>
      <w:r>
        <w:rPr>
          <w:sz w:val="24"/>
          <w:szCs w:val="24"/>
        </w:rPr>
        <w:t>[Table contains the information about Hedera Network service cost (a)]</w:t>
      </w:r>
    </w:p>
    <w:p w14:paraId="6398816B" w14:textId="42373920" w:rsidR="00056A2E" w:rsidRDefault="00056A2E" w:rsidP="009261EA">
      <w:pPr>
        <w:jc w:val="both"/>
        <w:rPr>
          <w:sz w:val="24"/>
          <w:szCs w:val="24"/>
        </w:rPr>
        <w:sectPr w:rsidR="00056A2E" w:rsidSect="00651C1B">
          <w:type w:val="continuous"/>
          <w:pgSz w:w="12240" w:h="15840"/>
          <w:pgMar w:top="1440" w:right="1440" w:bottom="1440" w:left="1440" w:header="720" w:footer="720" w:gutter="0"/>
          <w:cols w:num="2" w:space="720"/>
          <w:docGrid w:linePitch="360"/>
        </w:sectPr>
      </w:pPr>
    </w:p>
    <w:p w14:paraId="1424EB71" w14:textId="21273B9D" w:rsidR="001530D9" w:rsidRPr="00EF5767" w:rsidRDefault="001530D9" w:rsidP="009261EA">
      <w:pPr>
        <w:jc w:val="both"/>
        <w:rPr>
          <w:sz w:val="24"/>
          <w:szCs w:val="24"/>
        </w:rPr>
        <w:sectPr w:rsidR="001530D9" w:rsidRPr="00EF5767" w:rsidSect="00056A2E">
          <w:type w:val="continuous"/>
          <w:pgSz w:w="12240" w:h="15840"/>
          <w:pgMar w:top="1440" w:right="1440" w:bottom="1440" w:left="1440" w:header="720" w:footer="720" w:gutter="0"/>
          <w:cols w:num="2" w:space="720"/>
          <w:docGrid w:linePitch="360"/>
        </w:sectPr>
      </w:pPr>
    </w:p>
    <w:p w14:paraId="6CA9D7AF" w14:textId="1F5E80DB" w:rsidR="00056A2E" w:rsidRPr="00D1596E" w:rsidRDefault="00D73D12" w:rsidP="009261EA">
      <w:pPr>
        <w:jc w:val="both"/>
        <w:rPr>
          <w:sz w:val="24"/>
          <w:szCs w:val="24"/>
        </w:rPr>
        <w:sectPr w:rsidR="00056A2E" w:rsidRPr="00D1596E" w:rsidSect="00056A2E">
          <w:type w:val="continuous"/>
          <w:pgSz w:w="12240" w:h="15840"/>
          <w:pgMar w:top="1440" w:right="1440" w:bottom="1440" w:left="1440" w:header="720" w:footer="720" w:gutter="0"/>
          <w:cols w:num="2" w:space="720"/>
          <w:docGrid w:linePitch="360"/>
        </w:sectPr>
      </w:pPr>
      <w:r>
        <w:rPr>
          <w:noProof/>
          <w:sz w:val="32"/>
          <w:szCs w:val="32"/>
        </w:rPr>
        <w:drawing>
          <wp:inline distT="0" distB="0" distL="0" distR="0" wp14:anchorId="6E558643" wp14:editId="1E1E3AB3">
            <wp:extent cx="2659380" cy="2247900"/>
            <wp:effectExtent l="0" t="0" r="762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056A2E" w:rsidRPr="00056A2E">
        <w:rPr>
          <w:sz w:val="24"/>
          <w:szCs w:val="24"/>
        </w:rPr>
        <w:t>[Performance ratio on Smart Contracts 2.0]</w:t>
      </w:r>
    </w:p>
    <w:p w14:paraId="14759C19" w14:textId="77777777" w:rsidR="00A0351E" w:rsidRDefault="00A0351E" w:rsidP="009261EA">
      <w:pPr>
        <w:jc w:val="both"/>
        <w:rPr>
          <w:sz w:val="32"/>
          <w:szCs w:val="32"/>
        </w:rPr>
      </w:pPr>
    </w:p>
    <w:p w14:paraId="78DF0550" w14:textId="77777777" w:rsidR="00E23E4B" w:rsidRDefault="00E23E4B" w:rsidP="009261EA">
      <w:pPr>
        <w:jc w:val="both"/>
        <w:rPr>
          <w:sz w:val="32"/>
          <w:szCs w:val="32"/>
        </w:rPr>
        <w:sectPr w:rsidR="00E23E4B" w:rsidSect="007B4AFB">
          <w:type w:val="continuous"/>
          <w:pgSz w:w="12240" w:h="15840"/>
          <w:pgMar w:top="1440" w:right="1440" w:bottom="1440" w:left="1440" w:header="720" w:footer="720" w:gutter="0"/>
          <w:cols w:space="720"/>
          <w:docGrid w:linePitch="360"/>
        </w:sectPr>
      </w:pPr>
    </w:p>
    <w:p w14:paraId="3B383735" w14:textId="6EFDAA27" w:rsidR="009261EA" w:rsidRDefault="009261EA" w:rsidP="009261EA">
      <w:pPr>
        <w:jc w:val="both"/>
        <w:rPr>
          <w:sz w:val="32"/>
          <w:szCs w:val="32"/>
        </w:rPr>
      </w:pPr>
      <w:r>
        <w:rPr>
          <w:sz w:val="32"/>
          <w:szCs w:val="32"/>
        </w:rPr>
        <w:t>Discussion:</w:t>
      </w:r>
    </w:p>
    <w:p w14:paraId="5DC62756" w14:textId="29C20409" w:rsidR="009261EA" w:rsidRPr="00E23E4B" w:rsidRDefault="00E23E4B" w:rsidP="009261EA">
      <w:pPr>
        <w:jc w:val="both"/>
        <w:rPr>
          <w:sz w:val="24"/>
          <w:szCs w:val="24"/>
        </w:rPr>
      </w:pPr>
      <w:r w:rsidRPr="00E23E4B">
        <w:rPr>
          <w:sz w:val="24"/>
          <w:szCs w:val="24"/>
        </w:rPr>
        <w:t xml:space="preserve">The account balances are updated simultaneously for each transaction and its related fee payments. The account's </w:t>
      </w:r>
      <w:r w:rsidR="00056A2E">
        <w:rPr>
          <w:sz w:val="24"/>
          <w:szCs w:val="24"/>
        </w:rPr>
        <w:t>HBAR</w:t>
      </w:r>
      <w:r w:rsidRPr="00E23E4B">
        <w:rPr>
          <w:sz w:val="24"/>
          <w:szCs w:val="24"/>
        </w:rPr>
        <w:t xml:space="preserve"> are only accessible to the person who holds the private key.</w:t>
      </w:r>
    </w:p>
    <w:p w14:paraId="6026AD17" w14:textId="76FB1470" w:rsidR="009B0695" w:rsidRPr="009B0695" w:rsidRDefault="009B0695" w:rsidP="009B0695">
      <w:pPr>
        <w:jc w:val="both"/>
        <w:rPr>
          <w:sz w:val="24"/>
          <w:szCs w:val="24"/>
        </w:rPr>
      </w:pPr>
      <w:r w:rsidRPr="009B0695">
        <w:rPr>
          <w:sz w:val="24"/>
          <w:szCs w:val="24"/>
        </w:rPr>
        <w:t xml:space="preserve">The 2021 NFT boom proves that blockchains can: 1) </w:t>
      </w:r>
      <w:r w:rsidRPr="009B0695">
        <w:rPr>
          <w:sz w:val="24"/>
          <w:szCs w:val="24"/>
          <w:highlight w:val="yellow"/>
        </w:rPr>
        <w:t>solve real-world problems,</w:t>
      </w:r>
      <w:r w:rsidRPr="009B0695">
        <w:rPr>
          <w:sz w:val="24"/>
          <w:szCs w:val="24"/>
        </w:rPr>
        <w:t xml:space="preserve"> 2) </w:t>
      </w:r>
      <w:r w:rsidRPr="009B0695">
        <w:rPr>
          <w:sz w:val="24"/>
          <w:szCs w:val="24"/>
          <w:highlight w:val="yellow"/>
        </w:rPr>
        <w:t>be quickly deployed,</w:t>
      </w:r>
      <w:r w:rsidRPr="009B0695">
        <w:rPr>
          <w:sz w:val="24"/>
          <w:szCs w:val="24"/>
        </w:rPr>
        <w:t xml:space="preserve"> and 3) </w:t>
      </w:r>
      <w:r w:rsidRPr="009B0695">
        <w:rPr>
          <w:sz w:val="24"/>
          <w:szCs w:val="24"/>
          <w:highlight w:val="yellow"/>
        </w:rPr>
        <w:t>generate wealth for both users and underlying networks</w:t>
      </w:r>
      <w:r>
        <w:rPr>
          <w:sz w:val="24"/>
          <w:szCs w:val="24"/>
        </w:rPr>
        <w:t xml:space="preserve">. </w:t>
      </w:r>
      <w:r w:rsidRPr="009B0695">
        <w:rPr>
          <w:sz w:val="24"/>
          <w:szCs w:val="24"/>
        </w:rPr>
        <w:t xml:space="preserve">There are other competing blockchains that use different </w:t>
      </w:r>
      <w:r w:rsidRPr="009B0695">
        <w:rPr>
          <w:sz w:val="24"/>
          <w:szCs w:val="24"/>
          <w:highlight w:val="yellow"/>
        </w:rPr>
        <w:t>consensus algorithms</w:t>
      </w:r>
      <w:r w:rsidRPr="009B0695">
        <w:rPr>
          <w:sz w:val="24"/>
          <w:szCs w:val="24"/>
        </w:rPr>
        <w:t xml:space="preserve"> than Ethereum. Venture into NFT technology with the goal of enhancing transaction speed and decreasing fees. The goal is to increase market valuations and expand the user base. NFT sales volume in August 2021</w:t>
      </w:r>
      <w:r w:rsidRPr="009B0695">
        <w:rPr>
          <w:sz w:val="24"/>
          <w:szCs w:val="24"/>
          <w:highlight w:val="yellow"/>
        </w:rPr>
        <w:t>. Close to $4 billion was spent on the OpenSea marketplace in February</w:t>
      </w:r>
      <w:r w:rsidRPr="009B0695">
        <w:rPr>
          <w:sz w:val="24"/>
          <w:szCs w:val="24"/>
        </w:rPr>
        <w:t xml:space="preserve">, up from only $8 million in January. 202117, a jump of </w:t>
      </w:r>
      <w:r w:rsidRPr="009B0695">
        <w:rPr>
          <w:sz w:val="24"/>
          <w:szCs w:val="24"/>
          <w:highlight w:val="yellow"/>
        </w:rPr>
        <w:t>50,000%</w:t>
      </w:r>
      <w:r w:rsidRPr="009B0695">
        <w:rPr>
          <w:sz w:val="24"/>
          <w:szCs w:val="24"/>
        </w:rPr>
        <w:t>. This highlights the industry's massive revenue potential. On top of existing blockchains, NFT economics is constructed.</w:t>
      </w:r>
    </w:p>
    <w:p w14:paraId="46CB29B1" w14:textId="194C0D7E" w:rsidR="009B0695" w:rsidRDefault="009B0695" w:rsidP="009B0695">
      <w:pPr>
        <w:jc w:val="both"/>
        <w:rPr>
          <w:sz w:val="24"/>
          <w:szCs w:val="24"/>
        </w:rPr>
      </w:pPr>
      <w:r w:rsidRPr="009B0695">
        <w:rPr>
          <w:sz w:val="24"/>
          <w:szCs w:val="24"/>
        </w:rPr>
        <w:t>Various current blockchains began to include NFT as a result of the excess demand curve.</w:t>
      </w:r>
    </w:p>
    <w:p w14:paraId="15AE578B" w14:textId="4A17B4CB" w:rsidR="009B0695" w:rsidRPr="009B0695" w:rsidRDefault="009B0695" w:rsidP="009B0695">
      <w:pPr>
        <w:jc w:val="both"/>
        <w:rPr>
          <w:sz w:val="24"/>
          <w:szCs w:val="24"/>
        </w:rPr>
      </w:pPr>
      <w:r w:rsidRPr="009B0695">
        <w:rPr>
          <w:sz w:val="24"/>
          <w:szCs w:val="24"/>
        </w:rPr>
        <w:t>As a result of the surplus demand curve, various current blockchains began incorporating NFT infrastructure that enables NFT minting, trading, auctioning, mining, staking, and other operations. It seems reasonable to assume that the NFT craze sparked a significant increase in blockchain adoption, which is an important step toward blockchain technology's eventual revolution of commerce and financial services</w:t>
      </w:r>
      <w:r w:rsidRPr="004377B0">
        <w:rPr>
          <w:sz w:val="24"/>
          <w:szCs w:val="24"/>
          <w:highlight w:val="yellow"/>
        </w:rPr>
        <w:t>.</w:t>
      </w:r>
      <w:r w:rsidR="00BD2F23" w:rsidRPr="004377B0">
        <w:rPr>
          <w:sz w:val="24"/>
          <w:szCs w:val="24"/>
          <w:highlight w:val="yellow"/>
        </w:rPr>
        <w:t xml:space="preserve"> Et al. Paul Madesen</w:t>
      </w:r>
      <w:r w:rsidR="004377B0">
        <w:rPr>
          <w:sz w:val="24"/>
          <w:szCs w:val="24"/>
        </w:rPr>
        <w:t>,</w:t>
      </w:r>
      <w:r w:rsidR="00BD2F23" w:rsidRPr="00BD2F23">
        <w:rPr>
          <w:sz w:val="24"/>
          <w:szCs w:val="24"/>
        </w:rPr>
        <w:t xml:space="preserve"> take out a single trustworthy node at a time with a DDoS attack. Other nodes are unable to sync with a DDoSed node. I</w:t>
      </w:r>
      <w:r w:rsidR="004377B0">
        <w:rPr>
          <w:sz w:val="24"/>
          <w:szCs w:val="24"/>
        </w:rPr>
        <w:t>t</w:t>
      </w:r>
      <w:r w:rsidR="00BD2F23" w:rsidRPr="00BD2F23">
        <w:rPr>
          <w:sz w:val="24"/>
          <w:szCs w:val="24"/>
        </w:rPr>
        <w:t xml:space="preserve"> also</w:t>
      </w:r>
      <w:r w:rsidR="004377B0">
        <w:rPr>
          <w:sz w:val="24"/>
          <w:szCs w:val="24"/>
        </w:rPr>
        <w:t xml:space="preserve"> </w:t>
      </w:r>
      <w:r w:rsidR="00BD2F23" w:rsidRPr="00BD2F23">
        <w:rPr>
          <w:sz w:val="24"/>
          <w:szCs w:val="24"/>
        </w:rPr>
        <w:t>control</w:t>
      </w:r>
      <w:r w:rsidR="004377B0">
        <w:rPr>
          <w:sz w:val="24"/>
          <w:szCs w:val="24"/>
        </w:rPr>
        <w:t>led</w:t>
      </w:r>
      <w:r w:rsidR="00BD2F23" w:rsidRPr="00BD2F23">
        <w:rPr>
          <w:sz w:val="24"/>
          <w:szCs w:val="24"/>
        </w:rPr>
        <w:t xml:space="preserve"> over a </w:t>
      </w:r>
      <w:r w:rsidR="00BD2F23" w:rsidRPr="00747C4A">
        <w:rPr>
          <w:sz w:val="24"/>
          <w:szCs w:val="24"/>
          <w:highlight w:val="yellow"/>
        </w:rPr>
        <w:t>limited number of malicious nodes (less than 1/3),</w:t>
      </w:r>
      <w:r w:rsidR="00BD2F23" w:rsidRPr="00BD2F23">
        <w:rPr>
          <w:sz w:val="24"/>
          <w:szCs w:val="24"/>
        </w:rPr>
        <w:t xml:space="preserve"> who are aware of what is going on and may be able to help me guide the attack to alternate which node is </w:t>
      </w:r>
      <w:r w:rsidR="00BD2F23" w:rsidRPr="00747C4A">
        <w:rPr>
          <w:sz w:val="24"/>
          <w:szCs w:val="24"/>
          <w:highlight w:val="yellow"/>
        </w:rPr>
        <w:t>DDoSed</w:t>
      </w:r>
      <w:r w:rsidR="00BD2F23" w:rsidRPr="00BD2F23">
        <w:rPr>
          <w:sz w:val="24"/>
          <w:szCs w:val="24"/>
        </w:rPr>
        <w:t>. For as long as the attack continues, ability to shut down the network.</w:t>
      </w:r>
      <w:r w:rsidR="004377B0">
        <w:rPr>
          <w:sz w:val="24"/>
          <w:szCs w:val="24"/>
        </w:rPr>
        <w:t xml:space="preserve"> </w:t>
      </w:r>
      <w:r w:rsidR="004377B0" w:rsidRPr="004377B0">
        <w:rPr>
          <w:sz w:val="24"/>
          <w:szCs w:val="24"/>
        </w:rPr>
        <w:t>This is a DDoS attack (Distributed Denial of Service). The attacker has gained access to a large number of machines on the internet, which he can use to flood a single computer with so many packets that it shuts down for the duration of the attack. When it comes to choosing a DDoS target, it doesn't matter how intelligent the attacker is. It makes no difference if the attacker uses a malicious node as a spy to assist in the selection of the victim.</w:t>
      </w:r>
      <w:r w:rsidR="004377B0">
        <w:rPr>
          <w:sz w:val="24"/>
          <w:szCs w:val="24"/>
        </w:rPr>
        <w:t xml:space="preserve"> </w:t>
      </w:r>
      <w:r w:rsidR="004377B0" w:rsidRPr="004377B0">
        <w:rPr>
          <w:sz w:val="24"/>
          <w:szCs w:val="24"/>
        </w:rPr>
        <w:t xml:space="preserve">The attack is still ruled out. An attacker cannot freeze the network for as long as the attack continues unless every pair of honest nodes eventually syncs, and more </w:t>
      </w:r>
      <w:r w:rsidR="004377B0" w:rsidRPr="00747C4A">
        <w:rPr>
          <w:sz w:val="24"/>
          <w:szCs w:val="24"/>
          <w:highlight w:val="yellow"/>
        </w:rPr>
        <w:t>than 2/3 of the nodes are honest nodes</w:t>
      </w:r>
      <w:r w:rsidR="004377B0" w:rsidRPr="004377B0">
        <w:rPr>
          <w:sz w:val="24"/>
          <w:szCs w:val="24"/>
        </w:rPr>
        <w:t>. Because if it went on indefinitely, all four Conditions would hold true, but the Results would not. The ABFT proof rules this out. As a result, the ABFT proof declares this type of liveness attack impossible, and the claim must be incorrect.</w:t>
      </w:r>
      <w:r w:rsidR="0012602E">
        <w:rPr>
          <w:sz w:val="24"/>
          <w:szCs w:val="24"/>
        </w:rPr>
        <w:t xml:space="preserve"> </w:t>
      </w:r>
      <w:r w:rsidR="0012602E" w:rsidRPr="0012602E">
        <w:rPr>
          <w:sz w:val="24"/>
          <w:szCs w:val="24"/>
        </w:rPr>
        <w:t xml:space="preserve">the Leader attack may even contain a mathematical proof that it is ABFT. However, it cannot have an ABFT proof because an ABFT proof would ensure that it is immune to that assault. This is one of the key ways in which ABFT outperforms ABFT. A protocol with a ABFT proof is guaranteed correct, but if the evidence can be updated to an </w:t>
      </w:r>
      <w:r w:rsidR="0012602E" w:rsidRPr="0012602E">
        <w:rPr>
          <w:sz w:val="24"/>
          <w:szCs w:val="24"/>
          <w:highlight w:val="yellow"/>
        </w:rPr>
        <w:t>ABFT</w:t>
      </w:r>
      <w:r w:rsidR="0012602E" w:rsidRPr="0012602E">
        <w:rPr>
          <w:sz w:val="24"/>
          <w:szCs w:val="24"/>
        </w:rPr>
        <w:t xml:space="preserve"> proof, the correctness guarantee can be increased to provide liveness guarantees as well.</w:t>
      </w:r>
    </w:p>
    <w:p w14:paraId="7239CEA7" w14:textId="77777777" w:rsidR="00E23E4B" w:rsidRDefault="00E23E4B" w:rsidP="009261EA">
      <w:pPr>
        <w:jc w:val="both"/>
        <w:rPr>
          <w:sz w:val="32"/>
          <w:szCs w:val="32"/>
        </w:rPr>
      </w:pPr>
    </w:p>
    <w:p w14:paraId="26FA1B33" w14:textId="77777777" w:rsidR="009B0695" w:rsidRDefault="009B0695" w:rsidP="009261EA">
      <w:pPr>
        <w:jc w:val="both"/>
        <w:rPr>
          <w:sz w:val="32"/>
          <w:szCs w:val="32"/>
        </w:rPr>
      </w:pPr>
    </w:p>
    <w:p w14:paraId="5C2DFEC4" w14:textId="77777777" w:rsidR="009B0695" w:rsidRDefault="009B0695" w:rsidP="009261EA">
      <w:pPr>
        <w:jc w:val="both"/>
        <w:rPr>
          <w:sz w:val="32"/>
          <w:szCs w:val="32"/>
        </w:rPr>
      </w:pPr>
    </w:p>
    <w:p w14:paraId="510A96C2" w14:textId="77777777" w:rsidR="009B0695" w:rsidRDefault="009B0695" w:rsidP="009261EA">
      <w:pPr>
        <w:jc w:val="both"/>
        <w:rPr>
          <w:sz w:val="32"/>
          <w:szCs w:val="32"/>
        </w:rPr>
      </w:pPr>
    </w:p>
    <w:p w14:paraId="1EDBD4F0" w14:textId="73319ABF" w:rsidR="009B0695" w:rsidRDefault="009B0695" w:rsidP="009261EA">
      <w:pPr>
        <w:jc w:val="both"/>
        <w:rPr>
          <w:sz w:val="32"/>
          <w:szCs w:val="32"/>
        </w:rPr>
        <w:sectPr w:rsidR="009B0695" w:rsidSect="00E23E4B">
          <w:type w:val="continuous"/>
          <w:pgSz w:w="12240" w:h="15840"/>
          <w:pgMar w:top="1440" w:right="1440" w:bottom="1440" w:left="1440" w:header="720" w:footer="720" w:gutter="0"/>
          <w:cols w:num="2" w:space="720"/>
          <w:docGrid w:linePitch="360"/>
        </w:sectPr>
      </w:pPr>
    </w:p>
    <w:p w14:paraId="26F03DA0" w14:textId="77777777" w:rsidR="00BD2F23" w:rsidRDefault="00BD2F23" w:rsidP="009261EA">
      <w:pPr>
        <w:jc w:val="both"/>
        <w:rPr>
          <w:sz w:val="32"/>
          <w:szCs w:val="32"/>
        </w:rPr>
      </w:pPr>
    </w:p>
    <w:p w14:paraId="5F3D89CA" w14:textId="77777777" w:rsidR="00BE309D" w:rsidRDefault="00BE309D" w:rsidP="009261EA">
      <w:pPr>
        <w:jc w:val="both"/>
        <w:rPr>
          <w:sz w:val="32"/>
          <w:szCs w:val="32"/>
        </w:rPr>
      </w:pPr>
    </w:p>
    <w:p w14:paraId="51C89716" w14:textId="77777777" w:rsidR="00BE309D" w:rsidRDefault="00BE309D" w:rsidP="009261EA">
      <w:pPr>
        <w:jc w:val="both"/>
        <w:rPr>
          <w:sz w:val="32"/>
          <w:szCs w:val="32"/>
        </w:rPr>
      </w:pPr>
    </w:p>
    <w:p w14:paraId="577D0DF3" w14:textId="77777777" w:rsidR="00EF6836" w:rsidRDefault="00EF6836" w:rsidP="009261EA">
      <w:pPr>
        <w:jc w:val="both"/>
        <w:rPr>
          <w:sz w:val="32"/>
          <w:szCs w:val="32"/>
        </w:rPr>
      </w:pPr>
    </w:p>
    <w:p w14:paraId="043D1970" w14:textId="77777777" w:rsidR="00EF6836" w:rsidRDefault="00EF6836" w:rsidP="009261EA">
      <w:pPr>
        <w:jc w:val="both"/>
        <w:rPr>
          <w:sz w:val="32"/>
          <w:szCs w:val="32"/>
        </w:rPr>
      </w:pPr>
    </w:p>
    <w:p w14:paraId="7F672F38" w14:textId="738D0671" w:rsidR="009261EA" w:rsidRDefault="009261EA" w:rsidP="009261EA">
      <w:pPr>
        <w:jc w:val="both"/>
        <w:rPr>
          <w:sz w:val="32"/>
          <w:szCs w:val="32"/>
        </w:rPr>
      </w:pPr>
      <w:r>
        <w:rPr>
          <w:sz w:val="32"/>
          <w:szCs w:val="32"/>
        </w:rPr>
        <w:t>Conclusion:</w:t>
      </w:r>
    </w:p>
    <w:p w14:paraId="6148229E" w14:textId="77777777" w:rsidR="00E07279" w:rsidRDefault="00E07279" w:rsidP="009261EA">
      <w:pPr>
        <w:jc w:val="both"/>
        <w:rPr>
          <w:sz w:val="32"/>
          <w:szCs w:val="32"/>
        </w:rPr>
        <w:sectPr w:rsidR="00E07279" w:rsidSect="007B4AFB">
          <w:type w:val="continuous"/>
          <w:pgSz w:w="12240" w:h="15840"/>
          <w:pgMar w:top="1440" w:right="1440" w:bottom="1440" w:left="1440" w:header="720" w:footer="720" w:gutter="0"/>
          <w:cols w:space="720"/>
          <w:docGrid w:linePitch="360"/>
        </w:sectPr>
      </w:pPr>
    </w:p>
    <w:p w14:paraId="2764E775" w14:textId="5DD963AB" w:rsidR="00E07279" w:rsidRPr="00E07279" w:rsidRDefault="00E07279" w:rsidP="0028271F">
      <w:pPr>
        <w:jc w:val="both"/>
        <w:rPr>
          <w:sz w:val="24"/>
          <w:szCs w:val="24"/>
        </w:rPr>
        <w:sectPr w:rsidR="00E07279" w:rsidRPr="00E07279" w:rsidSect="00E07279">
          <w:type w:val="continuous"/>
          <w:pgSz w:w="12240" w:h="15840"/>
          <w:pgMar w:top="1440" w:right="1440" w:bottom="1440" w:left="1440" w:header="720" w:footer="720" w:gutter="0"/>
          <w:cols w:num="2" w:space="720"/>
          <w:docGrid w:linePitch="360"/>
        </w:sectPr>
      </w:pPr>
      <w:r w:rsidRPr="00E07279">
        <w:rPr>
          <w:sz w:val="24"/>
          <w:szCs w:val="24"/>
        </w:rPr>
        <w:t xml:space="preserve">The hashgraph consensus technique allows developers using Smart Contracts 2.0 to charge reasonable, predictable gas prices. Hedera can handle up to 15 million gas per second, which is the same as Ethereum's target for a single block. </w:t>
      </w:r>
      <w:r w:rsidRPr="002E3452">
        <w:rPr>
          <w:sz w:val="24"/>
          <w:szCs w:val="24"/>
          <w:highlight w:val="yellow"/>
        </w:rPr>
        <w:t>Hedera's high transfer speeds and security standards assist Smart Contracts 2.0 transactions as well</w:t>
      </w:r>
      <w:r w:rsidRPr="00E07279">
        <w:rPr>
          <w:sz w:val="24"/>
          <w:szCs w:val="24"/>
        </w:rPr>
        <w:t>. The Hedera network uses hashgraph to achieve Asynchronous Byzantine Fault Tolerance (ABFT), the greatest level of security for a distributed ledger, which implies that no one person or group can prevent the algorithm from achieving agreement.</w:t>
      </w:r>
      <w:r w:rsidR="00256AD2" w:rsidRPr="00256AD2">
        <w:t xml:space="preserve"> </w:t>
      </w:r>
      <w:r w:rsidR="00256AD2" w:rsidRPr="00256AD2">
        <w:rPr>
          <w:sz w:val="24"/>
          <w:szCs w:val="24"/>
        </w:rPr>
        <w:t xml:space="preserve">The Hedera Smart Contract Service is compatible with the EVM (Ethereum Virtual Machine) and runs </w:t>
      </w:r>
      <w:r w:rsidR="00256AD2" w:rsidRPr="002E3452">
        <w:rPr>
          <w:sz w:val="24"/>
          <w:szCs w:val="24"/>
          <w:highlight w:val="yellow"/>
        </w:rPr>
        <w:t>Solidity</w:t>
      </w:r>
      <w:r w:rsidR="00256AD2" w:rsidRPr="00256AD2">
        <w:rPr>
          <w:sz w:val="24"/>
          <w:szCs w:val="24"/>
        </w:rPr>
        <w:t>, a programming language utili</w:t>
      </w:r>
      <w:r w:rsidR="00B25B22">
        <w:rPr>
          <w:sz w:val="24"/>
          <w:szCs w:val="24"/>
        </w:rPr>
        <w:t>z</w:t>
      </w:r>
      <w:r w:rsidR="00256AD2" w:rsidRPr="00256AD2">
        <w:rPr>
          <w:sz w:val="24"/>
          <w:szCs w:val="24"/>
        </w:rPr>
        <w:t xml:space="preserve">ed by 30% of all Web3 developers. With the Hedera Token Service, </w:t>
      </w:r>
      <w:r w:rsidR="00256AD2" w:rsidRPr="002E3452">
        <w:rPr>
          <w:sz w:val="24"/>
          <w:szCs w:val="24"/>
          <w:highlight w:val="yellow"/>
        </w:rPr>
        <w:t>Hedera's Smart Contracts 2.0 blends Solidity and EVM compliant smart contracts</w:t>
      </w:r>
      <w:r w:rsidR="00256AD2" w:rsidRPr="00256AD2">
        <w:rPr>
          <w:sz w:val="24"/>
          <w:szCs w:val="24"/>
        </w:rPr>
        <w:t xml:space="preserve"> with the versatility of </w:t>
      </w:r>
      <w:r w:rsidR="00256AD2" w:rsidRPr="002E3452">
        <w:rPr>
          <w:sz w:val="24"/>
          <w:szCs w:val="24"/>
          <w:highlight w:val="yellow"/>
        </w:rPr>
        <w:t>Hedera's tokenization infrastructure by supporting native Hedera tokens and NFTs</w:t>
      </w:r>
      <w:r w:rsidR="00256AD2" w:rsidRPr="00256AD2">
        <w:rPr>
          <w:sz w:val="24"/>
          <w:szCs w:val="24"/>
        </w:rPr>
        <w:t>. This gives consumers more options, allowing developers to evaluate the usability of smart contracts and add hashgraph-based tokenization capabilities into their programs.</w:t>
      </w:r>
    </w:p>
    <w:p w14:paraId="0BCDEC38" w14:textId="3694BACB" w:rsidR="009261EA" w:rsidRPr="00E07279" w:rsidRDefault="009261EA" w:rsidP="0028271F">
      <w:pPr>
        <w:jc w:val="both"/>
        <w:rPr>
          <w:rFonts w:ascii="Calibri" w:hAnsi="Calibri" w:cs="Calibri"/>
          <w:color w:val="000000" w:themeColor="text1"/>
          <w:sz w:val="24"/>
          <w:szCs w:val="24"/>
        </w:rPr>
      </w:pPr>
    </w:p>
    <w:p w14:paraId="5734CA4A" w14:textId="03C44D86" w:rsidR="009261EA" w:rsidRDefault="009261EA" w:rsidP="009261EA">
      <w:pPr>
        <w:jc w:val="both"/>
        <w:rPr>
          <w:sz w:val="32"/>
          <w:szCs w:val="32"/>
        </w:rPr>
      </w:pPr>
      <w:r>
        <w:rPr>
          <w:sz w:val="32"/>
          <w:szCs w:val="32"/>
        </w:rPr>
        <w:t>References:</w:t>
      </w:r>
    </w:p>
    <w:p w14:paraId="4F1AB2E9" w14:textId="1F0C0B48" w:rsidR="00B25B22" w:rsidRDefault="00560B12" w:rsidP="0028271F">
      <w:pPr>
        <w:jc w:val="both"/>
      </w:pPr>
      <w:r>
        <w:rPr>
          <w:rFonts w:ascii="Calibri" w:hAnsi="Calibri" w:cs="Calibri"/>
          <w:color w:val="000000" w:themeColor="text1"/>
          <w:sz w:val="24"/>
          <w:szCs w:val="24"/>
        </w:rPr>
        <w:t xml:space="preserve">[1] </w:t>
      </w:r>
      <w:r>
        <w:t>Non-Fungible Token (NFT): Overview, Evaluation, Opportunities and Challenges - Qin Wang,</w:t>
      </w:r>
      <w:r w:rsidR="006133C2">
        <w:t xml:space="preserve"> </w:t>
      </w:r>
      <w:r>
        <w:t>Rujia Li, Qi Wang, Shiping Chen Southern University of Science and Technology Swinburne University of Technology, University of Birmingham.</w:t>
      </w:r>
    </w:p>
    <w:p w14:paraId="66A185AF" w14:textId="3C075FFC" w:rsidR="006133C2" w:rsidRPr="006133C2" w:rsidRDefault="006410DD" w:rsidP="006133C2">
      <w:pPr>
        <w:jc w:val="both"/>
      </w:pPr>
      <w:r>
        <w:t xml:space="preserve">[2] </w:t>
      </w:r>
      <w:r w:rsidRPr="006410DD">
        <w:t>Smart Contracts 2.0: Live on Main</w:t>
      </w:r>
      <w:r>
        <w:t>-</w:t>
      </w:r>
      <w:r w:rsidRPr="006410DD">
        <w:t>net</w:t>
      </w:r>
      <w:r>
        <w:t xml:space="preserve"> </w:t>
      </w:r>
      <w:r w:rsidR="006133C2">
        <w:t>-</w:t>
      </w:r>
      <w:r>
        <w:t xml:space="preserve"> </w:t>
      </w:r>
      <w:r w:rsidR="006133C2" w:rsidRPr="006133C2">
        <w:t>Feb 07, 2022</w:t>
      </w:r>
      <w:r w:rsidR="006133C2">
        <w:t xml:space="preserve"> </w:t>
      </w:r>
      <w:r w:rsidR="006133C2" w:rsidRPr="006133C2">
        <w:t>by </w:t>
      </w:r>
      <w:r w:rsidR="006133C2" w:rsidRPr="006133C2">
        <w:rPr>
          <w:b/>
          <w:bCs/>
        </w:rPr>
        <w:t>Gehrig Kunz</w:t>
      </w:r>
      <w:r w:rsidR="006133C2">
        <w:t xml:space="preserve"> </w:t>
      </w:r>
      <w:r w:rsidR="006133C2" w:rsidRPr="006133C2">
        <w:t>Product Marketing at Hedera Hashgraph</w:t>
      </w:r>
    </w:p>
    <w:p w14:paraId="20B95955" w14:textId="7DB64586" w:rsidR="006410DD" w:rsidRDefault="006133C2" w:rsidP="0028271F">
      <w:pPr>
        <w:jc w:val="both"/>
      </w:pPr>
      <w:r>
        <w:t xml:space="preserve">[3] </w:t>
      </w:r>
      <w:r w:rsidR="00DE6771">
        <w:t>HALA SYSTEMS Seeking Justice with Tamper-Proof Evidence on Hedera Hashgraph, @2020 Hedera Hashgraph, Global.</w:t>
      </w:r>
    </w:p>
    <w:p w14:paraId="549610E7" w14:textId="148FD196" w:rsidR="00E74983" w:rsidRDefault="00E74983" w:rsidP="0028271F">
      <w:pPr>
        <w:jc w:val="both"/>
      </w:pPr>
      <w:r>
        <w:t>[4]</w:t>
      </w:r>
      <w:r w:rsidR="00267A42">
        <w:t xml:space="preserve"> Non-Fungible Tokens (NFT). The Analysis of Risk and Return - Mieszko Mazur, IESEG School of Management</w:t>
      </w:r>
    </w:p>
    <w:p w14:paraId="6EC93A21" w14:textId="704C8E42" w:rsidR="00E74983" w:rsidRDefault="00E74983" w:rsidP="0028271F">
      <w:pPr>
        <w:jc w:val="both"/>
      </w:pPr>
      <w:r>
        <w:t>[5]</w:t>
      </w:r>
      <w:r w:rsidR="00BD2F23">
        <w:t xml:space="preserve"> </w:t>
      </w:r>
      <w:r w:rsidR="0012602E" w:rsidRPr="0012602E">
        <w:t>ABFT for Correctness and Liveness</w:t>
      </w:r>
      <w:r w:rsidR="0012602E">
        <w:t xml:space="preserve"> – Feb 07, 2020 – Paul Madesen</w:t>
      </w:r>
    </w:p>
    <w:p w14:paraId="43FA6174" w14:textId="2F03496B" w:rsidR="00D57726" w:rsidRDefault="00D57726" w:rsidP="0028271F">
      <w:pPr>
        <w:jc w:val="both"/>
      </w:pPr>
      <w:r>
        <w:t>[6] Hbar Economics A deep dive into the dual role of HBARS &amp; detailed release schedule – Hedera LLC.</w:t>
      </w:r>
    </w:p>
    <w:p w14:paraId="5D6272F9" w14:textId="4131C41E" w:rsidR="00E74983" w:rsidRDefault="00E74983" w:rsidP="00E74983"/>
    <w:p w14:paraId="03EF956D" w14:textId="77777777" w:rsidR="00E74983" w:rsidRDefault="00E74983" w:rsidP="0028271F">
      <w:pPr>
        <w:jc w:val="both"/>
      </w:pPr>
    </w:p>
    <w:p w14:paraId="0A82FEDE" w14:textId="77777777" w:rsidR="00560B12" w:rsidRDefault="00560B12" w:rsidP="0028271F">
      <w:pPr>
        <w:jc w:val="both"/>
        <w:rPr>
          <w:rFonts w:ascii="Calibri" w:hAnsi="Calibri" w:cs="Calibri"/>
          <w:color w:val="000000" w:themeColor="text1"/>
          <w:sz w:val="24"/>
          <w:szCs w:val="24"/>
        </w:rPr>
      </w:pPr>
    </w:p>
    <w:p w14:paraId="6C58A207" w14:textId="1F4CE88C" w:rsidR="00B25B22" w:rsidRDefault="00B25B22" w:rsidP="0028271F">
      <w:pPr>
        <w:jc w:val="both"/>
        <w:rPr>
          <w:rFonts w:ascii="Calibri" w:hAnsi="Calibri" w:cs="Calibri"/>
          <w:color w:val="000000" w:themeColor="text1"/>
          <w:sz w:val="24"/>
          <w:szCs w:val="24"/>
        </w:rPr>
      </w:pPr>
    </w:p>
    <w:p w14:paraId="6481FC07" w14:textId="69AE8915" w:rsidR="00B25B22" w:rsidRDefault="00B25B22" w:rsidP="0028271F">
      <w:pPr>
        <w:jc w:val="both"/>
        <w:rPr>
          <w:rFonts w:ascii="Calibri" w:hAnsi="Calibri" w:cs="Calibri"/>
          <w:color w:val="000000" w:themeColor="text1"/>
          <w:sz w:val="24"/>
          <w:szCs w:val="24"/>
        </w:rPr>
      </w:pPr>
    </w:p>
    <w:p w14:paraId="67CDE416" w14:textId="60B40AB0" w:rsidR="00B25B22" w:rsidRDefault="00B25B22" w:rsidP="0028271F">
      <w:pPr>
        <w:jc w:val="both"/>
        <w:rPr>
          <w:rFonts w:ascii="Calibri" w:hAnsi="Calibri" w:cs="Calibri"/>
          <w:color w:val="000000" w:themeColor="text1"/>
          <w:sz w:val="24"/>
          <w:szCs w:val="24"/>
        </w:rPr>
      </w:pPr>
    </w:p>
    <w:p w14:paraId="760AF4F3" w14:textId="1D640784" w:rsidR="00B25B22" w:rsidRDefault="00B25B22" w:rsidP="0028271F">
      <w:pPr>
        <w:jc w:val="both"/>
        <w:rPr>
          <w:rFonts w:ascii="Calibri" w:hAnsi="Calibri" w:cs="Calibri"/>
          <w:color w:val="000000" w:themeColor="text1"/>
          <w:sz w:val="24"/>
          <w:szCs w:val="24"/>
        </w:rPr>
      </w:pPr>
    </w:p>
    <w:p w14:paraId="21810289" w14:textId="6D4B025B" w:rsidR="00B25B22" w:rsidRDefault="00B25B22" w:rsidP="0028271F">
      <w:pPr>
        <w:jc w:val="both"/>
        <w:rPr>
          <w:rFonts w:ascii="Calibri" w:hAnsi="Calibri" w:cs="Calibri"/>
          <w:color w:val="000000" w:themeColor="text1"/>
          <w:sz w:val="24"/>
          <w:szCs w:val="24"/>
        </w:rPr>
      </w:pPr>
    </w:p>
    <w:p w14:paraId="71A64CED" w14:textId="13E20148" w:rsidR="00B25B22" w:rsidRDefault="00B25B22" w:rsidP="0028271F">
      <w:pPr>
        <w:jc w:val="both"/>
        <w:rPr>
          <w:rFonts w:ascii="Calibri" w:hAnsi="Calibri" w:cs="Calibri"/>
          <w:color w:val="000000" w:themeColor="text1"/>
          <w:sz w:val="24"/>
          <w:szCs w:val="24"/>
        </w:rPr>
      </w:pPr>
    </w:p>
    <w:p w14:paraId="6057F142" w14:textId="28CF6378" w:rsidR="00B25B22" w:rsidRDefault="00B25B22" w:rsidP="0028271F">
      <w:pPr>
        <w:jc w:val="both"/>
        <w:rPr>
          <w:rFonts w:ascii="Calibri" w:hAnsi="Calibri" w:cs="Calibri"/>
          <w:color w:val="000000" w:themeColor="text1"/>
          <w:sz w:val="24"/>
          <w:szCs w:val="24"/>
        </w:rPr>
      </w:pPr>
    </w:p>
    <w:p w14:paraId="3727BB0D" w14:textId="0A3FAE01" w:rsidR="00B25B22" w:rsidRDefault="00B25B22" w:rsidP="0028271F">
      <w:pPr>
        <w:jc w:val="both"/>
        <w:rPr>
          <w:rFonts w:ascii="Calibri" w:hAnsi="Calibri" w:cs="Calibri"/>
          <w:color w:val="000000" w:themeColor="text1"/>
          <w:sz w:val="24"/>
          <w:szCs w:val="24"/>
        </w:rPr>
      </w:pPr>
    </w:p>
    <w:p w14:paraId="48030C64" w14:textId="37FF42BA" w:rsidR="00B25B22" w:rsidRDefault="00B25B22" w:rsidP="0028271F">
      <w:pPr>
        <w:jc w:val="both"/>
        <w:rPr>
          <w:rFonts w:ascii="Calibri" w:hAnsi="Calibri" w:cs="Calibri"/>
          <w:color w:val="000000" w:themeColor="text1"/>
          <w:sz w:val="24"/>
          <w:szCs w:val="24"/>
        </w:rPr>
      </w:pPr>
    </w:p>
    <w:p w14:paraId="56AFB0B6" w14:textId="2D1B1979" w:rsidR="00B25B22" w:rsidRDefault="00B25B22" w:rsidP="0028271F">
      <w:pPr>
        <w:jc w:val="both"/>
        <w:rPr>
          <w:rFonts w:ascii="Calibri" w:hAnsi="Calibri" w:cs="Calibri"/>
          <w:color w:val="000000" w:themeColor="text1"/>
          <w:sz w:val="24"/>
          <w:szCs w:val="24"/>
        </w:rPr>
      </w:pPr>
    </w:p>
    <w:p w14:paraId="03AD0B41" w14:textId="20957D5B" w:rsidR="00B25B22" w:rsidRDefault="00B25B22" w:rsidP="0028271F">
      <w:pPr>
        <w:jc w:val="both"/>
        <w:rPr>
          <w:rFonts w:ascii="Calibri" w:hAnsi="Calibri" w:cs="Calibri"/>
          <w:color w:val="000000" w:themeColor="text1"/>
          <w:sz w:val="24"/>
          <w:szCs w:val="24"/>
        </w:rPr>
      </w:pPr>
    </w:p>
    <w:p w14:paraId="21F6BD24" w14:textId="11C2C095" w:rsidR="00B25B22" w:rsidRDefault="00B25B22" w:rsidP="0028271F">
      <w:pPr>
        <w:jc w:val="both"/>
        <w:rPr>
          <w:rFonts w:ascii="Calibri" w:hAnsi="Calibri" w:cs="Calibri"/>
          <w:color w:val="000000" w:themeColor="text1"/>
          <w:sz w:val="24"/>
          <w:szCs w:val="24"/>
        </w:rPr>
      </w:pPr>
    </w:p>
    <w:p w14:paraId="7762D7F0" w14:textId="2602FACA" w:rsidR="00B25B22" w:rsidRDefault="00B25B22" w:rsidP="0028271F">
      <w:pPr>
        <w:jc w:val="both"/>
        <w:rPr>
          <w:rFonts w:ascii="Calibri" w:hAnsi="Calibri" w:cs="Calibri"/>
          <w:color w:val="000000" w:themeColor="text1"/>
          <w:sz w:val="24"/>
          <w:szCs w:val="24"/>
        </w:rPr>
      </w:pPr>
    </w:p>
    <w:p w14:paraId="5B5BE0BC" w14:textId="6EC985D4" w:rsidR="00B25B22" w:rsidRDefault="00B25B22" w:rsidP="0028271F">
      <w:pPr>
        <w:jc w:val="both"/>
        <w:rPr>
          <w:rFonts w:ascii="Calibri" w:hAnsi="Calibri" w:cs="Calibri"/>
          <w:color w:val="000000" w:themeColor="text1"/>
          <w:sz w:val="24"/>
          <w:szCs w:val="24"/>
        </w:rPr>
      </w:pPr>
    </w:p>
    <w:p w14:paraId="442007AF" w14:textId="1BD38D2F" w:rsidR="00B25B22" w:rsidRDefault="00B25B22" w:rsidP="0028271F">
      <w:pPr>
        <w:jc w:val="both"/>
        <w:rPr>
          <w:rFonts w:ascii="Calibri" w:hAnsi="Calibri" w:cs="Calibri"/>
          <w:color w:val="000000" w:themeColor="text1"/>
          <w:sz w:val="24"/>
          <w:szCs w:val="24"/>
        </w:rPr>
      </w:pPr>
    </w:p>
    <w:p w14:paraId="1DDBF7ED" w14:textId="1AC30D40" w:rsidR="00B25B22" w:rsidRDefault="00B25B22" w:rsidP="0028271F">
      <w:pPr>
        <w:jc w:val="both"/>
        <w:rPr>
          <w:rFonts w:ascii="Calibri" w:hAnsi="Calibri" w:cs="Calibri"/>
          <w:color w:val="000000" w:themeColor="text1"/>
          <w:sz w:val="24"/>
          <w:szCs w:val="24"/>
        </w:rPr>
      </w:pPr>
    </w:p>
    <w:p w14:paraId="47E01509" w14:textId="7A93CA5D" w:rsidR="00B25B22" w:rsidRDefault="00B25B22" w:rsidP="0028271F">
      <w:pPr>
        <w:jc w:val="both"/>
        <w:rPr>
          <w:rFonts w:ascii="Calibri" w:hAnsi="Calibri" w:cs="Calibri"/>
          <w:color w:val="000000" w:themeColor="text1"/>
          <w:sz w:val="24"/>
          <w:szCs w:val="24"/>
        </w:rPr>
      </w:pPr>
    </w:p>
    <w:p w14:paraId="12C758A9" w14:textId="04A0FD13" w:rsidR="00B25B22" w:rsidRDefault="00B25B22" w:rsidP="0028271F">
      <w:pPr>
        <w:jc w:val="both"/>
        <w:rPr>
          <w:rFonts w:ascii="Calibri" w:hAnsi="Calibri" w:cs="Calibri"/>
          <w:color w:val="000000" w:themeColor="text1"/>
          <w:sz w:val="24"/>
          <w:szCs w:val="24"/>
        </w:rPr>
      </w:pPr>
    </w:p>
    <w:p w14:paraId="2F1985CA" w14:textId="012E5F98" w:rsidR="00B25B22" w:rsidRDefault="00B25B22" w:rsidP="0028271F">
      <w:pPr>
        <w:jc w:val="both"/>
        <w:rPr>
          <w:rFonts w:ascii="Calibri" w:hAnsi="Calibri" w:cs="Calibri"/>
          <w:color w:val="000000" w:themeColor="text1"/>
          <w:sz w:val="24"/>
          <w:szCs w:val="24"/>
        </w:rPr>
      </w:pPr>
    </w:p>
    <w:p w14:paraId="6B15E916" w14:textId="429BEAE7" w:rsidR="00B25B22" w:rsidRDefault="00B25B22" w:rsidP="0028271F">
      <w:pPr>
        <w:jc w:val="both"/>
        <w:rPr>
          <w:rFonts w:ascii="Calibri" w:hAnsi="Calibri" w:cs="Calibri"/>
          <w:color w:val="000000" w:themeColor="text1"/>
          <w:sz w:val="24"/>
          <w:szCs w:val="24"/>
        </w:rPr>
      </w:pPr>
    </w:p>
    <w:p w14:paraId="728F734F" w14:textId="0447A446" w:rsidR="00B25B22" w:rsidRDefault="00B25B22" w:rsidP="0028271F">
      <w:pPr>
        <w:jc w:val="both"/>
        <w:rPr>
          <w:rFonts w:ascii="Calibri" w:hAnsi="Calibri" w:cs="Calibri"/>
          <w:color w:val="000000" w:themeColor="text1"/>
          <w:sz w:val="24"/>
          <w:szCs w:val="24"/>
        </w:rPr>
      </w:pPr>
    </w:p>
    <w:p w14:paraId="4B75CD99" w14:textId="015D3AF5" w:rsidR="00B25B22" w:rsidRDefault="00B25B22" w:rsidP="0028271F">
      <w:pPr>
        <w:jc w:val="both"/>
        <w:rPr>
          <w:rFonts w:ascii="Calibri" w:hAnsi="Calibri" w:cs="Calibri"/>
          <w:color w:val="000000" w:themeColor="text1"/>
          <w:sz w:val="24"/>
          <w:szCs w:val="24"/>
        </w:rPr>
      </w:pPr>
    </w:p>
    <w:p w14:paraId="70AB6A58" w14:textId="7B1BABA6" w:rsidR="00B25B22" w:rsidRDefault="00B25B22" w:rsidP="0028271F">
      <w:pPr>
        <w:jc w:val="both"/>
        <w:rPr>
          <w:rFonts w:ascii="Calibri" w:hAnsi="Calibri" w:cs="Calibri"/>
          <w:color w:val="000000" w:themeColor="text1"/>
          <w:sz w:val="24"/>
          <w:szCs w:val="24"/>
        </w:rPr>
      </w:pPr>
    </w:p>
    <w:p w14:paraId="042ACF12" w14:textId="77777777" w:rsidR="00B25B22" w:rsidRPr="00754730" w:rsidRDefault="00B25B22" w:rsidP="0028271F">
      <w:pPr>
        <w:jc w:val="both"/>
        <w:rPr>
          <w:rFonts w:ascii="Calibri" w:hAnsi="Calibri" w:cs="Calibri"/>
          <w:color w:val="000000" w:themeColor="text1"/>
          <w:sz w:val="24"/>
          <w:szCs w:val="24"/>
        </w:rPr>
      </w:pPr>
    </w:p>
    <w:sectPr w:rsidR="00B25B22" w:rsidRPr="00754730" w:rsidSect="007B4AF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70E38" w14:textId="77777777" w:rsidR="000B2000" w:rsidRDefault="000B2000" w:rsidP="00D1596E">
      <w:pPr>
        <w:spacing w:after="0" w:line="240" w:lineRule="auto"/>
      </w:pPr>
      <w:r>
        <w:separator/>
      </w:r>
    </w:p>
  </w:endnote>
  <w:endnote w:type="continuationSeparator" w:id="0">
    <w:p w14:paraId="569EDE5D" w14:textId="77777777" w:rsidR="000B2000" w:rsidRDefault="000B2000" w:rsidP="00D15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1FCC9" w14:textId="77777777" w:rsidR="000B2000" w:rsidRDefault="000B2000" w:rsidP="00D1596E">
      <w:pPr>
        <w:spacing w:after="0" w:line="240" w:lineRule="auto"/>
      </w:pPr>
      <w:r>
        <w:separator/>
      </w:r>
    </w:p>
  </w:footnote>
  <w:footnote w:type="continuationSeparator" w:id="0">
    <w:p w14:paraId="7EBD8290" w14:textId="77777777" w:rsidR="000B2000" w:rsidRDefault="000B2000" w:rsidP="00D15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25D90"/>
    <w:multiLevelType w:val="hybridMultilevel"/>
    <w:tmpl w:val="8CA41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44"/>
    <w:rsid w:val="00001A19"/>
    <w:rsid w:val="00010044"/>
    <w:rsid w:val="00023DA4"/>
    <w:rsid w:val="00036D83"/>
    <w:rsid w:val="00056A2E"/>
    <w:rsid w:val="000600D7"/>
    <w:rsid w:val="000679F0"/>
    <w:rsid w:val="0008229B"/>
    <w:rsid w:val="000A7B22"/>
    <w:rsid w:val="000B2000"/>
    <w:rsid w:val="000C17BB"/>
    <w:rsid w:val="000E4AD1"/>
    <w:rsid w:val="0010655D"/>
    <w:rsid w:val="001067B3"/>
    <w:rsid w:val="001249F4"/>
    <w:rsid w:val="0012602E"/>
    <w:rsid w:val="00126639"/>
    <w:rsid w:val="001429F7"/>
    <w:rsid w:val="001530D9"/>
    <w:rsid w:val="00160F44"/>
    <w:rsid w:val="001C1F24"/>
    <w:rsid w:val="002000AA"/>
    <w:rsid w:val="00200C63"/>
    <w:rsid w:val="00256AD2"/>
    <w:rsid w:val="00267A42"/>
    <w:rsid w:val="0027521E"/>
    <w:rsid w:val="00282385"/>
    <w:rsid w:val="0028271F"/>
    <w:rsid w:val="0028694F"/>
    <w:rsid w:val="002E3452"/>
    <w:rsid w:val="002F1CC3"/>
    <w:rsid w:val="0033226F"/>
    <w:rsid w:val="00344A4B"/>
    <w:rsid w:val="003631B6"/>
    <w:rsid w:val="003A5ACA"/>
    <w:rsid w:val="003E1896"/>
    <w:rsid w:val="003F1AA0"/>
    <w:rsid w:val="003F5E7B"/>
    <w:rsid w:val="0040641B"/>
    <w:rsid w:val="00406FE2"/>
    <w:rsid w:val="00412FA6"/>
    <w:rsid w:val="00422FE1"/>
    <w:rsid w:val="004377B0"/>
    <w:rsid w:val="004840EA"/>
    <w:rsid w:val="00492E34"/>
    <w:rsid w:val="004F547E"/>
    <w:rsid w:val="004F7EE5"/>
    <w:rsid w:val="00504C62"/>
    <w:rsid w:val="00551B98"/>
    <w:rsid w:val="00560B12"/>
    <w:rsid w:val="00564CFC"/>
    <w:rsid w:val="00567B66"/>
    <w:rsid w:val="00573C0B"/>
    <w:rsid w:val="005D734A"/>
    <w:rsid w:val="005E71D6"/>
    <w:rsid w:val="005F0548"/>
    <w:rsid w:val="006133C2"/>
    <w:rsid w:val="00613C6F"/>
    <w:rsid w:val="006348EF"/>
    <w:rsid w:val="006351AB"/>
    <w:rsid w:val="006410DD"/>
    <w:rsid w:val="00651C1B"/>
    <w:rsid w:val="0065296C"/>
    <w:rsid w:val="00657F0E"/>
    <w:rsid w:val="00695792"/>
    <w:rsid w:val="00747C4A"/>
    <w:rsid w:val="00752E11"/>
    <w:rsid w:val="00754730"/>
    <w:rsid w:val="00764E3A"/>
    <w:rsid w:val="007855C5"/>
    <w:rsid w:val="007915F0"/>
    <w:rsid w:val="007B1DF5"/>
    <w:rsid w:val="007B4AFB"/>
    <w:rsid w:val="007C6F44"/>
    <w:rsid w:val="008403E0"/>
    <w:rsid w:val="008A58DD"/>
    <w:rsid w:val="008F38B7"/>
    <w:rsid w:val="00903E56"/>
    <w:rsid w:val="009261EA"/>
    <w:rsid w:val="00931921"/>
    <w:rsid w:val="00931924"/>
    <w:rsid w:val="00960BA3"/>
    <w:rsid w:val="00976C79"/>
    <w:rsid w:val="009B0695"/>
    <w:rsid w:val="009B0780"/>
    <w:rsid w:val="009B5D08"/>
    <w:rsid w:val="009C15E9"/>
    <w:rsid w:val="009D463B"/>
    <w:rsid w:val="00A0351E"/>
    <w:rsid w:val="00A06A33"/>
    <w:rsid w:val="00A311D0"/>
    <w:rsid w:val="00A47548"/>
    <w:rsid w:val="00A54B48"/>
    <w:rsid w:val="00B00695"/>
    <w:rsid w:val="00B121F1"/>
    <w:rsid w:val="00B2058F"/>
    <w:rsid w:val="00B25B22"/>
    <w:rsid w:val="00B27B74"/>
    <w:rsid w:val="00B60604"/>
    <w:rsid w:val="00B70B71"/>
    <w:rsid w:val="00B70F59"/>
    <w:rsid w:val="00BD2F23"/>
    <w:rsid w:val="00BE309D"/>
    <w:rsid w:val="00BE6907"/>
    <w:rsid w:val="00C0387F"/>
    <w:rsid w:val="00C2043C"/>
    <w:rsid w:val="00C271F4"/>
    <w:rsid w:val="00C41FAA"/>
    <w:rsid w:val="00C46AEF"/>
    <w:rsid w:val="00C63CD9"/>
    <w:rsid w:val="00C676C2"/>
    <w:rsid w:val="00C81EEE"/>
    <w:rsid w:val="00CB6A41"/>
    <w:rsid w:val="00CD4DA0"/>
    <w:rsid w:val="00CD5943"/>
    <w:rsid w:val="00CF1506"/>
    <w:rsid w:val="00D05EC7"/>
    <w:rsid w:val="00D14E10"/>
    <w:rsid w:val="00D1596E"/>
    <w:rsid w:val="00D509D0"/>
    <w:rsid w:val="00D5259D"/>
    <w:rsid w:val="00D57726"/>
    <w:rsid w:val="00D73D12"/>
    <w:rsid w:val="00D91847"/>
    <w:rsid w:val="00DD7CD5"/>
    <w:rsid w:val="00DE6771"/>
    <w:rsid w:val="00DF64E9"/>
    <w:rsid w:val="00E07279"/>
    <w:rsid w:val="00E107E5"/>
    <w:rsid w:val="00E23E4B"/>
    <w:rsid w:val="00E35DC8"/>
    <w:rsid w:val="00E403BB"/>
    <w:rsid w:val="00E74983"/>
    <w:rsid w:val="00EB2491"/>
    <w:rsid w:val="00ED1C95"/>
    <w:rsid w:val="00ED23C9"/>
    <w:rsid w:val="00EE27F0"/>
    <w:rsid w:val="00EF572E"/>
    <w:rsid w:val="00EF5767"/>
    <w:rsid w:val="00EF5D55"/>
    <w:rsid w:val="00EF6836"/>
    <w:rsid w:val="00F350CE"/>
    <w:rsid w:val="00F53E2C"/>
    <w:rsid w:val="00F61B8F"/>
    <w:rsid w:val="00F80C8D"/>
    <w:rsid w:val="00FB2623"/>
    <w:rsid w:val="00FC5FE2"/>
    <w:rsid w:val="00FE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A0D6"/>
  <w15:chartTrackingRefBased/>
  <w15:docId w15:val="{BCC6436E-E259-4772-9068-167ADA71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7B66"/>
    <w:rPr>
      <w:color w:val="0000FF"/>
      <w:u w:val="single"/>
    </w:rPr>
  </w:style>
  <w:style w:type="paragraph" w:styleId="ListParagraph">
    <w:name w:val="List Paragraph"/>
    <w:basedOn w:val="Normal"/>
    <w:uiPriority w:val="34"/>
    <w:qFormat/>
    <w:rsid w:val="0010655D"/>
    <w:pPr>
      <w:ind w:left="720"/>
      <w:contextualSpacing/>
    </w:pPr>
  </w:style>
  <w:style w:type="table" w:styleId="TableGrid">
    <w:name w:val="Table Grid"/>
    <w:basedOn w:val="TableNormal"/>
    <w:uiPriority w:val="39"/>
    <w:rsid w:val="00931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5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96E"/>
  </w:style>
  <w:style w:type="paragraph" w:styleId="Footer">
    <w:name w:val="footer"/>
    <w:basedOn w:val="Normal"/>
    <w:link w:val="FooterChar"/>
    <w:uiPriority w:val="99"/>
    <w:unhideWhenUsed/>
    <w:rsid w:val="00D15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480">
      <w:bodyDiv w:val="1"/>
      <w:marLeft w:val="0"/>
      <w:marRight w:val="0"/>
      <w:marTop w:val="0"/>
      <w:marBottom w:val="0"/>
      <w:divBdr>
        <w:top w:val="none" w:sz="0" w:space="0" w:color="auto"/>
        <w:left w:val="none" w:sz="0" w:space="0" w:color="auto"/>
        <w:bottom w:val="none" w:sz="0" w:space="0" w:color="auto"/>
        <w:right w:val="none" w:sz="0" w:space="0" w:color="auto"/>
      </w:divBdr>
    </w:div>
    <w:div w:id="551505457">
      <w:bodyDiv w:val="1"/>
      <w:marLeft w:val="0"/>
      <w:marRight w:val="0"/>
      <w:marTop w:val="0"/>
      <w:marBottom w:val="0"/>
      <w:divBdr>
        <w:top w:val="none" w:sz="0" w:space="0" w:color="auto"/>
        <w:left w:val="none" w:sz="0" w:space="0" w:color="auto"/>
        <w:bottom w:val="none" w:sz="0" w:space="0" w:color="auto"/>
        <w:right w:val="none" w:sz="0" w:space="0" w:color="auto"/>
      </w:divBdr>
    </w:div>
    <w:div w:id="837768176">
      <w:bodyDiv w:val="1"/>
      <w:marLeft w:val="0"/>
      <w:marRight w:val="0"/>
      <w:marTop w:val="0"/>
      <w:marBottom w:val="0"/>
      <w:divBdr>
        <w:top w:val="none" w:sz="0" w:space="0" w:color="auto"/>
        <w:left w:val="none" w:sz="0" w:space="0" w:color="auto"/>
        <w:bottom w:val="none" w:sz="0" w:space="0" w:color="auto"/>
        <w:right w:val="none" w:sz="0" w:space="0" w:color="auto"/>
      </w:divBdr>
    </w:div>
    <w:div w:id="963123683">
      <w:bodyDiv w:val="1"/>
      <w:marLeft w:val="0"/>
      <w:marRight w:val="0"/>
      <w:marTop w:val="0"/>
      <w:marBottom w:val="0"/>
      <w:divBdr>
        <w:top w:val="none" w:sz="0" w:space="0" w:color="auto"/>
        <w:left w:val="none" w:sz="0" w:space="0" w:color="auto"/>
        <w:bottom w:val="none" w:sz="0" w:space="0" w:color="auto"/>
        <w:right w:val="none" w:sz="0" w:space="0" w:color="auto"/>
      </w:divBdr>
    </w:div>
    <w:div w:id="1082022992">
      <w:bodyDiv w:val="1"/>
      <w:marLeft w:val="0"/>
      <w:marRight w:val="0"/>
      <w:marTop w:val="0"/>
      <w:marBottom w:val="0"/>
      <w:divBdr>
        <w:top w:val="none" w:sz="0" w:space="0" w:color="auto"/>
        <w:left w:val="none" w:sz="0" w:space="0" w:color="auto"/>
        <w:bottom w:val="none" w:sz="0" w:space="0" w:color="auto"/>
        <w:right w:val="none" w:sz="0" w:space="0" w:color="auto"/>
      </w:divBdr>
    </w:div>
    <w:div w:id="1294824903">
      <w:bodyDiv w:val="1"/>
      <w:marLeft w:val="0"/>
      <w:marRight w:val="0"/>
      <w:marTop w:val="0"/>
      <w:marBottom w:val="0"/>
      <w:divBdr>
        <w:top w:val="none" w:sz="0" w:space="0" w:color="auto"/>
        <w:left w:val="none" w:sz="0" w:space="0" w:color="auto"/>
        <w:bottom w:val="none" w:sz="0" w:space="0" w:color="auto"/>
        <w:right w:val="none" w:sz="0" w:space="0" w:color="auto"/>
      </w:divBdr>
    </w:div>
    <w:div w:id="1439107839">
      <w:bodyDiv w:val="1"/>
      <w:marLeft w:val="0"/>
      <w:marRight w:val="0"/>
      <w:marTop w:val="0"/>
      <w:marBottom w:val="0"/>
      <w:divBdr>
        <w:top w:val="none" w:sz="0" w:space="0" w:color="auto"/>
        <w:left w:val="none" w:sz="0" w:space="0" w:color="auto"/>
        <w:bottom w:val="none" w:sz="0" w:space="0" w:color="auto"/>
        <w:right w:val="none" w:sz="0" w:space="0" w:color="auto"/>
      </w:divBdr>
      <w:divsChild>
        <w:div w:id="842744614">
          <w:marLeft w:val="0"/>
          <w:marRight w:val="0"/>
          <w:marTop w:val="0"/>
          <w:marBottom w:val="0"/>
          <w:divBdr>
            <w:top w:val="none" w:sz="0" w:space="0" w:color="auto"/>
            <w:left w:val="none" w:sz="0" w:space="0" w:color="auto"/>
            <w:bottom w:val="none" w:sz="0" w:space="0" w:color="auto"/>
            <w:right w:val="none" w:sz="0" w:space="0" w:color="auto"/>
          </w:divBdr>
        </w:div>
        <w:div w:id="700671679">
          <w:marLeft w:val="0"/>
          <w:marRight w:val="0"/>
          <w:marTop w:val="0"/>
          <w:marBottom w:val="0"/>
          <w:divBdr>
            <w:top w:val="none" w:sz="0" w:space="0" w:color="auto"/>
            <w:left w:val="none" w:sz="0" w:space="0" w:color="auto"/>
            <w:bottom w:val="none" w:sz="0" w:space="0" w:color="auto"/>
            <w:right w:val="none" w:sz="0" w:space="0" w:color="auto"/>
          </w:divBdr>
        </w:div>
        <w:div w:id="1356734615">
          <w:marLeft w:val="0"/>
          <w:marRight w:val="0"/>
          <w:marTop w:val="0"/>
          <w:marBottom w:val="0"/>
          <w:divBdr>
            <w:top w:val="none" w:sz="0" w:space="0" w:color="auto"/>
            <w:left w:val="none" w:sz="0" w:space="0" w:color="auto"/>
            <w:bottom w:val="none" w:sz="0" w:space="0" w:color="auto"/>
            <w:right w:val="none" w:sz="0" w:space="0" w:color="auto"/>
          </w:divBdr>
        </w:div>
      </w:divsChild>
    </w:div>
    <w:div w:id="1577206635">
      <w:bodyDiv w:val="1"/>
      <w:marLeft w:val="0"/>
      <w:marRight w:val="0"/>
      <w:marTop w:val="0"/>
      <w:marBottom w:val="0"/>
      <w:divBdr>
        <w:top w:val="none" w:sz="0" w:space="0" w:color="auto"/>
        <w:left w:val="none" w:sz="0" w:space="0" w:color="auto"/>
        <w:bottom w:val="none" w:sz="0" w:space="0" w:color="auto"/>
        <w:right w:val="none" w:sz="0" w:space="0" w:color="auto"/>
      </w:divBdr>
    </w:div>
    <w:div w:id="1741101702">
      <w:bodyDiv w:val="1"/>
      <w:marLeft w:val="0"/>
      <w:marRight w:val="0"/>
      <w:marTop w:val="0"/>
      <w:marBottom w:val="0"/>
      <w:divBdr>
        <w:top w:val="none" w:sz="0" w:space="0" w:color="auto"/>
        <w:left w:val="none" w:sz="0" w:space="0" w:color="auto"/>
        <w:bottom w:val="none" w:sz="0" w:space="0" w:color="auto"/>
        <w:right w:val="none" w:sz="0" w:space="0" w:color="auto"/>
      </w:divBdr>
      <w:divsChild>
        <w:div w:id="735516670">
          <w:marLeft w:val="0"/>
          <w:marRight w:val="0"/>
          <w:marTop w:val="0"/>
          <w:marBottom w:val="0"/>
          <w:divBdr>
            <w:top w:val="none" w:sz="0" w:space="0" w:color="auto"/>
            <w:left w:val="none" w:sz="0" w:space="0" w:color="auto"/>
            <w:bottom w:val="none" w:sz="0" w:space="0" w:color="auto"/>
            <w:right w:val="none" w:sz="0" w:space="0" w:color="auto"/>
          </w:divBdr>
        </w:div>
        <w:div w:id="1975981154">
          <w:marLeft w:val="0"/>
          <w:marRight w:val="0"/>
          <w:marTop w:val="0"/>
          <w:marBottom w:val="0"/>
          <w:divBdr>
            <w:top w:val="none" w:sz="0" w:space="0" w:color="auto"/>
            <w:left w:val="none" w:sz="0" w:space="0" w:color="auto"/>
            <w:bottom w:val="none" w:sz="0" w:space="0" w:color="auto"/>
            <w:right w:val="none" w:sz="0" w:space="0" w:color="auto"/>
          </w:divBdr>
        </w:div>
        <w:div w:id="224992194">
          <w:marLeft w:val="0"/>
          <w:marRight w:val="0"/>
          <w:marTop w:val="0"/>
          <w:marBottom w:val="0"/>
          <w:divBdr>
            <w:top w:val="none" w:sz="0" w:space="0" w:color="auto"/>
            <w:left w:val="none" w:sz="0" w:space="0" w:color="auto"/>
            <w:bottom w:val="none" w:sz="0" w:space="0" w:color="auto"/>
            <w:right w:val="none" w:sz="0" w:space="0" w:color="auto"/>
          </w:divBdr>
        </w:div>
      </w:divsChild>
    </w:div>
    <w:div w:id="206663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fontTable" Target="fontTable.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chart" Target="charts/chart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image" Target="media/image2.png"/><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ratio</a:t>
            </a:r>
            <a:r>
              <a:rPr lang="en-US" baseline="0"/>
              <a:t> on Smart Contracts 2.0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Hedera HBAr</c:v>
                </c:pt>
              </c:strCache>
            </c:strRef>
          </c:tx>
          <c:spPr>
            <a:ln w="28575" cap="rnd">
              <a:solidFill>
                <a:schemeClr val="accent1"/>
              </a:solidFill>
              <a:round/>
            </a:ln>
            <a:effectLst/>
          </c:spPr>
          <c:marker>
            <c:symbol val="none"/>
          </c:marker>
          <c:cat>
            <c:numRef>
              <c:f>Sheet1!$A$2:$A$5</c:f>
              <c:numCache>
                <c:formatCode>General</c:formatCode>
                <c:ptCount val="4"/>
                <c:pt idx="0">
                  <c:v>2015</c:v>
                </c:pt>
                <c:pt idx="1">
                  <c:v>2017</c:v>
                </c:pt>
                <c:pt idx="2">
                  <c:v>2018</c:v>
                </c:pt>
                <c:pt idx="3">
                  <c:v>2022</c:v>
                </c:pt>
              </c:numCache>
            </c:numRef>
          </c:cat>
          <c:val>
            <c:numRef>
              <c:f>Sheet1!$B$2:$B$5</c:f>
              <c:numCache>
                <c:formatCode>General</c:formatCode>
                <c:ptCount val="4"/>
                <c:pt idx="0">
                  <c:v>4.3</c:v>
                </c:pt>
                <c:pt idx="1">
                  <c:v>2.5</c:v>
                </c:pt>
                <c:pt idx="2">
                  <c:v>3.5</c:v>
                </c:pt>
                <c:pt idx="3">
                  <c:v>7</c:v>
                </c:pt>
              </c:numCache>
            </c:numRef>
          </c:val>
          <c:smooth val="0"/>
          <c:extLst>
            <c:ext xmlns:c16="http://schemas.microsoft.com/office/drawing/2014/chart" uri="{C3380CC4-5D6E-409C-BE32-E72D297353CC}">
              <c16:uniqueId val="{00000000-41C0-4BBC-9F2A-4F0F97691819}"/>
            </c:ext>
          </c:extLst>
        </c:ser>
        <c:ser>
          <c:idx val="1"/>
          <c:order val="1"/>
          <c:tx>
            <c:strRef>
              <c:f>Sheet1!$C$1</c:f>
              <c:strCache>
                <c:ptCount val="1"/>
                <c:pt idx="0">
                  <c:v>Cudos Miner </c:v>
                </c:pt>
              </c:strCache>
            </c:strRef>
          </c:tx>
          <c:spPr>
            <a:ln w="28575" cap="rnd">
              <a:solidFill>
                <a:schemeClr val="accent2"/>
              </a:solidFill>
              <a:round/>
            </a:ln>
            <a:effectLst/>
          </c:spPr>
          <c:marker>
            <c:symbol val="none"/>
          </c:marker>
          <c:cat>
            <c:numRef>
              <c:f>Sheet1!$A$2:$A$5</c:f>
              <c:numCache>
                <c:formatCode>General</c:formatCode>
                <c:ptCount val="4"/>
                <c:pt idx="0">
                  <c:v>2015</c:v>
                </c:pt>
                <c:pt idx="1">
                  <c:v>2017</c:v>
                </c:pt>
                <c:pt idx="2">
                  <c:v>2018</c:v>
                </c:pt>
                <c:pt idx="3">
                  <c:v>2022</c:v>
                </c:pt>
              </c:numCache>
            </c:num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41C0-4BBC-9F2A-4F0F97691819}"/>
            </c:ext>
          </c:extLst>
        </c:ser>
        <c:ser>
          <c:idx val="2"/>
          <c:order val="2"/>
          <c:tx>
            <c:strRef>
              <c:f>Sheet1!$D$1</c:f>
              <c:strCache>
                <c:ptCount val="1"/>
                <c:pt idx="0">
                  <c:v>BRD</c:v>
                </c:pt>
              </c:strCache>
            </c:strRef>
          </c:tx>
          <c:spPr>
            <a:ln w="28575" cap="rnd">
              <a:solidFill>
                <a:schemeClr val="accent3"/>
              </a:solidFill>
              <a:round/>
            </a:ln>
            <a:effectLst/>
          </c:spPr>
          <c:marker>
            <c:symbol val="none"/>
          </c:marker>
          <c:cat>
            <c:numRef>
              <c:f>Sheet1!$A$2:$A$5</c:f>
              <c:numCache>
                <c:formatCode>General</c:formatCode>
                <c:ptCount val="4"/>
                <c:pt idx="0">
                  <c:v>2015</c:v>
                </c:pt>
                <c:pt idx="1">
                  <c:v>2017</c:v>
                </c:pt>
                <c:pt idx="2">
                  <c:v>2018</c:v>
                </c:pt>
                <c:pt idx="3">
                  <c:v>2022</c:v>
                </c:pt>
              </c:numCache>
            </c:num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41C0-4BBC-9F2A-4F0F97691819}"/>
            </c:ext>
          </c:extLst>
        </c:ser>
        <c:dLbls>
          <c:showLegendKey val="0"/>
          <c:showVal val="0"/>
          <c:showCatName val="0"/>
          <c:showSerName val="0"/>
          <c:showPercent val="0"/>
          <c:showBubbleSize val="0"/>
        </c:dLbls>
        <c:smooth val="0"/>
        <c:axId val="571048096"/>
        <c:axId val="571050392"/>
      </c:lineChart>
      <c:catAx>
        <c:axId val="571048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050392"/>
        <c:crosses val="autoZero"/>
        <c:auto val="1"/>
        <c:lblAlgn val="ctr"/>
        <c:lblOffset val="100"/>
        <c:noMultiLvlLbl val="0"/>
      </c:catAx>
      <c:valAx>
        <c:axId val="571050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048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319C5A-51C7-4212-84EB-D4EB330D1AC0}" type="doc">
      <dgm:prSet loTypeId="urn:microsoft.com/office/officeart/2005/8/layout/equation2" loCatId="process" qsTypeId="urn:microsoft.com/office/officeart/2005/8/quickstyle/simple1" qsCatId="simple" csTypeId="urn:microsoft.com/office/officeart/2005/8/colors/accent1_2" csCatId="accent1" phldr="1"/>
      <dgm:spPr/>
    </dgm:pt>
    <dgm:pt modelId="{606145A9-1708-4CD5-8364-5D3561E7ED77}">
      <dgm:prSet phldrT="[Text]"/>
      <dgm:spPr/>
      <dgm:t>
        <a:bodyPr/>
        <a:lstStyle/>
        <a:p>
          <a:r>
            <a:rPr lang="en-US"/>
            <a:t>Mirror-net</a:t>
          </a:r>
        </a:p>
      </dgm:t>
    </dgm:pt>
    <dgm:pt modelId="{88A50403-697C-4CAE-A1AC-4E3C5C85B856}" type="parTrans" cxnId="{B6064BE8-6694-41C6-8A69-1A7DDD56DFEB}">
      <dgm:prSet/>
      <dgm:spPr/>
      <dgm:t>
        <a:bodyPr/>
        <a:lstStyle/>
        <a:p>
          <a:endParaRPr lang="en-US"/>
        </a:p>
      </dgm:t>
    </dgm:pt>
    <dgm:pt modelId="{69AB08BD-AD09-4F8F-8CB7-556DEC310ED8}" type="sibTrans" cxnId="{B6064BE8-6694-41C6-8A69-1A7DDD56DFEB}">
      <dgm:prSet/>
      <dgm:spPr/>
      <dgm:t>
        <a:bodyPr/>
        <a:lstStyle/>
        <a:p>
          <a:endParaRPr lang="en-US"/>
        </a:p>
      </dgm:t>
    </dgm:pt>
    <dgm:pt modelId="{99FCC436-AE73-4DD4-A42F-8109809B1828}">
      <dgm:prSet phldrT="[Text]"/>
      <dgm:spPr/>
      <dgm:t>
        <a:bodyPr/>
        <a:lstStyle/>
        <a:p>
          <a:r>
            <a:rPr lang="en-US"/>
            <a:t>Test-net</a:t>
          </a:r>
        </a:p>
      </dgm:t>
    </dgm:pt>
    <dgm:pt modelId="{6EB3540B-2B1D-46BD-A2CF-D88126C6782A}" type="parTrans" cxnId="{6E12B7B7-D0B6-49C6-A890-634546295659}">
      <dgm:prSet/>
      <dgm:spPr/>
      <dgm:t>
        <a:bodyPr/>
        <a:lstStyle/>
        <a:p>
          <a:endParaRPr lang="en-US"/>
        </a:p>
      </dgm:t>
    </dgm:pt>
    <dgm:pt modelId="{F2228D3F-B5BD-4A1D-870B-515CDE221B2D}" type="sibTrans" cxnId="{6E12B7B7-D0B6-49C6-A890-634546295659}">
      <dgm:prSet/>
      <dgm:spPr/>
      <dgm:t>
        <a:bodyPr/>
        <a:lstStyle/>
        <a:p>
          <a:endParaRPr lang="en-US"/>
        </a:p>
      </dgm:t>
    </dgm:pt>
    <dgm:pt modelId="{9F07E42D-00B8-47C2-A683-A0C9D42F0BCE}">
      <dgm:prSet phldrT="[Text]"/>
      <dgm:spPr/>
      <dgm:t>
        <a:bodyPr/>
        <a:lstStyle/>
        <a:p>
          <a:r>
            <a:rPr lang="en-US"/>
            <a:t>Main-net</a:t>
          </a:r>
        </a:p>
      </dgm:t>
    </dgm:pt>
    <dgm:pt modelId="{622E7136-BA62-4556-A4E5-B56EEA7909E8}" type="parTrans" cxnId="{7C6B01C6-D1F1-42B6-9E9F-A98D5EC2D8D3}">
      <dgm:prSet/>
      <dgm:spPr/>
      <dgm:t>
        <a:bodyPr/>
        <a:lstStyle/>
        <a:p>
          <a:endParaRPr lang="en-US"/>
        </a:p>
      </dgm:t>
    </dgm:pt>
    <dgm:pt modelId="{EED8FD6B-8327-4B82-9541-793B67970843}" type="sibTrans" cxnId="{7C6B01C6-D1F1-42B6-9E9F-A98D5EC2D8D3}">
      <dgm:prSet/>
      <dgm:spPr/>
      <dgm:t>
        <a:bodyPr/>
        <a:lstStyle/>
        <a:p>
          <a:endParaRPr lang="en-US"/>
        </a:p>
      </dgm:t>
    </dgm:pt>
    <dgm:pt modelId="{2234ECAD-DAD8-4A5D-94D8-DF0CC82FF147}" type="pres">
      <dgm:prSet presAssocID="{19319C5A-51C7-4212-84EB-D4EB330D1AC0}" presName="Name0" presStyleCnt="0">
        <dgm:presLayoutVars>
          <dgm:dir/>
          <dgm:resizeHandles val="exact"/>
        </dgm:presLayoutVars>
      </dgm:prSet>
      <dgm:spPr/>
    </dgm:pt>
    <dgm:pt modelId="{A2FD1824-43F0-4F91-98EB-F22441D978AD}" type="pres">
      <dgm:prSet presAssocID="{19319C5A-51C7-4212-84EB-D4EB330D1AC0}" presName="vNodes" presStyleCnt="0"/>
      <dgm:spPr/>
    </dgm:pt>
    <dgm:pt modelId="{63F3108F-74C4-4F1C-A98B-8747A4CAAE0D}" type="pres">
      <dgm:prSet presAssocID="{606145A9-1708-4CD5-8364-5D3561E7ED77}" presName="node" presStyleLbl="node1" presStyleIdx="0" presStyleCnt="3" custScaleX="306331">
        <dgm:presLayoutVars>
          <dgm:bulletEnabled val="1"/>
        </dgm:presLayoutVars>
      </dgm:prSet>
      <dgm:spPr/>
    </dgm:pt>
    <dgm:pt modelId="{8C672940-56DB-4227-BC7A-17174373FE50}" type="pres">
      <dgm:prSet presAssocID="{69AB08BD-AD09-4F8F-8CB7-556DEC310ED8}" presName="spacerT" presStyleCnt="0"/>
      <dgm:spPr/>
    </dgm:pt>
    <dgm:pt modelId="{426253AC-9A6A-47F0-B2DD-DAF73A482939}" type="pres">
      <dgm:prSet presAssocID="{69AB08BD-AD09-4F8F-8CB7-556DEC310ED8}" presName="sibTrans" presStyleLbl="sibTrans2D1" presStyleIdx="0" presStyleCnt="2"/>
      <dgm:spPr/>
    </dgm:pt>
    <dgm:pt modelId="{D7BDB0A3-E212-446F-92F1-86BE2D082D5F}" type="pres">
      <dgm:prSet presAssocID="{69AB08BD-AD09-4F8F-8CB7-556DEC310ED8}" presName="spacerB" presStyleCnt="0"/>
      <dgm:spPr/>
    </dgm:pt>
    <dgm:pt modelId="{E97C3EEE-5C0F-4CEF-8892-629FCFD2BC87}" type="pres">
      <dgm:prSet presAssocID="{99FCC436-AE73-4DD4-A42F-8109809B1828}" presName="node" presStyleLbl="node1" presStyleIdx="1" presStyleCnt="3" custScaleX="291095">
        <dgm:presLayoutVars>
          <dgm:bulletEnabled val="1"/>
        </dgm:presLayoutVars>
      </dgm:prSet>
      <dgm:spPr/>
    </dgm:pt>
    <dgm:pt modelId="{1D5A864F-7D53-45CB-9F27-518367408AF1}" type="pres">
      <dgm:prSet presAssocID="{19319C5A-51C7-4212-84EB-D4EB330D1AC0}" presName="sibTransLast" presStyleLbl="sibTrans2D1" presStyleIdx="1" presStyleCnt="2"/>
      <dgm:spPr/>
    </dgm:pt>
    <dgm:pt modelId="{89293FAF-96F1-4102-BBFE-39F0B7A9F444}" type="pres">
      <dgm:prSet presAssocID="{19319C5A-51C7-4212-84EB-D4EB330D1AC0}" presName="connectorText" presStyleLbl="sibTrans2D1" presStyleIdx="1" presStyleCnt="2"/>
      <dgm:spPr/>
    </dgm:pt>
    <dgm:pt modelId="{193C14A6-8D09-46A9-B09C-EED5A3FCE0A8}" type="pres">
      <dgm:prSet presAssocID="{19319C5A-51C7-4212-84EB-D4EB330D1AC0}" presName="lastNode" presStyleLbl="node1" presStyleIdx="2" presStyleCnt="3" custScaleX="179036" custScaleY="73648">
        <dgm:presLayoutVars>
          <dgm:bulletEnabled val="1"/>
        </dgm:presLayoutVars>
      </dgm:prSet>
      <dgm:spPr/>
    </dgm:pt>
  </dgm:ptLst>
  <dgm:cxnLst>
    <dgm:cxn modelId="{B701A005-DACD-477F-B31C-C72A969FA6F6}" type="presOf" srcId="{69AB08BD-AD09-4F8F-8CB7-556DEC310ED8}" destId="{426253AC-9A6A-47F0-B2DD-DAF73A482939}" srcOrd="0" destOrd="0" presId="urn:microsoft.com/office/officeart/2005/8/layout/equation2"/>
    <dgm:cxn modelId="{A582FA16-E451-4DFA-ACC9-3D413BA391B6}" type="presOf" srcId="{9F07E42D-00B8-47C2-A683-A0C9D42F0BCE}" destId="{193C14A6-8D09-46A9-B09C-EED5A3FCE0A8}" srcOrd="0" destOrd="0" presId="urn:microsoft.com/office/officeart/2005/8/layout/equation2"/>
    <dgm:cxn modelId="{CEB0411B-2BE4-4855-AD5D-F0A8096216A8}" type="presOf" srcId="{F2228D3F-B5BD-4A1D-870B-515CDE221B2D}" destId="{1D5A864F-7D53-45CB-9F27-518367408AF1}" srcOrd="0" destOrd="0" presId="urn:microsoft.com/office/officeart/2005/8/layout/equation2"/>
    <dgm:cxn modelId="{F2FE962A-4F1D-4AC0-B72A-EA95170EF485}" type="presOf" srcId="{606145A9-1708-4CD5-8364-5D3561E7ED77}" destId="{63F3108F-74C4-4F1C-A98B-8747A4CAAE0D}" srcOrd="0" destOrd="0" presId="urn:microsoft.com/office/officeart/2005/8/layout/equation2"/>
    <dgm:cxn modelId="{4BC08B84-AF8B-48BF-A248-3FD900615A79}" type="presOf" srcId="{19319C5A-51C7-4212-84EB-D4EB330D1AC0}" destId="{2234ECAD-DAD8-4A5D-94D8-DF0CC82FF147}" srcOrd="0" destOrd="0" presId="urn:microsoft.com/office/officeart/2005/8/layout/equation2"/>
    <dgm:cxn modelId="{6E12B7B7-D0B6-49C6-A890-634546295659}" srcId="{19319C5A-51C7-4212-84EB-D4EB330D1AC0}" destId="{99FCC436-AE73-4DD4-A42F-8109809B1828}" srcOrd="1" destOrd="0" parTransId="{6EB3540B-2B1D-46BD-A2CF-D88126C6782A}" sibTransId="{F2228D3F-B5BD-4A1D-870B-515CDE221B2D}"/>
    <dgm:cxn modelId="{7C6B01C6-D1F1-42B6-9E9F-A98D5EC2D8D3}" srcId="{19319C5A-51C7-4212-84EB-D4EB330D1AC0}" destId="{9F07E42D-00B8-47C2-A683-A0C9D42F0BCE}" srcOrd="2" destOrd="0" parTransId="{622E7136-BA62-4556-A4E5-B56EEA7909E8}" sibTransId="{EED8FD6B-8327-4B82-9541-793B67970843}"/>
    <dgm:cxn modelId="{5FB0B1D2-FD98-4ECE-8691-79AD251932E1}" type="presOf" srcId="{F2228D3F-B5BD-4A1D-870B-515CDE221B2D}" destId="{89293FAF-96F1-4102-BBFE-39F0B7A9F444}" srcOrd="1" destOrd="0" presId="urn:microsoft.com/office/officeart/2005/8/layout/equation2"/>
    <dgm:cxn modelId="{B6064BE8-6694-41C6-8A69-1A7DDD56DFEB}" srcId="{19319C5A-51C7-4212-84EB-D4EB330D1AC0}" destId="{606145A9-1708-4CD5-8364-5D3561E7ED77}" srcOrd="0" destOrd="0" parTransId="{88A50403-697C-4CAE-A1AC-4E3C5C85B856}" sibTransId="{69AB08BD-AD09-4F8F-8CB7-556DEC310ED8}"/>
    <dgm:cxn modelId="{226B8EF1-9D88-4161-BB03-1800ECD0E018}" type="presOf" srcId="{99FCC436-AE73-4DD4-A42F-8109809B1828}" destId="{E97C3EEE-5C0F-4CEF-8892-629FCFD2BC87}" srcOrd="0" destOrd="0" presId="urn:microsoft.com/office/officeart/2005/8/layout/equation2"/>
    <dgm:cxn modelId="{2A4407FE-40DB-449E-A846-84BCA62087DD}" type="presParOf" srcId="{2234ECAD-DAD8-4A5D-94D8-DF0CC82FF147}" destId="{A2FD1824-43F0-4F91-98EB-F22441D978AD}" srcOrd="0" destOrd="0" presId="urn:microsoft.com/office/officeart/2005/8/layout/equation2"/>
    <dgm:cxn modelId="{6EACC713-5F16-4292-9C18-D365A187AE29}" type="presParOf" srcId="{A2FD1824-43F0-4F91-98EB-F22441D978AD}" destId="{63F3108F-74C4-4F1C-A98B-8747A4CAAE0D}" srcOrd="0" destOrd="0" presId="urn:microsoft.com/office/officeart/2005/8/layout/equation2"/>
    <dgm:cxn modelId="{B33C7C35-E792-4214-8286-E28BC3C06275}" type="presParOf" srcId="{A2FD1824-43F0-4F91-98EB-F22441D978AD}" destId="{8C672940-56DB-4227-BC7A-17174373FE50}" srcOrd="1" destOrd="0" presId="urn:microsoft.com/office/officeart/2005/8/layout/equation2"/>
    <dgm:cxn modelId="{8CF970DC-B0A3-4DEA-B4D7-B0FC4D50FC82}" type="presParOf" srcId="{A2FD1824-43F0-4F91-98EB-F22441D978AD}" destId="{426253AC-9A6A-47F0-B2DD-DAF73A482939}" srcOrd="2" destOrd="0" presId="urn:microsoft.com/office/officeart/2005/8/layout/equation2"/>
    <dgm:cxn modelId="{9F0788F6-FEAD-420A-A650-498F3E50AA7D}" type="presParOf" srcId="{A2FD1824-43F0-4F91-98EB-F22441D978AD}" destId="{D7BDB0A3-E212-446F-92F1-86BE2D082D5F}" srcOrd="3" destOrd="0" presId="urn:microsoft.com/office/officeart/2005/8/layout/equation2"/>
    <dgm:cxn modelId="{A3867CF6-0E3C-4328-979D-4143F20F6204}" type="presParOf" srcId="{A2FD1824-43F0-4F91-98EB-F22441D978AD}" destId="{E97C3EEE-5C0F-4CEF-8892-629FCFD2BC87}" srcOrd="4" destOrd="0" presId="urn:microsoft.com/office/officeart/2005/8/layout/equation2"/>
    <dgm:cxn modelId="{4BC99DE9-8AC5-4E20-B253-34CDC58679CD}" type="presParOf" srcId="{2234ECAD-DAD8-4A5D-94D8-DF0CC82FF147}" destId="{1D5A864F-7D53-45CB-9F27-518367408AF1}" srcOrd="1" destOrd="0" presId="urn:microsoft.com/office/officeart/2005/8/layout/equation2"/>
    <dgm:cxn modelId="{393A2AEC-3508-4F00-97C4-D49233322D36}" type="presParOf" srcId="{1D5A864F-7D53-45CB-9F27-518367408AF1}" destId="{89293FAF-96F1-4102-BBFE-39F0B7A9F444}" srcOrd="0" destOrd="0" presId="urn:microsoft.com/office/officeart/2005/8/layout/equation2"/>
    <dgm:cxn modelId="{3BF6F3FB-AFC0-4C95-B210-99DA3B474EA8}" type="presParOf" srcId="{2234ECAD-DAD8-4A5D-94D8-DF0CC82FF147}" destId="{193C14A6-8D09-46A9-B09C-EED5A3FCE0A8}" srcOrd="2" destOrd="0" presId="urn:microsoft.com/office/officeart/2005/8/layout/equati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64E2827-626E-4EAE-8D52-DCD3B3270866}" type="doc">
      <dgm:prSet loTypeId="urn:microsoft.com/office/officeart/2005/8/layout/bProcess4" loCatId="process" qsTypeId="urn:microsoft.com/office/officeart/2005/8/quickstyle/simple5" qsCatId="simple" csTypeId="urn:microsoft.com/office/officeart/2005/8/colors/accent1_2" csCatId="accent1" phldr="1"/>
      <dgm:spPr/>
      <dgm:t>
        <a:bodyPr/>
        <a:lstStyle/>
        <a:p>
          <a:endParaRPr lang="en-US"/>
        </a:p>
      </dgm:t>
    </dgm:pt>
    <dgm:pt modelId="{9BB4B725-053E-4B7C-8EAC-79489693AB5C}">
      <dgm:prSet phldrT="[Text]"/>
      <dgm:spPr/>
      <dgm:t>
        <a:bodyPr/>
        <a:lstStyle/>
        <a:p>
          <a:r>
            <a:rPr lang="en-US"/>
            <a:t>User</a:t>
          </a:r>
        </a:p>
      </dgm:t>
    </dgm:pt>
    <dgm:pt modelId="{01B10551-DEBA-4D94-BB2B-1807EA25714A}" type="parTrans" cxnId="{063C86E2-805F-4938-81C2-5EBE31B68867}">
      <dgm:prSet/>
      <dgm:spPr/>
      <dgm:t>
        <a:bodyPr/>
        <a:lstStyle/>
        <a:p>
          <a:endParaRPr lang="en-US"/>
        </a:p>
      </dgm:t>
    </dgm:pt>
    <dgm:pt modelId="{97E53789-A349-4A8B-9A04-679CA07F45D6}" type="sibTrans" cxnId="{063C86E2-805F-4938-81C2-5EBE31B68867}">
      <dgm:prSet/>
      <dgm:spPr/>
      <dgm:t>
        <a:bodyPr/>
        <a:lstStyle/>
        <a:p>
          <a:endParaRPr lang="en-US"/>
        </a:p>
      </dgm:t>
    </dgm:pt>
    <dgm:pt modelId="{DBA5FFEB-FC1C-4676-A75F-764A7731DAFB}">
      <dgm:prSet phldrT="[Text]"/>
      <dgm:spPr/>
      <dgm:t>
        <a:bodyPr/>
        <a:lstStyle/>
        <a:p>
          <a:r>
            <a:rPr lang="en-US"/>
            <a:t>Main-net </a:t>
          </a:r>
        </a:p>
      </dgm:t>
    </dgm:pt>
    <dgm:pt modelId="{0037F0CA-E6AA-4D39-8FDE-9F71351712C4}" type="parTrans" cxnId="{A4CC44CD-0170-47B3-9F28-670DA138F233}">
      <dgm:prSet/>
      <dgm:spPr/>
      <dgm:t>
        <a:bodyPr/>
        <a:lstStyle/>
        <a:p>
          <a:endParaRPr lang="en-US"/>
        </a:p>
      </dgm:t>
    </dgm:pt>
    <dgm:pt modelId="{864AAA63-22A6-4BE7-ACA6-AFCB14479BA1}" type="sibTrans" cxnId="{A4CC44CD-0170-47B3-9F28-670DA138F233}">
      <dgm:prSet/>
      <dgm:spPr/>
      <dgm:t>
        <a:bodyPr/>
        <a:lstStyle/>
        <a:p>
          <a:endParaRPr lang="en-US"/>
        </a:p>
      </dgm:t>
    </dgm:pt>
    <dgm:pt modelId="{9C8BF857-B86D-4006-9FAE-A284F9261E3A}">
      <dgm:prSet phldrT="[Text]"/>
      <dgm:spPr/>
      <dgm:t>
        <a:bodyPr/>
        <a:lstStyle/>
        <a:p>
          <a:r>
            <a:rPr lang="en-US"/>
            <a:t>Mirror-net</a:t>
          </a:r>
        </a:p>
      </dgm:t>
    </dgm:pt>
    <dgm:pt modelId="{CBDE3DEB-2517-441F-B42C-D43AF4F9DDF0}" type="parTrans" cxnId="{C11B6C45-F0F9-49EB-B672-4D9438430180}">
      <dgm:prSet/>
      <dgm:spPr/>
      <dgm:t>
        <a:bodyPr/>
        <a:lstStyle/>
        <a:p>
          <a:endParaRPr lang="en-US"/>
        </a:p>
      </dgm:t>
    </dgm:pt>
    <dgm:pt modelId="{00CC870A-CB84-46D2-86AD-966A9DAA2208}" type="sibTrans" cxnId="{C11B6C45-F0F9-49EB-B672-4D9438430180}">
      <dgm:prSet/>
      <dgm:spPr/>
      <dgm:t>
        <a:bodyPr/>
        <a:lstStyle/>
        <a:p>
          <a:endParaRPr lang="en-US"/>
        </a:p>
      </dgm:t>
    </dgm:pt>
    <dgm:pt modelId="{F1B99BC6-3C20-45F4-BABE-1CCEE4EDD326}">
      <dgm:prSet phldrT="[Text]"/>
      <dgm:spPr/>
      <dgm:t>
        <a:bodyPr/>
        <a:lstStyle/>
        <a:p>
          <a:r>
            <a:rPr lang="en-US"/>
            <a:t>Test-net</a:t>
          </a:r>
        </a:p>
      </dgm:t>
    </dgm:pt>
    <dgm:pt modelId="{7C1B8131-6940-4C95-8EBA-33A54159A12C}" type="parTrans" cxnId="{9D30C304-EE78-4671-91DE-C73F9802B5C0}">
      <dgm:prSet/>
      <dgm:spPr/>
      <dgm:t>
        <a:bodyPr/>
        <a:lstStyle/>
        <a:p>
          <a:endParaRPr lang="en-US"/>
        </a:p>
      </dgm:t>
    </dgm:pt>
    <dgm:pt modelId="{DBB64A4F-CCEB-4B69-AABD-10111430DD97}" type="sibTrans" cxnId="{9D30C304-EE78-4671-91DE-C73F9802B5C0}">
      <dgm:prSet/>
      <dgm:spPr/>
      <dgm:t>
        <a:bodyPr/>
        <a:lstStyle/>
        <a:p>
          <a:endParaRPr lang="en-US"/>
        </a:p>
      </dgm:t>
    </dgm:pt>
    <dgm:pt modelId="{800D03B8-E6CB-44B5-A57D-E752E28B2580}">
      <dgm:prSet phldrT="[Text]"/>
      <dgm:spPr/>
      <dgm:t>
        <a:bodyPr/>
        <a:lstStyle/>
        <a:p>
          <a:r>
            <a:rPr lang="en-US"/>
            <a:t>Token Id</a:t>
          </a:r>
        </a:p>
      </dgm:t>
    </dgm:pt>
    <dgm:pt modelId="{D9C1B965-8070-4B47-821D-0F472017428A}" type="parTrans" cxnId="{6C2F5EBF-7D66-45A5-A585-91154F0B5D59}">
      <dgm:prSet/>
      <dgm:spPr/>
      <dgm:t>
        <a:bodyPr/>
        <a:lstStyle/>
        <a:p>
          <a:endParaRPr lang="en-US"/>
        </a:p>
      </dgm:t>
    </dgm:pt>
    <dgm:pt modelId="{65BCE058-25E5-438B-8EDB-49070D8FC7A4}" type="sibTrans" cxnId="{6C2F5EBF-7D66-45A5-A585-91154F0B5D59}">
      <dgm:prSet/>
      <dgm:spPr/>
      <dgm:t>
        <a:bodyPr/>
        <a:lstStyle/>
        <a:p>
          <a:endParaRPr lang="en-US"/>
        </a:p>
      </dgm:t>
    </dgm:pt>
    <dgm:pt modelId="{E2F7422C-1925-4B87-BDAF-3ECEF506DDF9}">
      <dgm:prSet phldrT="[Text]"/>
      <dgm:spPr/>
      <dgm:t>
        <a:bodyPr/>
        <a:lstStyle/>
        <a:p>
          <a:r>
            <a:rPr lang="en-US"/>
            <a:t>Requesting the Receipt</a:t>
          </a:r>
        </a:p>
      </dgm:t>
    </dgm:pt>
    <dgm:pt modelId="{575ACFEF-1E4C-47D6-8E1C-EF4463D682DD}" type="parTrans" cxnId="{A2F87BF0-1C72-42A5-ABDB-F7E1D7722163}">
      <dgm:prSet/>
      <dgm:spPr/>
      <dgm:t>
        <a:bodyPr/>
        <a:lstStyle/>
        <a:p>
          <a:endParaRPr lang="en-US"/>
        </a:p>
      </dgm:t>
    </dgm:pt>
    <dgm:pt modelId="{9C00CC4A-7A72-44B9-9292-9A6E72984133}" type="sibTrans" cxnId="{A2F87BF0-1C72-42A5-ABDB-F7E1D7722163}">
      <dgm:prSet/>
      <dgm:spPr/>
      <dgm:t>
        <a:bodyPr/>
        <a:lstStyle/>
        <a:p>
          <a:endParaRPr lang="en-US"/>
        </a:p>
      </dgm:t>
    </dgm:pt>
    <dgm:pt modelId="{38EC0557-BA78-4625-84C1-33E36CADA6DC}">
      <dgm:prSet phldrT="[Text]"/>
      <dgm:spPr/>
      <dgm:t>
        <a:bodyPr/>
        <a:lstStyle/>
        <a:p>
          <a:r>
            <a:rPr lang="en-US"/>
            <a:t>NFT Class</a:t>
          </a:r>
        </a:p>
      </dgm:t>
    </dgm:pt>
    <dgm:pt modelId="{FE42AEB2-2801-4463-94D4-CCC3300142C0}" type="parTrans" cxnId="{7405F6D3-7E3F-44B0-851F-799F2D6D1841}">
      <dgm:prSet/>
      <dgm:spPr/>
      <dgm:t>
        <a:bodyPr/>
        <a:lstStyle/>
        <a:p>
          <a:endParaRPr lang="en-US"/>
        </a:p>
      </dgm:t>
    </dgm:pt>
    <dgm:pt modelId="{1D1D9058-9BEA-409B-9A8D-AAE2E9A5CF80}" type="sibTrans" cxnId="{7405F6D3-7E3F-44B0-851F-799F2D6D1841}">
      <dgm:prSet/>
      <dgm:spPr/>
      <dgm:t>
        <a:bodyPr/>
        <a:lstStyle/>
        <a:p>
          <a:endParaRPr lang="en-US"/>
        </a:p>
      </dgm:t>
    </dgm:pt>
    <dgm:pt modelId="{1D9A3D75-3087-4AF6-8E3F-475E864A9C8F}" type="pres">
      <dgm:prSet presAssocID="{764E2827-626E-4EAE-8D52-DCD3B3270866}" presName="Name0" presStyleCnt="0">
        <dgm:presLayoutVars>
          <dgm:dir/>
          <dgm:resizeHandles/>
        </dgm:presLayoutVars>
      </dgm:prSet>
      <dgm:spPr/>
    </dgm:pt>
    <dgm:pt modelId="{12173A41-EB73-43C0-87B9-B06267F755A4}" type="pres">
      <dgm:prSet presAssocID="{9BB4B725-053E-4B7C-8EAC-79489693AB5C}" presName="compNode" presStyleCnt="0"/>
      <dgm:spPr/>
    </dgm:pt>
    <dgm:pt modelId="{DB6149F0-7009-481C-8D27-2AA20E5CAD36}" type="pres">
      <dgm:prSet presAssocID="{9BB4B725-053E-4B7C-8EAC-79489693AB5C}" presName="dummyConnPt" presStyleCnt="0"/>
      <dgm:spPr/>
    </dgm:pt>
    <dgm:pt modelId="{D660D38D-D6B2-48BF-B684-50536B88E9A7}" type="pres">
      <dgm:prSet presAssocID="{9BB4B725-053E-4B7C-8EAC-79489693AB5C}" presName="node" presStyleLbl="node1" presStyleIdx="0" presStyleCnt="7">
        <dgm:presLayoutVars>
          <dgm:bulletEnabled val="1"/>
        </dgm:presLayoutVars>
      </dgm:prSet>
      <dgm:spPr/>
    </dgm:pt>
    <dgm:pt modelId="{1BFD0D2D-7A67-4E89-8A7A-3E9F7292290F}" type="pres">
      <dgm:prSet presAssocID="{97E53789-A349-4A8B-9A04-679CA07F45D6}" presName="sibTrans" presStyleLbl="bgSibTrans2D1" presStyleIdx="0" presStyleCnt="6"/>
      <dgm:spPr/>
    </dgm:pt>
    <dgm:pt modelId="{CC96ED47-B98E-4FE4-930C-C93EF0CDE07D}" type="pres">
      <dgm:prSet presAssocID="{DBA5FFEB-FC1C-4676-A75F-764A7731DAFB}" presName="compNode" presStyleCnt="0"/>
      <dgm:spPr/>
    </dgm:pt>
    <dgm:pt modelId="{7F40F9D4-0607-4632-A711-2ECC5ECF33C5}" type="pres">
      <dgm:prSet presAssocID="{DBA5FFEB-FC1C-4676-A75F-764A7731DAFB}" presName="dummyConnPt" presStyleCnt="0"/>
      <dgm:spPr/>
    </dgm:pt>
    <dgm:pt modelId="{41E922D2-B990-43BC-8CFE-8A289F432E6C}" type="pres">
      <dgm:prSet presAssocID="{DBA5FFEB-FC1C-4676-A75F-764A7731DAFB}" presName="node" presStyleLbl="node1" presStyleIdx="1" presStyleCnt="7">
        <dgm:presLayoutVars>
          <dgm:bulletEnabled val="1"/>
        </dgm:presLayoutVars>
      </dgm:prSet>
      <dgm:spPr/>
    </dgm:pt>
    <dgm:pt modelId="{39EEC0D0-0505-45D4-BB13-2DCE81BF69C9}" type="pres">
      <dgm:prSet presAssocID="{864AAA63-22A6-4BE7-ACA6-AFCB14479BA1}" presName="sibTrans" presStyleLbl="bgSibTrans2D1" presStyleIdx="1" presStyleCnt="6"/>
      <dgm:spPr/>
    </dgm:pt>
    <dgm:pt modelId="{3DABFC98-3C49-4191-AD79-69DBFC9E6200}" type="pres">
      <dgm:prSet presAssocID="{9C8BF857-B86D-4006-9FAE-A284F9261E3A}" presName="compNode" presStyleCnt="0"/>
      <dgm:spPr/>
    </dgm:pt>
    <dgm:pt modelId="{B377EF64-E855-4D11-A98B-C426DF6C25C2}" type="pres">
      <dgm:prSet presAssocID="{9C8BF857-B86D-4006-9FAE-A284F9261E3A}" presName="dummyConnPt" presStyleCnt="0"/>
      <dgm:spPr/>
    </dgm:pt>
    <dgm:pt modelId="{21BB7EA6-4958-4048-BBBA-34BBCE16C66B}" type="pres">
      <dgm:prSet presAssocID="{9C8BF857-B86D-4006-9FAE-A284F9261E3A}" presName="node" presStyleLbl="node1" presStyleIdx="2" presStyleCnt="7">
        <dgm:presLayoutVars>
          <dgm:bulletEnabled val="1"/>
        </dgm:presLayoutVars>
      </dgm:prSet>
      <dgm:spPr/>
    </dgm:pt>
    <dgm:pt modelId="{1D4B7ACE-8140-4585-A52C-9F1A6FC4C71E}" type="pres">
      <dgm:prSet presAssocID="{00CC870A-CB84-46D2-86AD-966A9DAA2208}" presName="sibTrans" presStyleLbl="bgSibTrans2D1" presStyleIdx="2" presStyleCnt="6"/>
      <dgm:spPr/>
    </dgm:pt>
    <dgm:pt modelId="{1C7D35FE-E3BD-4F75-AEF1-7BDA6A5A4D72}" type="pres">
      <dgm:prSet presAssocID="{F1B99BC6-3C20-45F4-BABE-1CCEE4EDD326}" presName="compNode" presStyleCnt="0"/>
      <dgm:spPr/>
    </dgm:pt>
    <dgm:pt modelId="{837A6E28-BF0E-4C4D-9C2D-4301D1509413}" type="pres">
      <dgm:prSet presAssocID="{F1B99BC6-3C20-45F4-BABE-1CCEE4EDD326}" presName="dummyConnPt" presStyleCnt="0"/>
      <dgm:spPr/>
    </dgm:pt>
    <dgm:pt modelId="{84936B11-56AD-40A5-A370-9484BE33AF0C}" type="pres">
      <dgm:prSet presAssocID="{F1B99BC6-3C20-45F4-BABE-1CCEE4EDD326}" presName="node" presStyleLbl="node1" presStyleIdx="3" presStyleCnt="7">
        <dgm:presLayoutVars>
          <dgm:bulletEnabled val="1"/>
        </dgm:presLayoutVars>
      </dgm:prSet>
      <dgm:spPr/>
    </dgm:pt>
    <dgm:pt modelId="{3CBE36B7-AC44-4ECC-8C7A-E0630D37FD0B}" type="pres">
      <dgm:prSet presAssocID="{DBB64A4F-CCEB-4B69-AABD-10111430DD97}" presName="sibTrans" presStyleLbl="bgSibTrans2D1" presStyleIdx="3" presStyleCnt="6"/>
      <dgm:spPr/>
    </dgm:pt>
    <dgm:pt modelId="{0A39F396-AF4A-4CDC-ABE6-5E6A522B200F}" type="pres">
      <dgm:prSet presAssocID="{800D03B8-E6CB-44B5-A57D-E752E28B2580}" presName="compNode" presStyleCnt="0"/>
      <dgm:spPr/>
    </dgm:pt>
    <dgm:pt modelId="{9C10ABBD-EA77-4F10-843E-30315CEB63CD}" type="pres">
      <dgm:prSet presAssocID="{800D03B8-E6CB-44B5-A57D-E752E28B2580}" presName="dummyConnPt" presStyleCnt="0"/>
      <dgm:spPr/>
    </dgm:pt>
    <dgm:pt modelId="{D1B66C9A-36AB-46E1-A53D-C259F84AAF5A}" type="pres">
      <dgm:prSet presAssocID="{800D03B8-E6CB-44B5-A57D-E752E28B2580}" presName="node" presStyleLbl="node1" presStyleIdx="4" presStyleCnt="7">
        <dgm:presLayoutVars>
          <dgm:bulletEnabled val="1"/>
        </dgm:presLayoutVars>
      </dgm:prSet>
      <dgm:spPr/>
    </dgm:pt>
    <dgm:pt modelId="{16594409-99E5-4B39-B283-5928E8707F36}" type="pres">
      <dgm:prSet presAssocID="{65BCE058-25E5-438B-8EDB-49070D8FC7A4}" presName="sibTrans" presStyleLbl="bgSibTrans2D1" presStyleIdx="4" presStyleCnt="6"/>
      <dgm:spPr/>
    </dgm:pt>
    <dgm:pt modelId="{05EF3082-B718-44D9-8795-FC1A6121A8FE}" type="pres">
      <dgm:prSet presAssocID="{E2F7422C-1925-4B87-BDAF-3ECEF506DDF9}" presName="compNode" presStyleCnt="0"/>
      <dgm:spPr/>
    </dgm:pt>
    <dgm:pt modelId="{3899F325-76DB-40FF-92F8-0A7F1EB06C55}" type="pres">
      <dgm:prSet presAssocID="{E2F7422C-1925-4B87-BDAF-3ECEF506DDF9}" presName="dummyConnPt" presStyleCnt="0"/>
      <dgm:spPr/>
    </dgm:pt>
    <dgm:pt modelId="{F1D40767-724F-4F17-A513-6EFEE01FAF5F}" type="pres">
      <dgm:prSet presAssocID="{E2F7422C-1925-4B87-BDAF-3ECEF506DDF9}" presName="node" presStyleLbl="node1" presStyleIdx="5" presStyleCnt="7">
        <dgm:presLayoutVars>
          <dgm:bulletEnabled val="1"/>
        </dgm:presLayoutVars>
      </dgm:prSet>
      <dgm:spPr/>
    </dgm:pt>
    <dgm:pt modelId="{23744879-FEE4-4BD4-A012-B06D99F9A18D}" type="pres">
      <dgm:prSet presAssocID="{9C00CC4A-7A72-44B9-9292-9A6E72984133}" presName="sibTrans" presStyleLbl="bgSibTrans2D1" presStyleIdx="5" presStyleCnt="6"/>
      <dgm:spPr/>
    </dgm:pt>
    <dgm:pt modelId="{C702C682-DEA6-45DB-858F-FBAB5BA6C0ED}" type="pres">
      <dgm:prSet presAssocID="{38EC0557-BA78-4625-84C1-33E36CADA6DC}" presName="compNode" presStyleCnt="0"/>
      <dgm:spPr/>
    </dgm:pt>
    <dgm:pt modelId="{621562E5-E4BF-4E57-91D5-D6B09F66D866}" type="pres">
      <dgm:prSet presAssocID="{38EC0557-BA78-4625-84C1-33E36CADA6DC}" presName="dummyConnPt" presStyleCnt="0"/>
      <dgm:spPr/>
    </dgm:pt>
    <dgm:pt modelId="{C087024D-567A-4E72-A4F4-38F5DF5A7BC2}" type="pres">
      <dgm:prSet presAssocID="{38EC0557-BA78-4625-84C1-33E36CADA6DC}" presName="node" presStyleLbl="node1" presStyleIdx="6" presStyleCnt="7">
        <dgm:presLayoutVars>
          <dgm:bulletEnabled val="1"/>
        </dgm:presLayoutVars>
      </dgm:prSet>
      <dgm:spPr/>
    </dgm:pt>
  </dgm:ptLst>
  <dgm:cxnLst>
    <dgm:cxn modelId="{9D30C304-EE78-4671-91DE-C73F9802B5C0}" srcId="{764E2827-626E-4EAE-8D52-DCD3B3270866}" destId="{F1B99BC6-3C20-45F4-BABE-1CCEE4EDD326}" srcOrd="3" destOrd="0" parTransId="{7C1B8131-6940-4C95-8EBA-33A54159A12C}" sibTransId="{DBB64A4F-CCEB-4B69-AABD-10111430DD97}"/>
    <dgm:cxn modelId="{8135250C-4F70-4873-A0AF-93D257C1D65A}" type="presOf" srcId="{800D03B8-E6CB-44B5-A57D-E752E28B2580}" destId="{D1B66C9A-36AB-46E1-A53D-C259F84AAF5A}" srcOrd="0" destOrd="0" presId="urn:microsoft.com/office/officeart/2005/8/layout/bProcess4"/>
    <dgm:cxn modelId="{0D3D2B36-C6F3-43BD-BCA0-F972C97D9F0E}" type="presOf" srcId="{F1B99BC6-3C20-45F4-BABE-1CCEE4EDD326}" destId="{84936B11-56AD-40A5-A370-9484BE33AF0C}" srcOrd="0" destOrd="0" presId="urn:microsoft.com/office/officeart/2005/8/layout/bProcess4"/>
    <dgm:cxn modelId="{EC8EBE43-079B-44B3-AEC8-27F8F4C30A10}" type="presOf" srcId="{9C00CC4A-7A72-44B9-9292-9A6E72984133}" destId="{23744879-FEE4-4BD4-A012-B06D99F9A18D}" srcOrd="0" destOrd="0" presId="urn:microsoft.com/office/officeart/2005/8/layout/bProcess4"/>
    <dgm:cxn modelId="{C11B6C45-F0F9-49EB-B672-4D9438430180}" srcId="{764E2827-626E-4EAE-8D52-DCD3B3270866}" destId="{9C8BF857-B86D-4006-9FAE-A284F9261E3A}" srcOrd="2" destOrd="0" parTransId="{CBDE3DEB-2517-441F-B42C-D43AF4F9DDF0}" sibTransId="{00CC870A-CB84-46D2-86AD-966A9DAA2208}"/>
    <dgm:cxn modelId="{BE845A4F-45D3-49A3-8836-590995680DA7}" type="presOf" srcId="{38EC0557-BA78-4625-84C1-33E36CADA6DC}" destId="{C087024D-567A-4E72-A4F4-38F5DF5A7BC2}" srcOrd="0" destOrd="0" presId="urn:microsoft.com/office/officeart/2005/8/layout/bProcess4"/>
    <dgm:cxn modelId="{FD47EE6F-E54E-436C-BD4E-1F40ACFC879A}" type="presOf" srcId="{9C8BF857-B86D-4006-9FAE-A284F9261E3A}" destId="{21BB7EA6-4958-4048-BBBA-34BBCE16C66B}" srcOrd="0" destOrd="0" presId="urn:microsoft.com/office/officeart/2005/8/layout/bProcess4"/>
    <dgm:cxn modelId="{CA41E573-7EAB-45FE-9E0F-FA7814327F43}" type="presOf" srcId="{DBB64A4F-CCEB-4B69-AABD-10111430DD97}" destId="{3CBE36B7-AC44-4ECC-8C7A-E0630D37FD0B}" srcOrd="0" destOrd="0" presId="urn:microsoft.com/office/officeart/2005/8/layout/bProcess4"/>
    <dgm:cxn modelId="{1F03AC8F-52E6-4702-A46B-619655007E35}" type="presOf" srcId="{00CC870A-CB84-46D2-86AD-966A9DAA2208}" destId="{1D4B7ACE-8140-4585-A52C-9F1A6FC4C71E}" srcOrd="0" destOrd="0" presId="urn:microsoft.com/office/officeart/2005/8/layout/bProcess4"/>
    <dgm:cxn modelId="{82ABC292-AB77-4D1B-90E5-67BA6D79DBCD}" type="presOf" srcId="{DBA5FFEB-FC1C-4676-A75F-764A7731DAFB}" destId="{41E922D2-B990-43BC-8CFE-8A289F432E6C}" srcOrd="0" destOrd="0" presId="urn:microsoft.com/office/officeart/2005/8/layout/bProcess4"/>
    <dgm:cxn modelId="{03213EA3-809D-46F9-836D-99C21684576D}" type="presOf" srcId="{97E53789-A349-4A8B-9A04-679CA07F45D6}" destId="{1BFD0D2D-7A67-4E89-8A7A-3E9F7292290F}" srcOrd="0" destOrd="0" presId="urn:microsoft.com/office/officeart/2005/8/layout/bProcess4"/>
    <dgm:cxn modelId="{6B8172A3-4134-460D-B4F4-E9B6AC3E7FB1}" type="presOf" srcId="{E2F7422C-1925-4B87-BDAF-3ECEF506DDF9}" destId="{F1D40767-724F-4F17-A513-6EFEE01FAF5F}" srcOrd="0" destOrd="0" presId="urn:microsoft.com/office/officeart/2005/8/layout/bProcess4"/>
    <dgm:cxn modelId="{D9115EB4-0DD2-4A65-B989-5E3CFF4EACEA}" type="presOf" srcId="{65BCE058-25E5-438B-8EDB-49070D8FC7A4}" destId="{16594409-99E5-4B39-B283-5928E8707F36}" srcOrd="0" destOrd="0" presId="urn:microsoft.com/office/officeart/2005/8/layout/bProcess4"/>
    <dgm:cxn modelId="{78E8B3B4-9B96-41AD-BEC0-C774E11837A4}" type="presOf" srcId="{764E2827-626E-4EAE-8D52-DCD3B3270866}" destId="{1D9A3D75-3087-4AF6-8E3F-475E864A9C8F}" srcOrd="0" destOrd="0" presId="urn:microsoft.com/office/officeart/2005/8/layout/bProcess4"/>
    <dgm:cxn modelId="{6C2F5EBF-7D66-45A5-A585-91154F0B5D59}" srcId="{764E2827-626E-4EAE-8D52-DCD3B3270866}" destId="{800D03B8-E6CB-44B5-A57D-E752E28B2580}" srcOrd="4" destOrd="0" parTransId="{D9C1B965-8070-4B47-821D-0F472017428A}" sibTransId="{65BCE058-25E5-438B-8EDB-49070D8FC7A4}"/>
    <dgm:cxn modelId="{A4CC44CD-0170-47B3-9F28-670DA138F233}" srcId="{764E2827-626E-4EAE-8D52-DCD3B3270866}" destId="{DBA5FFEB-FC1C-4676-A75F-764A7731DAFB}" srcOrd="1" destOrd="0" parTransId="{0037F0CA-E6AA-4D39-8FDE-9F71351712C4}" sibTransId="{864AAA63-22A6-4BE7-ACA6-AFCB14479BA1}"/>
    <dgm:cxn modelId="{4F38AAD0-D852-4E25-AB02-E3629DB7710D}" type="presOf" srcId="{864AAA63-22A6-4BE7-ACA6-AFCB14479BA1}" destId="{39EEC0D0-0505-45D4-BB13-2DCE81BF69C9}" srcOrd="0" destOrd="0" presId="urn:microsoft.com/office/officeart/2005/8/layout/bProcess4"/>
    <dgm:cxn modelId="{F99156D2-F822-4CC2-B53B-4DDBD0A8A1C9}" type="presOf" srcId="{9BB4B725-053E-4B7C-8EAC-79489693AB5C}" destId="{D660D38D-D6B2-48BF-B684-50536B88E9A7}" srcOrd="0" destOrd="0" presId="urn:microsoft.com/office/officeart/2005/8/layout/bProcess4"/>
    <dgm:cxn modelId="{7405F6D3-7E3F-44B0-851F-799F2D6D1841}" srcId="{764E2827-626E-4EAE-8D52-DCD3B3270866}" destId="{38EC0557-BA78-4625-84C1-33E36CADA6DC}" srcOrd="6" destOrd="0" parTransId="{FE42AEB2-2801-4463-94D4-CCC3300142C0}" sibTransId="{1D1D9058-9BEA-409B-9A8D-AAE2E9A5CF80}"/>
    <dgm:cxn modelId="{063C86E2-805F-4938-81C2-5EBE31B68867}" srcId="{764E2827-626E-4EAE-8D52-DCD3B3270866}" destId="{9BB4B725-053E-4B7C-8EAC-79489693AB5C}" srcOrd="0" destOrd="0" parTransId="{01B10551-DEBA-4D94-BB2B-1807EA25714A}" sibTransId="{97E53789-A349-4A8B-9A04-679CA07F45D6}"/>
    <dgm:cxn modelId="{A2F87BF0-1C72-42A5-ABDB-F7E1D7722163}" srcId="{764E2827-626E-4EAE-8D52-DCD3B3270866}" destId="{E2F7422C-1925-4B87-BDAF-3ECEF506DDF9}" srcOrd="5" destOrd="0" parTransId="{575ACFEF-1E4C-47D6-8E1C-EF4463D682DD}" sibTransId="{9C00CC4A-7A72-44B9-9292-9A6E72984133}"/>
    <dgm:cxn modelId="{E076C447-73C6-48D7-835C-92C31368F7AF}" type="presParOf" srcId="{1D9A3D75-3087-4AF6-8E3F-475E864A9C8F}" destId="{12173A41-EB73-43C0-87B9-B06267F755A4}" srcOrd="0" destOrd="0" presId="urn:microsoft.com/office/officeart/2005/8/layout/bProcess4"/>
    <dgm:cxn modelId="{3207CBCA-FDFF-4163-9C41-4C2A0C3AC281}" type="presParOf" srcId="{12173A41-EB73-43C0-87B9-B06267F755A4}" destId="{DB6149F0-7009-481C-8D27-2AA20E5CAD36}" srcOrd="0" destOrd="0" presId="urn:microsoft.com/office/officeart/2005/8/layout/bProcess4"/>
    <dgm:cxn modelId="{1E161F1B-D29F-44C5-9DA0-B622FBEE6683}" type="presParOf" srcId="{12173A41-EB73-43C0-87B9-B06267F755A4}" destId="{D660D38D-D6B2-48BF-B684-50536B88E9A7}" srcOrd="1" destOrd="0" presId="urn:microsoft.com/office/officeart/2005/8/layout/bProcess4"/>
    <dgm:cxn modelId="{ACC13C64-E1AD-4A37-8FCC-AFCCAC51064C}" type="presParOf" srcId="{1D9A3D75-3087-4AF6-8E3F-475E864A9C8F}" destId="{1BFD0D2D-7A67-4E89-8A7A-3E9F7292290F}" srcOrd="1" destOrd="0" presId="urn:microsoft.com/office/officeart/2005/8/layout/bProcess4"/>
    <dgm:cxn modelId="{60BE361B-747D-426E-ADEA-74194385A441}" type="presParOf" srcId="{1D9A3D75-3087-4AF6-8E3F-475E864A9C8F}" destId="{CC96ED47-B98E-4FE4-930C-C93EF0CDE07D}" srcOrd="2" destOrd="0" presId="urn:microsoft.com/office/officeart/2005/8/layout/bProcess4"/>
    <dgm:cxn modelId="{96D876DA-78B4-48E4-A9B3-1DE36C37D060}" type="presParOf" srcId="{CC96ED47-B98E-4FE4-930C-C93EF0CDE07D}" destId="{7F40F9D4-0607-4632-A711-2ECC5ECF33C5}" srcOrd="0" destOrd="0" presId="urn:microsoft.com/office/officeart/2005/8/layout/bProcess4"/>
    <dgm:cxn modelId="{D09CD4A5-DFDE-4EAC-8E74-7D535D3AF448}" type="presParOf" srcId="{CC96ED47-B98E-4FE4-930C-C93EF0CDE07D}" destId="{41E922D2-B990-43BC-8CFE-8A289F432E6C}" srcOrd="1" destOrd="0" presId="urn:microsoft.com/office/officeart/2005/8/layout/bProcess4"/>
    <dgm:cxn modelId="{6BDF10A6-A5B7-40D2-B3F3-8C681F0ACA87}" type="presParOf" srcId="{1D9A3D75-3087-4AF6-8E3F-475E864A9C8F}" destId="{39EEC0D0-0505-45D4-BB13-2DCE81BF69C9}" srcOrd="3" destOrd="0" presId="urn:microsoft.com/office/officeart/2005/8/layout/bProcess4"/>
    <dgm:cxn modelId="{18C04D6C-9440-4355-8F07-198524BBC3C4}" type="presParOf" srcId="{1D9A3D75-3087-4AF6-8E3F-475E864A9C8F}" destId="{3DABFC98-3C49-4191-AD79-69DBFC9E6200}" srcOrd="4" destOrd="0" presId="urn:microsoft.com/office/officeart/2005/8/layout/bProcess4"/>
    <dgm:cxn modelId="{D4DE63BA-2403-4689-8C67-10324050EA39}" type="presParOf" srcId="{3DABFC98-3C49-4191-AD79-69DBFC9E6200}" destId="{B377EF64-E855-4D11-A98B-C426DF6C25C2}" srcOrd="0" destOrd="0" presId="urn:microsoft.com/office/officeart/2005/8/layout/bProcess4"/>
    <dgm:cxn modelId="{C36FA5D6-0323-4EBB-B1A1-7076438797FB}" type="presParOf" srcId="{3DABFC98-3C49-4191-AD79-69DBFC9E6200}" destId="{21BB7EA6-4958-4048-BBBA-34BBCE16C66B}" srcOrd="1" destOrd="0" presId="urn:microsoft.com/office/officeart/2005/8/layout/bProcess4"/>
    <dgm:cxn modelId="{EF06D688-C8C8-4577-8B00-E089B22B1FBB}" type="presParOf" srcId="{1D9A3D75-3087-4AF6-8E3F-475E864A9C8F}" destId="{1D4B7ACE-8140-4585-A52C-9F1A6FC4C71E}" srcOrd="5" destOrd="0" presId="urn:microsoft.com/office/officeart/2005/8/layout/bProcess4"/>
    <dgm:cxn modelId="{D00709AA-961C-4272-8571-9AB5819EB91F}" type="presParOf" srcId="{1D9A3D75-3087-4AF6-8E3F-475E864A9C8F}" destId="{1C7D35FE-E3BD-4F75-AEF1-7BDA6A5A4D72}" srcOrd="6" destOrd="0" presId="urn:microsoft.com/office/officeart/2005/8/layout/bProcess4"/>
    <dgm:cxn modelId="{8BC77BAE-B15E-4A35-AF2F-B519E19A6E62}" type="presParOf" srcId="{1C7D35FE-E3BD-4F75-AEF1-7BDA6A5A4D72}" destId="{837A6E28-BF0E-4C4D-9C2D-4301D1509413}" srcOrd="0" destOrd="0" presId="urn:microsoft.com/office/officeart/2005/8/layout/bProcess4"/>
    <dgm:cxn modelId="{ED28CA85-A590-49E9-B97C-52AB9FAA486F}" type="presParOf" srcId="{1C7D35FE-E3BD-4F75-AEF1-7BDA6A5A4D72}" destId="{84936B11-56AD-40A5-A370-9484BE33AF0C}" srcOrd="1" destOrd="0" presId="urn:microsoft.com/office/officeart/2005/8/layout/bProcess4"/>
    <dgm:cxn modelId="{F7287AB5-95D6-4FB6-9C42-6D857F977CDA}" type="presParOf" srcId="{1D9A3D75-3087-4AF6-8E3F-475E864A9C8F}" destId="{3CBE36B7-AC44-4ECC-8C7A-E0630D37FD0B}" srcOrd="7" destOrd="0" presId="urn:microsoft.com/office/officeart/2005/8/layout/bProcess4"/>
    <dgm:cxn modelId="{556F633F-BE8D-4B77-9B28-2A27032486C1}" type="presParOf" srcId="{1D9A3D75-3087-4AF6-8E3F-475E864A9C8F}" destId="{0A39F396-AF4A-4CDC-ABE6-5E6A522B200F}" srcOrd="8" destOrd="0" presId="urn:microsoft.com/office/officeart/2005/8/layout/bProcess4"/>
    <dgm:cxn modelId="{6A32DA3C-6EBE-4B6A-9BA3-A6A256CDD974}" type="presParOf" srcId="{0A39F396-AF4A-4CDC-ABE6-5E6A522B200F}" destId="{9C10ABBD-EA77-4F10-843E-30315CEB63CD}" srcOrd="0" destOrd="0" presId="urn:microsoft.com/office/officeart/2005/8/layout/bProcess4"/>
    <dgm:cxn modelId="{B4E44992-CBF7-445A-8F63-4968ECD1BB1B}" type="presParOf" srcId="{0A39F396-AF4A-4CDC-ABE6-5E6A522B200F}" destId="{D1B66C9A-36AB-46E1-A53D-C259F84AAF5A}" srcOrd="1" destOrd="0" presId="urn:microsoft.com/office/officeart/2005/8/layout/bProcess4"/>
    <dgm:cxn modelId="{E685E825-6390-4961-B104-FC7C9D1D2CDB}" type="presParOf" srcId="{1D9A3D75-3087-4AF6-8E3F-475E864A9C8F}" destId="{16594409-99E5-4B39-B283-5928E8707F36}" srcOrd="9" destOrd="0" presId="urn:microsoft.com/office/officeart/2005/8/layout/bProcess4"/>
    <dgm:cxn modelId="{566246AC-4F70-485F-AED7-6AF89C422522}" type="presParOf" srcId="{1D9A3D75-3087-4AF6-8E3F-475E864A9C8F}" destId="{05EF3082-B718-44D9-8795-FC1A6121A8FE}" srcOrd="10" destOrd="0" presId="urn:microsoft.com/office/officeart/2005/8/layout/bProcess4"/>
    <dgm:cxn modelId="{431F434A-D036-483D-9989-092AA7FED524}" type="presParOf" srcId="{05EF3082-B718-44D9-8795-FC1A6121A8FE}" destId="{3899F325-76DB-40FF-92F8-0A7F1EB06C55}" srcOrd="0" destOrd="0" presId="urn:microsoft.com/office/officeart/2005/8/layout/bProcess4"/>
    <dgm:cxn modelId="{1D853888-0CAE-4545-90BA-227A298315AD}" type="presParOf" srcId="{05EF3082-B718-44D9-8795-FC1A6121A8FE}" destId="{F1D40767-724F-4F17-A513-6EFEE01FAF5F}" srcOrd="1" destOrd="0" presId="urn:microsoft.com/office/officeart/2005/8/layout/bProcess4"/>
    <dgm:cxn modelId="{364D2777-2932-44A2-8FD3-E31E460B1549}" type="presParOf" srcId="{1D9A3D75-3087-4AF6-8E3F-475E864A9C8F}" destId="{23744879-FEE4-4BD4-A012-B06D99F9A18D}" srcOrd="11" destOrd="0" presId="urn:microsoft.com/office/officeart/2005/8/layout/bProcess4"/>
    <dgm:cxn modelId="{5BD992EC-A47C-4D0D-BB86-1B3BD481E741}" type="presParOf" srcId="{1D9A3D75-3087-4AF6-8E3F-475E864A9C8F}" destId="{C702C682-DEA6-45DB-858F-FBAB5BA6C0ED}" srcOrd="12" destOrd="0" presId="urn:microsoft.com/office/officeart/2005/8/layout/bProcess4"/>
    <dgm:cxn modelId="{34E2387A-5309-4FCA-B2BB-0F3B8F78B518}" type="presParOf" srcId="{C702C682-DEA6-45DB-858F-FBAB5BA6C0ED}" destId="{621562E5-E4BF-4E57-91D5-D6B09F66D866}" srcOrd="0" destOrd="0" presId="urn:microsoft.com/office/officeart/2005/8/layout/bProcess4"/>
    <dgm:cxn modelId="{B48FBBDA-3452-48A7-9735-741484023365}" type="presParOf" srcId="{C702C682-DEA6-45DB-858F-FBAB5BA6C0ED}" destId="{C087024D-567A-4E72-A4F4-38F5DF5A7BC2}" srcOrd="1" destOrd="0" presId="urn:microsoft.com/office/officeart/2005/8/layout/b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EBB3008-54AD-4026-8D99-08C1AD668F71}"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186D003C-538E-4160-9C9B-534D659B7251}">
      <dgm:prSet phldrT="[Text]"/>
      <dgm:spPr/>
      <dgm:t>
        <a:bodyPr/>
        <a:lstStyle/>
        <a:p>
          <a:r>
            <a:rPr lang="en-US"/>
            <a:t>Create a custom free schedule </a:t>
          </a:r>
        </a:p>
      </dgm:t>
    </dgm:pt>
    <dgm:pt modelId="{D2D7043A-AEB2-43A9-81FD-3A03F8F81560}" type="parTrans" cxnId="{5CADCD20-2265-4895-BA5E-4D7CF840472D}">
      <dgm:prSet/>
      <dgm:spPr/>
      <dgm:t>
        <a:bodyPr/>
        <a:lstStyle/>
        <a:p>
          <a:endParaRPr lang="en-US"/>
        </a:p>
      </dgm:t>
    </dgm:pt>
    <dgm:pt modelId="{FF0AC60F-D709-4793-A50B-911D6F599B44}" type="sibTrans" cxnId="{5CADCD20-2265-4895-BA5E-4D7CF840472D}">
      <dgm:prSet/>
      <dgm:spPr/>
      <dgm:t>
        <a:bodyPr/>
        <a:lstStyle/>
        <a:p>
          <a:endParaRPr lang="en-US"/>
        </a:p>
      </dgm:t>
    </dgm:pt>
    <dgm:pt modelId="{334D2793-F7EB-4088-A2AD-6EDA291850FD}">
      <dgm:prSet phldrT="[Text]"/>
      <dgm:spPr/>
      <dgm:t>
        <a:bodyPr/>
        <a:lstStyle/>
        <a:p>
          <a:r>
            <a:rPr lang="en-US"/>
            <a:t>configure a non-fungible token</a:t>
          </a:r>
        </a:p>
      </dgm:t>
    </dgm:pt>
    <dgm:pt modelId="{DD18258A-6EC4-486D-80A5-241973019BAE}" type="parTrans" cxnId="{1231B2AA-6EF1-40DA-9393-C69B0724FE9A}">
      <dgm:prSet/>
      <dgm:spPr/>
      <dgm:t>
        <a:bodyPr/>
        <a:lstStyle/>
        <a:p>
          <a:endParaRPr lang="en-US"/>
        </a:p>
      </dgm:t>
    </dgm:pt>
    <dgm:pt modelId="{189F818A-2112-4B6D-8013-2F99701101BC}" type="sibTrans" cxnId="{1231B2AA-6EF1-40DA-9393-C69B0724FE9A}">
      <dgm:prSet/>
      <dgm:spPr/>
      <dgm:t>
        <a:bodyPr/>
        <a:lstStyle/>
        <a:p>
          <a:endParaRPr lang="en-US"/>
        </a:p>
      </dgm:t>
    </dgm:pt>
    <dgm:pt modelId="{77D001C9-9753-4781-B7D3-3A6C4F775B60}">
      <dgm:prSet phldrT="[Text]"/>
      <dgm:spPr/>
      <dgm:t>
        <a:bodyPr/>
        <a:lstStyle/>
        <a:p>
          <a:r>
            <a:rPr lang="en-US"/>
            <a:t>Mint and burn NFT's </a:t>
          </a:r>
        </a:p>
      </dgm:t>
    </dgm:pt>
    <dgm:pt modelId="{20528DC8-DBE1-4FF3-81AD-CE90E946314A}" type="parTrans" cxnId="{8F867686-02E7-40FC-9F5F-D71BAB12DA04}">
      <dgm:prSet/>
      <dgm:spPr/>
      <dgm:t>
        <a:bodyPr/>
        <a:lstStyle/>
        <a:p>
          <a:endParaRPr lang="en-US"/>
        </a:p>
      </dgm:t>
    </dgm:pt>
    <dgm:pt modelId="{542E24F4-9B61-47B6-B9EB-57C5F7E7458F}" type="sibTrans" cxnId="{8F867686-02E7-40FC-9F5F-D71BAB12DA04}">
      <dgm:prSet/>
      <dgm:spPr/>
      <dgm:t>
        <a:bodyPr/>
        <a:lstStyle/>
        <a:p>
          <a:endParaRPr lang="en-US"/>
        </a:p>
      </dgm:t>
    </dgm:pt>
    <dgm:pt modelId="{AABD3B7B-3E7F-4F01-B9A3-3DF30A8E6A43}">
      <dgm:prSet phldrT="[Text]"/>
      <dgm:spPr/>
      <dgm:t>
        <a:bodyPr/>
        <a:lstStyle/>
        <a:p>
          <a:r>
            <a:rPr lang="en-US"/>
            <a:t>Associate and transfer NFT's</a:t>
          </a:r>
        </a:p>
      </dgm:t>
    </dgm:pt>
    <dgm:pt modelId="{9EAC23BF-1F2F-4BF5-BF35-C6BEFB405DD5}" type="parTrans" cxnId="{98C48D6C-B43B-4B6B-B71F-41BE030EC864}">
      <dgm:prSet/>
      <dgm:spPr/>
      <dgm:t>
        <a:bodyPr/>
        <a:lstStyle/>
        <a:p>
          <a:endParaRPr lang="en-US"/>
        </a:p>
      </dgm:t>
    </dgm:pt>
    <dgm:pt modelId="{96549009-DE44-488D-A2E1-31BE02C70D62}" type="sibTrans" cxnId="{98C48D6C-B43B-4B6B-B71F-41BE030EC864}">
      <dgm:prSet/>
      <dgm:spPr/>
      <dgm:t>
        <a:bodyPr/>
        <a:lstStyle/>
        <a:p>
          <a:endParaRPr lang="en-US"/>
        </a:p>
      </dgm:t>
    </dgm:pt>
    <dgm:pt modelId="{38BE5A39-FC91-4F2C-9420-8AEFBDFE5373}" type="pres">
      <dgm:prSet presAssocID="{6EBB3008-54AD-4026-8D99-08C1AD668F71}" presName="diagram" presStyleCnt="0">
        <dgm:presLayoutVars>
          <dgm:dir/>
          <dgm:resizeHandles val="exact"/>
        </dgm:presLayoutVars>
      </dgm:prSet>
      <dgm:spPr/>
    </dgm:pt>
    <dgm:pt modelId="{D7FA05A0-85E9-41C4-B3E5-70B98D37485C}" type="pres">
      <dgm:prSet presAssocID="{186D003C-538E-4160-9C9B-534D659B7251}" presName="node" presStyleLbl="node1" presStyleIdx="0" presStyleCnt="4">
        <dgm:presLayoutVars>
          <dgm:bulletEnabled val="1"/>
        </dgm:presLayoutVars>
      </dgm:prSet>
      <dgm:spPr/>
    </dgm:pt>
    <dgm:pt modelId="{F5680E31-9E10-4A5F-8E42-E45D87CEB155}" type="pres">
      <dgm:prSet presAssocID="{FF0AC60F-D709-4793-A50B-911D6F599B44}" presName="sibTrans" presStyleLbl="sibTrans2D1" presStyleIdx="0" presStyleCnt="3"/>
      <dgm:spPr/>
    </dgm:pt>
    <dgm:pt modelId="{F6804FFC-2E8B-4ACD-A2F9-B537AB2344BB}" type="pres">
      <dgm:prSet presAssocID="{FF0AC60F-D709-4793-A50B-911D6F599B44}" presName="connectorText" presStyleLbl="sibTrans2D1" presStyleIdx="0" presStyleCnt="3"/>
      <dgm:spPr/>
    </dgm:pt>
    <dgm:pt modelId="{D67266DC-D1F9-47FA-98AF-B346EFF82609}" type="pres">
      <dgm:prSet presAssocID="{334D2793-F7EB-4088-A2AD-6EDA291850FD}" presName="node" presStyleLbl="node1" presStyleIdx="1" presStyleCnt="4">
        <dgm:presLayoutVars>
          <dgm:bulletEnabled val="1"/>
        </dgm:presLayoutVars>
      </dgm:prSet>
      <dgm:spPr/>
    </dgm:pt>
    <dgm:pt modelId="{8DD20994-687C-4C15-AD12-1E10A72050FF}" type="pres">
      <dgm:prSet presAssocID="{189F818A-2112-4B6D-8013-2F99701101BC}" presName="sibTrans" presStyleLbl="sibTrans2D1" presStyleIdx="1" presStyleCnt="3"/>
      <dgm:spPr/>
    </dgm:pt>
    <dgm:pt modelId="{6E9B6B86-9FF1-4E03-AB8B-91FFC6F9DB1B}" type="pres">
      <dgm:prSet presAssocID="{189F818A-2112-4B6D-8013-2F99701101BC}" presName="connectorText" presStyleLbl="sibTrans2D1" presStyleIdx="1" presStyleCnt="3"/>
      <dgm:spPr/>
    </dgm:pt>
    <dgm:pt modelId="{E98A7099-75DE-4935-836F-E539620831E9}" type="pres">
      <dgm:prSet presAssocID="{77D001C9-9753-4781-B7D3-3A6C4F775B60}" presName="node" presStyleLbl="node1" presStyleIdx="2" presStyleCnt="4">
        <dgm:presLayoutVars>
          <dgm:bulletEnabled val="1"/>
        </dgm:presLayoutVars>
      </dgm:prSet>
      <dgm:spPr/>
    </dgm:pt>
    <dgm:pt modelId="{EDB30F91-68AF-40B1-9294-3F0C2690D09A}" type="pres">
      <dgm:prSet presAssocID="{542E24F4-9B61-47B6-B9EB-57C5F7E7458F}" presName="sibTrans" presStyleLbl="sibTrans2D1" presStyleIdx="2" presStyleCnt="3"/>
      <dgm:spPr/>
    </dgm:pt>
    <dgm:pt modelId="{7F0B9092-8EC7-42C7-B75B-7C4E3BCCEACD}" type="pres">
      <dgm:prSet presAssocID="{542E24F4-9B61-47B6-B9EB-57C5F7E7458F}" presName="connectorText" presStyleLbl="sibTrans2D1" presStyleIdx="2" presStyleCnt="3"/>
      <dgm:spPr/>
    </dgm:pt>
    <dgm:pt modelId="{4FD1CE41-A5A3-4A40-81DE-EE027ED58B04}" type="pres">
      <dgm:prSet presAssocID="{AABD3B7B-3E7F-4F01-B9A3-3DF30A8E6A43}" presName="node" presStyleLbl="node1" presStyleIdx="3" presStyleCnt="4">
        <dgm:presLayoutVars>
          <dgm:bulletEnabled val="1"/>
        </dgm:presLayoutVars>
      </dgm:prSet>
      <dgm:spPr/>
    </dgm:pt>
  </dgm:ptLst>
  <dgm:cxnLst>
    <dgm:cxn modelId="{A1EF0F0F-6777-40D6-8E98-729AF38850E1}" type="presOf" srcId="{186D003C-538E-4160-9C9B-534D659B7251}" destId="{D7FA05A0-85E9-41C4-B3E5-70B98D37485C}" srcOrd="0" destOrd="0" presId="urn:microsoft.com/office/officeart/2005/8/layout/process5"/>
    <dgm:cxn modelId="{5CADCD20-2265-4895-BA5E-4D7CF840472D}" srcId="{6EBB3008-54AD-4026-8D99-08C1AD668F71}" destId="{186D003C-538E-4160-9C9B-534D659B7251}" srcOrd="0" destOrd="0" parTransId="{D2D7043A-AEB2-43A9-81FD-3A03F8F81560}" sibTransId="{FF0AC60F-D709-4793-A50B-911D6F599B44}"/>
    <dgm:cxn modelId="{6C7BDF2E-767B-44E4-ABC2-12F9A40E1949}" type="presOf" srcId="{FF0AC60F-D709-4793-A50B-911D6F599B44}" destId="{F6804FFC-2E8B-4ACD-A2F9-B537AB2344BB}" srcOrd="1" destOrd="0" presId="urn:microsoft.com/office/officeart/2005/8/layout/process5"/>
    <dgm:cxn modelId="{608A0E33-6E5D-4785-A84D-C378650A1BE2}" type="presOf" srcId="{334D2793-F7EB-4088-A2AD-6EDA291850FD}" destId="{D67266DC-D1F9-47FA-98AF-B346EFF82609}" srcOrd="0" destOrd="0" presId="urn:microsoft.com/office/officeart/2005/8/layout/process5"/>
    <dgm:cxn modelId="{E36D7537-A172-4970-8AE8-1D78C88C907A}" type="presOf" srcId="{189F818A-2112-4B6D-8013-2F99701101BC}" destId="{6E9B6B86-9FF1-4E03-AB8B-91FFC6F9DB1B}" srcOrd="1" destOrd="0" presId="urn:microsoft.com/office/officeart/2005/8/layout/process5"/>
    <dgm:cxn modelId="{98C48D6C-B43B-4B6B-B71F-41BE030EC864}" srcId="{6EBB3008-54AD-4026-8D99-08C1AD668F71}" destId="{AABD3B7B-3E7F-4F01-B9A3-3DF30A8E6A43}" srcOrd="3" destOrd="0" parTransId="{9EAC23BF-1F2F-4BF5-BF35-C6BEFB405DD5}" sibTransId="{96549009-DE44-488D-A2E1-31BE02C70D62}"/>
    <dgm:cxn modelId="{5FC03D54-5991-4AC3-87ED-8A70E6A4B716}" type="presOf" srcId="{77D001C9-9753-4781-B7D3-3A6C4F775B60}" destId="{E98A7099-75DE-4935-836F-E539620831E9}" srcOrd="0" destOrd="0" presId="urn:microsoft.com/office/officeart/2005/8/layout/process5"/>
    <dgm:cxn modelId="{8F867686-02E7-40FC-9F5F-D71BAB12DA04}" srcId="{6EBB3008-54AD-4026-8D99-08C1AD668F71}" destId="{77D001C9-9753-4781-B7D3-3A6C4F775B60}" srcOrd="2" destOrd="0" parTransId="{20528DC8-DBE1-4FF3-81AD-CE90E946314A}" sibTransId="{542E24F4-9B61-47B6-B9EB-57C5F7E7458F}"/>
    <dgm:cxn modelId="{CCFE9186-1059-47FB-8743-91FFEE64B3FB}" type="presOf" srcId="{542E24F4-9B61-47B6-B9EB-57C5F7E7458F}" destId="{EDB30F91-68AF-40B1-9294-3F0C2690D09A}" srcOrd="0" destOrd="0" presId="urn:microsoft.com/office/officeart/2005/8/layout/process5"/>
    <dgm:cxn modelId="{4CC4A0A5-1221-4693-A97C-80757F84FFAB}" type="presOf" srcId="{AABD3B7B-3E7F-4F01-B9A3-3DF30A8E6A43}" destId="{4FD1CE41-A5A3-4A40-81DE-EE027ED58B04}" srcOrd="0" destOrd="0" presId="urn:microsoft.com/office/officeart/2005/8/layout/process5"/>
    <dgm:cxn modelId="{8A0EBFA9-F3B6-4FA1-809C-C47A521D8729}" type="presOf" srcId="{FF0AC60F-D709-4793-A50B-911D6F599B44}" destId="{F5680E31-9E10-4A5F-8E42-E45D87CEB155}" srcOrd="0" destOrd="0" presId="urn:microsoft.com/office/officeart/2005/8/layout/process5"/>
    <dgm:cxn modelId="{1231B2AA-6EF1-40DA-9393-C69B0724FE9A}" srcId="{6EBB3008-54AD-4026-8D99-08C1AD668F71}" destId="{334D2793-F7EB-4088-A2AD-6EDA291850FD}" srcOrd="1" destOrd="0" parTransId="{DD18258A-6EC4-486D-80A5-241973019BAE}" sibTransId="{189F818A-2112-4B6D-8013-2F99701101BC}"/>
    <dgm:cxn modelId="{CCB8B5B1-D5ED-4A2F-8039-D5EFBF8F6326}" type="presOf" srcId="{6EBB3008-54AD-4026-8D99-08C1AD668F71}" destId="{38BE5A39-FC91-4F2C-9420-8AEFBDFE5373}" srcOrd="0" destOrd="0" presId="urn:microsoft.com/office/officeart/2005/8/layout/process5"/>
    <dgm:cxn modelId="{7C3C43E1-3317-47A5-9B61-7C7A0579D56D}" type="presOf" srcId="{542E24F4-9B61-47B6-B9EB-57C5F7E7458F}" destId="{7F0B9092-8EC7-42C7-B75B-7C4E3BCCEACD}" srcOrd="1" destOrd="0" presId="urn:microsoft.com/office/officeart/2005/8/layout/process5"/>
    <dgm:cxn modelId="{E02873E8-8C68-437E-B2C7-FD4C6E8465C2}" type="presOf" srcId="{189F818A-2112-4B6D-8013-2F99701101BC}" destId="{8DD20994-687C-4C15-AD12-1E10A72050FF}" srcOrd="0" destOrd="0" presId="urn:microsoft.com/office/officeart/2005/8/layout/process5"/>
    <dgm:cxn modelId="{2695D41D-C545-4CDB-83D9-829DA1CF917A}" type="presParOf" srcId="{38BE5A39-FC91-4F2C-9420-8AEFBDFE5373}" destId="{D7FA05A0-85E9-41C4-B3E5-70B98D37485C}" srcOrd="0" destOrd="0" presId="urn:microsoft.com/office/officeart/2005/8/layout/process5"/>
    <dgm:cxn modelId="{E80D447F-89E2-487F-9C87-1B54427EA681}" type="presParOf" srcId="{38BE5A39-FC91-4F2C-9420-8AEFBDFE5373}" destId="{F5680E31-9E10-4A5F-8E42-E45D87CEB155}" srcOrd="1" destOrd="0" presId="urn:microsoft.com/office/officeart/2005/8/layout/process5"/>
    <dgm:cxn modelId="{62B1EED4-1E62-4FD8-9D24-F5EF76EBA4E4}" type="presParOf" srcId="{F5680E31-9E10-4A5F-8E42-E45D87CEB155}" destId="{F6804FFC-2E8B-4ACD-A2F9-B537AB2344BB}" srcOrd="0" destOrd="0" presId="urn:microsoft.com/office/officeart/2005/8/layout/process5"/>
    <dgm:cxn modelId="{D89FA859-31B1-46A1-90E7-78760E26E28A}" type="presParOf" srcId="{38BE5A39-FC91-4F2C-9420-8AEFBDFE5373}" destId="{D67266DC-D1F9-47FA-98AF-B346EFF82609}" srcOrd="2" destOrd="0" presId="urn:microsoft.com/office/officeart/2005/8/layout/process5"/>
    <dgm:cxn modelId="{D7821E5B-A955-4C85-ADA1-51FB46611980}" type="presParOf" srcId="{38BE5A39-FC91-4F2C-9420-8AEFBDFE5373}" destId="{8DD20994-687C-4C15-AD12-1E10A72050FF}" srcOrd="3" destOrd="0" presId="urn:microsoft.com/office/officeart/2005/8/layout/process5"/>
    <dgm:cxn modelId="{2A087118-C5E5-4B7D-882A-33FE9AB2FE82}" type="presParOf" srcId="{8DD20994-687C-4C15-AD12-1E10A72050FF}" destId="{6E9B6B86-9FF1-4E03-AB8B-91FFC6F9DB1B}" srcOrd="0" destOrd="0" presId="urn:microsoft.com/office/officeart/2005/8/layout/process5"/>
    <dgm:cxn modelId="{A4253756-8691-4002-9985-C6F8ADBCA70F}" type="presParOf" srcId="{38BE5A39-FC91-4F2C-9420-8AEFBDFE5373}" destId="{E98A7099-75DE-4935-836F-E539620831E9}" srcOrd="4" destOrd="0" presId="urn:microsoft.com/office/officeart/2005/8/layout/process5"/>
    <dgm:cxn modelId="{F433C9F9-637D-4E48-BC99-511000078AF7}" type="presParOf" srcId="{38BE5A39-FC91-4F2C-9420-8AEFBDFE5373}" destId="{EDB30F91-68AF-40B1-9294-3F0C2690D09A}" srcOrd="5" destOrd="0" presId="urn:microsoft.com/office/officeart/2005/8/layout/process5"/>
    <dgm:cxn modelId="{9C31BDC6-797B-44FA-839B-843554AC48E2}" type="presParOf" srcId="{EDB30F91-68AF-40B1-9294-3F0C2690D09A}" destId="{7F0B9092-8EC7-42C7-B75B-7C4E3BCCEACD}" srcOrd="0" destOrd="0" presId="urn:microsoft.com/office/officeart/2005/8/layout/process5"/>
    <dgm:cxn modelId="{3E11D237-0528-42CB-B9D2-2414CDDF72E4}" type="presParOf" srcId="{38BE5A39-FC91-4F2C-9420-8AEFBDFE5373}" destId="{4FD1CE41-A5A3-4A40-81DE-EE027ED58B04}" srcOrd="6" destOrd="0" presId="urn:microsoft.com/office/officeart/2005/8/layout/process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F3108F-74C4-4F1C-A98B-8747A4CAAE0D}">
      <dsp:nvSpPr>
        <dsp:cNvPr id="0" name=""/>
        <dsp:cNvSpPr/>
      </dsp:nvSpPr>
      <dsp:spPr>
        <a:xfrm>
          <a:off x="38529" y="322"/>
          <a:ext cx="1088773" cy="35542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Mirror-net</a:t>
          </a:r>
        </a:p>
      </dsp:txBody>
      <dsp:txXfrm>
        <a:off x="197976" y="52372"/>
        <a:ext cx="769879" cy="251323"/>
      </dsp:txXfrm>
    </dsp:sp>
    <dsp:sp modelId="{426253AC-9A6A-47F0-B2DD-DAF73A482939}">
      <dsp:nvSpPr>
        <dsp:cNvPr id="0" name=""/>
        <dsp:cNvSpPr/>
      </dsp:nvSpPr>
      <dsp:spPr>
        <a:xfrm>
          <a:off x="479843" y="384607"/>
          <a:ext cx="206145" cy="206145"/>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07168" y="463437"/>
        <a:ext cx="151495" cy="48485"/>
      </dsp:txXfrm>
    </dsp:sp>
    <dsp:sp modelId="{E97C3EEE-5C0F-4CEF-8892-629FCFD2BC87}">
      <dsp:nvSpPr>
        <dsp:cNvPr id="0" name=""/>
        <dsp:cNvSpPr/>
      </dsp:nvSpPr>
      <dsp:spPr>
        <a:xfrm>
          <a:off x="65605" y="619613"/>
          <a:ext cx="1034621" cy="35542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Test-net</a:t>
          </a:r>
        </a:p>
      </dsp:txBody>
      <dsp:txXfrm>
        <a:off x="217122" y="671663"/>
        <a:ext cx="731587" cy="251323"/>
      </dsp:txXfrm>
    </dsp:sp>
    <dsp:sp modelId="{1D5A864F-7D53-45CB-9F27-518367408AF1}">
      <dsp:nvSpPr>
        <dsp:cNvPr id="0" name=""/>
        <dsp:cNvSpPr/>
      </dsp:nvSpPr>
      <dsp:spPr>
        <a:xfrm>
          <a:off x="1180616" y="421571"/>
          <a:ext cx="113024" cy="1322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180616" y="448014"/>
        <a:ext cx="79117" cy="79331"/>
      </dsp:txXfrm>
    </dsp:sp>
    <dsp:sp modelId="{193C14A6-8D09-46A9-B09C-EED5A3FCE0A8}">
      <dsp:nvSpPr>
        <dsp:cNvPr id="0" name=""/>
        <dsp:cNvSpPr/>
      </dsp:nvSpPr>
      <dsp:spPr>
        <a:xfrm>
          <a:off x="1340557" y="225917"/>
          <a:ext cx="1272673" cy="5235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Main-net</a:t>
          </a:r>
        </a:p>
      </dsp:txBody>
      <dsp:txXfrm>
        <a:off x="1526936" y="302585"/>
        <a:ext cx="899915" cy="3701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FD0D2D-7A67-4E89-8A7A-3E9F7292290F}">
      <dsp:nvSpPr>
        <dsp:cNvPr id="0" name=""/>
        <dsp:cNvSpPr/>
      </dsp:nvSpPr>
      <dsp:spPr>
        <a:xfrm rot="5400000">
          <a:off x="147129" y="335119"/>
          <a:ext cx="514203" cy="6268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D660D38D-D6B2-48BF-B684-50536B88E9A7}">
      <dsp:nvSpPr>
        <dsp:cNvPr id="0" name=""/>
        <dsp:cNvSpPr/>
      </dsp:nvSpPr>
      <dsp:spPr>
        <a:xfrm>
          <a:off x="260850" y="203"/>
          <a:ext cx="696491" cy="4178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User</a:t>
          </a:r>
        </a:p>
      </dsp:txBody>
      <dsp:txXfrm>
        <a:off x="273090" y="12443"/>
        <a:ext cx="672011" cy="393414"/>
      </dsp:txXfrm>
    </dsp:sp>
    <dsp:sp modelId="{39EEC0D0-0505-45D4-BB13-2DCE81BF69C9}">
      <dsp:nvSpPr>
        <dsp:cNvPr id="0" name=""/>
        <dsp:cNvSpPr/>
      </dsp:nvSpPr>
      <dsp:spPr>
        <a:xfrm rot="5400000">
          <a:off x="147129" y="857488"/>
          <a:ext cx="514203" cy="6268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1E922D2-B990-43BC-8CFE-8A289F432E6C}">
      <dsp:nvSpPr>
        <dsp:cNvPr id="0" name=""/>
        <dsp:cNvSpPr/>
      </dsp:nvSpPr>
      <dsp:spPr>
        <a:xfrm>
          <a:off x="260850" y="522572"/>
          <a:ext cx="696491" cy="4178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Main-net </a:t>
          </a:r>
        </a:p>
      </dsp:txBody>
      <dsp:txXfrm>
        <a:off x="273090" y="534812"/>
        <a:ext cx="672011" cy="393414"/>
      </dsp:txXfrm>
    </dsp:sp>
    <dsp:sp modelId="{1D4B7ACE-8140-4585-A52C-9F1A6FC4C71E}">
      <dsp:nvSpPr>
        <dsp:cNvPr id="0" name=""/>
        <dsp:cNvSpPr/>
      </dsp:nvSpPr>
      <dsp:spPr>
        <a:xfrm>
          <a:off x="408313" y="1118672"/>
          <a:ext cx="918168" cy="6268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1BB7EA6-4958-4048-BBBA-34BBCE16C66B}">
      <dsp:nvSpPr>
        <dsp:cNvPr id="0" name=""/>
        <dsp:cNvSpPr/>
      </dsp:nvSpPr>
      <dsp:spPr>
        <a:xfrm>
          <a:off x="260850" y="1044941"/>
          <a:ext cx="696491" cy="4178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Mirror-net</a:t>
          </a:r>
        </a:p>
      </dsp:txBody>
      <dsp:txXfrm>
        <a:off x="273090" y="1057181"/>
        <a:ext cx="672011" cy="393414"/>
      </dsp:txXfrm>
    </dsp:sp>
    <dsp:sp modelId="{3CBE36B7-AC44-4ECC-8C7A-E0630D37FD0B}">
      <dsp:nvSpPr>
        <dsp:cNvPr id="0" name=""/>
        <dsp:cNvSpPr/>
      </dsp:nvSpPr>
      <dsp:spPr>
        <a:xfrm rot="16200000">
          <a:off x="1073463" y="857488"/>
          <a:ext cx="514203" cy="6268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4936B11-56AD-40A5-A370-9484BE33AF0C}">
      <dsp:nvSpPr>
        <dsp:cNvPr id="0" name=""/>
        <dsp:cNvSpPr/>
      </dsp:nvSpPr>
      <dsp:spPr>
        <a:xfrm>
          <a:off x="1187184" y="1044941"/>
          <a:ext cx="696491" cy="4178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Test-net</a:t>
          </a:r>
        </a:p>
      </dsp:txBody>
      <dsp:txXfrm>
        <a:off x="1199424" y="1057181"/>
        <a:ext cx="672011" cy="393414"/>
      </dsp:txXfrm>
    </dsp:sp>
    <dsp:sp modelId="{16594409-99E5-4B39-B283-5928E8707F36}">
      <dsp:nvSpPr>
        <dsp:cNvPr id="0" name=""/>
        <dsp:cNvSpPr/>
      </dsp:nvSpPr>
      <dsp:spPr>
        <a:xfrm rot="16200000">
          <a:off x="1073463" y="335119"/>
          <a:ext cx="514203" cy="6268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D1B66C9A-36AB-46E1-A53D-C259F84AAF5A}">
      <dsp:nvSpPr>
        <dsp:cNvPr id="0" name=""/>
        <dsp:cNvSpPr/>
      </dsp:nvSpPr>
      <dsp:spPr>
        <a:xfrm>
          <a:off x="1187184" y="522572"/>
          <a:ext cx="696491" cy="4178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Token Id</a:t>
          </a:r>
        </a:p>
      </dsp:txBody>
      <dsp:txXfrm>
        <a:off x="1199424" y="534812"/>
        <a:ext cx="672011" cy="393414"/>
      </dsp:txXfrm>
    </dsp:sp>
    <dsp:sp modelId="{23744879-FEE4-4BD4-A012-B06D99F9A18D}">
      <dsp:nvSpPr>
        <dsp:cNvPr id="0" name=""/>
        <dsp:cNvSpPr/>
      </dsp:nvSpPr>
      <dsp:spPr>
        <a:xfrm>
          <a:off x="1334647" y="73935"/>
          <a:ext cx="918168" cy="62684"/>
        </a:xfrm>
        <a:prstGeom prst="rect">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1D40767-724F-4F17-A513-6EFEE01FAF5F}">
      <dsp:nvSpPr>
        <dsp:cNvPr id="0" name=""/>
        <dsp:cNvSpPr/>
      </dsp:nvSpPr>
      <dsp:spPr>
        <a:xfrm>
          <a:off x="1187184" y="203"/>
          <a:ext cx="696491" cy="4178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Requesting the Receipt</a:t>
          </a:r>
        </a:p>
      </dsp:txBody>
      <dsp:txXfrm>
        <a:off x="1199424" y="12443"/>
        <a:ext cx="672011" cy="393414"/>
      </dsp:txXfrm>
    </dsp:sp>
    <dsp:sp modelId="{C087024D-567A-4E72-A4F4-38F5DF5A7BC2}">
      <dsp:nvSpPr>
        <dsp:cNvPr id="0" name=""/>
        <dsp:cNvSpPr/>
      </dsp:nvSpPr>
      <dsp:spPr>
        <a:xfrm>
          <a:off x="2113517" y="203"/>
          <a:ext cx="696491" cy="41789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NFT Class</a:t>
          </a:r>
        </a:p>
      </dsp:txBody>
      <dsp:txXfrm>
        <a:off x="2125757" y="12443"/>
        <a:ext cx="672011" cy="39341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FA05A0-85E9-41C4-B3E5-70B98D37485C}">
      <dsp:nvSpPr>
        <dsp:cNvPr id="0" name=""/>
        <dsp:cNvSpPr/>
      </dsp:nvSpPr>
      <dsp:spPr>
        <a:xfrm>
          <a:off x="533329" y="587"/>
          <a:ext cx="801746" cy="4810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Create a custom free schedule </a:t>
          </a:r>
        </a:p>
      </dsp:txBody>
      <dsp:txXfrm>
        <a:off x="547418" y="14676"/>
        <a:ext cx="773568" cy="452869"/>
      </dsp:txXfrm>
    </dsp:sp>
    <dsp:sp modelId="{F5680E31-9E10-4A5F-8E42-E45D87CEB155}">
      <dsp:nvSpPr>
        <dsp:cNvPr id="0" name=""/>
        <dsp:cNvSpPr/>
      </dsp:nvSpPr>
      <dsp:spPr>
        <a:xfrm>
          <a:off x="1405629" y="141695"/>
          <a:ext cx="169970" cy="1988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405629" y="181462"/>
        <a:ext cx="118979" cy="119299"/>
      </dsp:txXfrm>
    </dsp:sp>
    <dsp:sp modelId="{D67266DC-D1F9-47FA-98AF-B346EFF82609}">
      <dsp:nvSpPr>
        <dsp:cNvPr id="0" name=""/>
        <dsp:cNvSpPr/>
      </dsp:nvSpPr>
      <dsp:spPr>
        <a:xfrm>
          <a:off x="1655774" y="587"/>
          <a:ext cx="801746" cy="4810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configure a non-fungible token</a:t>
          </a:r>
        </a:p>
      </dsp:txBody>
      <dsp:txXfrm>
        <a:off x="1669863" y="14676"/>
        <a:ext cx="773568" cy="452869"/>
      </dsp:txXfrm>
    </dsp:sp>
    <dsp:sp modelId="{8DD20994-687C-4C15-AD12-1E10A72050FF}">
      <dsp:nvSpPr>
        <dsp:cNvPr id="0" name=""/>
        <dsp:cNvSpPr/>
      </dsp:nvSpPr>
      <dsp:spPr>
        <a:xfrm rot="5400000">
          <a:off x="1971662" y="537757"/>
          <a:ext cx="169970" cy="1988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5400000">
        <a:off x="1996998" y="552189"/>
        <a:ext cx="119299" cy="118979"/>
      </dsp:txXfrm>
    </dsp:sp>
    <dsp:sp modelId="{E98A7099-75DE-4935-836F-E539620831E9}">
      <dsp:nvSpPr>
        <dsp:cNvPr id="0" name=""/>
        <dsp:cNvSpPr/>
      </dsp:nvSpPr>
      <dsp:spPr>
        <a:xfrm>
          <a:off x="1655774" y="802334"/>
          <a:ext cx="801746" cy="4810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Mint and burn NFT's </a:t>
          </a:r>
        </a:p>
      </dsp:txBody>
      <dsp:txXfrm>
        <a:off x="1669863" y="816423"/>
        <a:ext cx="773568" cy="452869"/>
      </dsp:txXfrm>
    </dsp:sp>
    <dsp:sp modelId="{EDB30F91-68AF-40B1-9294-3F0C2690D09A}">
      <dsp:nvSpPr>
        <dsp:cNvPr id="0" name=""/>
        <dsp:cNvSpPr/>
      </dsp:nvSpPr>
      <dsp:spPr>
        <a:xfrm rot="10800000">
          <a:off x="1415250" y="943441"/>
          <a:ext cx="169970" cy="1988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1466241" y="983208"/>
        <a:ext cx="118979" cy="119299"/>
      </dsp:txXfrm>
    </dsp:sp>
    <dsp:sp modelId="{4FD1CE41-A5A3-4A40-81DE-EE027ED58B04}">
      <dsp:nvSpPr>
        <dsp:cNvPr id="0" name=""/>
        <dsp:cNvSpPr/>
      </dsp:nvSpPr>
      <dsp:spPr>
        <a:xfrm>
          <a:off x="533329" y="802334"/>
          <a:ext cx="801746" cy="4810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Associate and transfer NFT's</a:t>
          </a:r>
        </a:p>
      </dsp:txBody>
      <dsp:txXfrm>
        <a:off x="547418" y="816423"/>
        <a:ext cx="773568" cy="452869"/>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2011</TotalTime>
  <Pages>1</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Rajeshwaran Selvam</dc:creator>
  <cp:keywords/>
  <dc:description/>
  <cp:lastModifiedBy>Rajeshwaran Selvam</cp:lastModifiedBy>
  <cp:revision>92</cp:revision>
  <dcterms:created xsi:type="dcterms:W3CDTF">2022-02-01T16:53:00Z</dcterms:created>
  <dcterms:modified xsi:type="dcterms:W3CDTF">2022-04-06T07:05:00Z</dcterms:modified>
</cp:coreProperties>
</file>