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F83E7" w14:textId="77777777" w:rsidR="004C2609" w:rsidRDefault="004C2609">
      <w:pPr>
        <w:spacing w:after="260"/>
      </w:pPr>
    </w:p>
    <w:p w14:paraId="54541F64" w14:textId="77777777" w:rsidR="004C2609" w:rsidRDefault="00000000" w:rsidP="00F92317">
      <w:pPr>
        <w:spacing w:after="60" w:line="360" w:lineRule="auto"/>
        <w:jc w:val="center"/>
      </w:pPr>
      <w:r>
        <w:rPr>
          <w:noProof/>
        </w:rPr>
        <w:drawing>
          <wp:inline distT="0" distB="0" distL="0" distR="0" wp14:anchorId="4042E9FA" wp14:editId="6216EF83">
            <wp:extent cx="1428750" cy="381000"/>
            <wp:effectExtent l="0" t="0" r="0" b="0"/>
            <wp:docPr id="1" name="logo" descr="EduNeX" title="EduNe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51D83" w14:textId="2D9A356E" w:rsidR="004C2609" w:rsidRDefault="00000000" w:rsidP="00F92317">
      <w:pPr>
        <w:spacing w:after="560" w:line="360" w:lineRule="auto"/>
        <w:jc w:val="center"/>
      </w:pPr>
      <w:r>
        <w:rPr>
          <w:b/>
          <w:bCs/>
          <w:spacing w:val="12"/>
          <w:sz w:val="21"/>
          <w:szCs w:val="21"/>
        </w:rPr>
        <w:t xml:space="preserve">LESSON </w:t>
      </w:r>
      <w:r w:rsidR="00F92317">
        <w:rPr>
          <w:b/>
          <w:bCs/>
          <w:spacing w:val="12"/>
          <w:sz w:val="21"/>
          <w:szCs w:val="21"/>
        </w:rPr>
        <w:t>NOTE | DETAILED</w:t>
      </w:r>
      <w:r>
        <w:rPr>
          <w:b/>
          <w:bCs/>
          <w:spacing w:val="12"/>
          <w:sz w:val="21"/>
          <w:szCs w:val="21"/>
        </w:rPr>
        <w:t xml:space="preserve"> EXPLANATORY NOTES</w:t>
      </w:r>
    </w:p>
    <w:p w14:paraId="088A10CC" w14:textId="77777777" w:rsidR="004C2609" w:rsidRDefault="00000000" w:rsidP="00F92317">
      <w:pPr>
        <w:spacing w:after="60" w:line="360" w:lineRule="auto"/>
        <w:jc w:val="center"/>
      </w:pPr>
      <w:r>
        <w:rPr>
          <w:rFonts w:ascii="Times New Roman" w:eastAsia="Times New Roman" w:hAnsi="Times New Roman" w:cs="Times New Roman"/>
          <w:sz w:val="56"/>
          <w:szCs w:val="56"/>
        </w:rPr>
        <w:t>GENETICS &amp; MOLECULAR BIOLOGY</w:t>
      </w:r>
    </w:p>
    <w:p w14:paraId="33B30C4C" w14:textId="77777777" w:rsidR="004C2609" w:rsidRDefault="00000000" w:rsidP="00F92317">
      <w:pPr>
        <w:spacing w:after="520" w:line="360" w:lineRule="auto"/>
        <w:jc w:val="center"/>
      </w:pPr>
      <w:r>
        <w:rPr>
          <w:b/>
          <w:bCs/>
          <w:sz w:val="44"/>
          <w:szCs w:val="44"/>
        </w:rPr>
        <w:t>PUNNETT SQUARES &amp; MONOHYBRID CROSSES</w:t>
      </w:r>
    </w:p>
    <w:p w14:paraId="5DB8AB56" w14:textId="77777777" w:rsidR="008C4A0C" w:rsidRDefault="008C4A0C" w:rsidP="00F92317">
      <w:pPr>
        <w:spacing w:after="200" w:line="360" w:lineRule="auto"/>
        <w:jc w:val="center"/>
        <w:rPr>
          <w:sz w:val="28"/>
          <w:szCs w:val="28"/>
        </w:rPr>
      </w:pPr>
    </w:p>
    <w:p w14:paraId="0BFB5C06" w14:textId="77777777" w:rsidR="008C4A0C" w:rsidRDefault="008C4A0C" w:rsidP="00F92317">
      <w:pPr>
        <w:spacing w:after="200" w:line="360" w:lineRule="auto"/>
        <w:jc w:val="center"/>
        <w:rPr>
          <w:sz w:val="28"/>
          <w:szCs w:val="28"/>
        </w:rPr>
      </w:pPr>
    </w:p>
    <w:p w14:paraId="76EB7D33" w14:textId="3B2EC2FE" w:rsidR="004C2609" w:rsidRDefault="00000000" w:rsidP="00F92317">
      <w:pPr>
        <w:spacing w:after="200" w:line="360" w:lineRule="auto"/>
        <w:jc w:val="center"/>
      </w:pPr>
      <w:r>
        <w:rPr>
          <w:sz w:val="28"/>
          <w:szCs w:val="28"/>
        </w:rPr>
        <w:t xml:space="preserve">GRADE 12 </w:t>
      </w:r>
      <w:r w:rsidR="00F92317">
        <w:rPr>
          <w:sz w:val="28"/>
          <w:szCs w:val="28"/>
        </w:rPr>
        <w:t>- BIOLOGY</w:t>
      </w:r>
    </w:p>
    <w:p w14:paraId="432EF335" w14:textId="77777777" w:rsidR="004C2609" w:rsidRDefault="00000000" w:rsidP="00F92317">
      <w:pPr>
        <w:spacing w:after="60" w:line="360" w:lineRule="auto"/>
        <w:jc w:val="center"/>
      </w:pPr>
      <w:r>
        <w:rPr>
          <w:sz w:val="22"/>
          <w:szCs w:val="22"/>
        </w:rPr>
        <w:t>■   ■   ■</w:t>
      </w:r>
    </w:p>
    <w:p w14:paraId="7B34FE75" w14:textId="77777777" w:rsidR="004C2609" w:rsidRDefault="00000000" w:rsidP="00F92317">
      <w:pPr>
        <w:spacing w:line="360" w:lineRule="auto"/>
      </w:pPr>
      <w:r>
        <w:br w:type="page"/>
      </w:r>
    </w:p>
    <w:p w14:paraId="3B12D646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lastRenderedPageBreak/>
        <w:t>Predicting Inheritance</w:t>
      </w:r>
    </w:p>
    <w:p w14:paraId="5CB31A5D" w14:textId="31797C03" w:rsidR="004C2609" w:rsidRDefault="00000000">
      <w:pPr>
        <w:spacing w:after="200" w:line="276" w:lineRule="auto"/>
        <w:jc w:val="both"/>
      </w:pPr>
      <w:r>
        <w:t xml:space="preserve">Living things pass on features to their offspring through </w:t>
      </w:r>
      <w:r>
        <w:rPr>
          <w:b/>
          <w:bCs/>
        </w:rPr>
        <w:t>genes</w:t>
      </w:r>
      <w:r>
        <w:t xml:space="preserve">. A </w:t>
      </w:r>
      <w:r>
        <w:rPr>
          <w:b/>
          <w:bCs/>
        </w:rPr>
        <w:t>monohybrid cross</w:t>
      </w:r>
      <w:r>
        <w:t xml:space="preserve"> follows the inheritance of a </w:t>
      </w:r>
      <w:r>
        <w:rPr>
          <w:b/>
          <w:bCs/>
        </w:rPr>
        <w:t>single characteristic</w:t>
      </w:r>
      <w:r>
        <w:t xml:space="preserve"> </w:t>
      </w:r>
      <w:r w:rsidR="00F92317">
        <w:t>-</w:t>
      </w:r>
      <w:r>
        <w:t xml:space="preserve"> such as height in pea plants </w:t>
      </w:r>
      <w:r w:rsidR="00F92317">
        <w:t>-</w:t>
      </w:r>
      <w:r>
        <w:t xml:space="preserve"> controlled by one gene with two </w:t>
      </w:r>
      <w:r>
        <w:rPr>
          <w:b/>
          <w:bCs/>
        </w:rPr>
        <w:t>alleles</w:t>
      </w:r>
      <w:r>
        <w:t xml:space="preserve">. A </w:t>
      </w:r>
      <w:r>
        <w:rPr>
          <w:b/>
          <w:bCs/>
        </w:rPr>
        <w:t>Punnett square</w:t>
      </w:r>
      <w:r>
        <w:t xml:space="preserve"> is a simple grid that lets us </w:t>
      </w:r>
      <w:r>
        <w:rPr>
          <w:b/>
          <w:bCs/>
        </w:rPr>
        <w:t>predict the genotypes and phenotypes</w:t>
      </w:r>
      <w:r>
        <w:t xml:space="preserve"> of the offspring, and the </w:t>
      </w:r>
      <w:r>
        <w:rPr>
          <w:b/>
          <w:bCs/>
        </w:rPr>
        <w:t>ratios</w:t>
      </w:r>
      <w:r>
        <w:t xml:space="preserve"> in which they appear. These tools, first developed from </w:t>
      </w:r>
      <w:r>
        <w:rPr>
          <w:b/>
          <w:bCs/>
        </w:rPr>
        <w:t>Gregor Mendel's</w:t>
      </w:r>
      <w:r>
        <w:t xml:space="preserve"> experiments, are the foundation of genetics.</w:t>
      </w:r>
    </w:p>
    <w:p w14:paraId="5E0740F1" w14:textId="77777777" w:rsidR="004C2609" w:rsidRDefault="00000000">
      <w:pPr>
        <w:spacing w:after="200" w:line="276" w:lineRule="auto"/>
        <w:jc w:val="both"/>
      </w:pPr>
      <w:r>
        <w:t xml:space="preserve">This lesson explains the key genetic terms, how to set up and read a </w:t>
      </w:r>
      <w:r>
        <w:rPr>
          <w:b/>
          <w:bCs/>
        </w:rPr>
        <w:t>Punnett square</w:t>
      </w:r>
      <w:r>
        <w:t xml:space="preserve">, how a monohybrid cross gives the classic </w:t>
      </w:r>
      <w:r>
        <w:rPr>
          <w:b/>
          <w:bCs/>
        </w:rPr>
        <w:t>3:1 ratio</w:t>
      </w:r>
      <w:r>
        <w:t xml:space="preserve">, and how a </w:t>
      </w:r>
      <w:r>
        <w:rPr>
          <w:b/>
          <w:bCs/>
        </w:rPr>
        <w:t>test cross</w:t>
      </w:r>
      <w:r>
        <w:t xml:space="preserve"> can reveal a hidden genotype. It is a core skill in the Genetics &amp; Molecular Biology strand.</w:t>
      </w:r>
    </w:p>
    <w:p w14:paraId="5753519D" w14:textId="77777777" w:rsidR="004C2609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Why This Matters</w:t>
      </w:r>
    </w:p>
    <w:p w14:paraId="326EDBBD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Punnett squares let us </w:t>
      </w:r>
      <w:r>
        <w:rPr>
          <w:b/>
          <w:bCs/>
        </w:rPr>
        <w:t>predict</w:t>
      </w:r>
      <w:r>
        <w:t xml:space="preserve"> the results of a genetic cross.</w:t>
      </w:r>
    </w:p>
    <w:p w14:paraId="61F0A41F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explain </w:t>
      </w:r>
      <w:r>
        <w:rPr>
          <w:b/>
          <w:bCs/>
        </w:rPr>
        <w:t>Mendel's laws</w:t>
      </w:r>
      <w:r>
        <w:t xml:space="preserve"> and the classic 3:1 ratio.</w:t>
      </w:r>
    </w:p>
    <w:p w14:paraId="67D51785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They are used in </w:t>
      </w:r>
      <w:r>
        <w:rPr>
          <w:b/>
          <w:bCs/>
        </w:rPr>
        <w:t>plant and animal breeding</w:t>
      </w:r>
      <w:r>
        <w:t xml:space="preserve"> and </w:t>
      </w:r>
      <w:r>
        <w:rPr>
          <w:b/>
          <w:bCs/>
        </w:rPr>
        <w:t>genetic counselling</w:t>
      </w:r>
      <w:r>
        <w:t>.</w:t>
      </w:r>
    </w:p>
    <w:p w14:paraId="74F4367C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>They are the basis for understanding all inheritance patterns.</w:t>
      </w:r>
    </w:p>
    <w:p w14:paraId="57DB25D6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Punnett Squares &amp; Monohybrid Crosses</w:t>
      </w:r>
    </w:p>
    <w:p w14:paraId="0D476713" w14:textId="77777777" w:rsidR="004C2609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Key Learning Outcomes</w:t>
      </w:r>
    </w:p>
    <w:p w14:paraId="0749FFB3" w14:textId="77777777" w:rsidR="004C2609" w:rsidRDefault="00000000">
      <w:pPr>
        <w:spacing w:after="200" w:line="276" w:lineRule="auto"/>
        <w:jc w:val="both"/>
      </w:pPr>
      <w:r>
        <w:t>By the end of this lesson, students should be able to:</w:t>
      </w:r>
    </w:p>
    <w:p w14:paraId="3CE3278E" w14:textId="77777777" w:rsidR="004C260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Define </w:t>
      </w:r>
      <w:r>
        <w:rPr>
          <w:b/>
          <w:bCs/>
        </w:rPr>
        <w:t>gene, allele, genotype, phenotype, dominant</w:t>
      </w:r>
      <w:r>
        <w:t xml:space="preserve"> and </w:t>
      </w:r>
      <w:r>
        <w:rPr>
          <w:b/>
          <w:bCs/>
        </w:rPr>
        <w:t>recessive</w:t>
      </w:r>
      <w:r>
        <w:t>.</w:t>
      </w:r>
    </w:p>
    <w:p w14:paraId="71714EE5" w14:textId="77777777" w:rsidR="004C260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Distinguish </w:t>
      </w:r>
      <w:r>
        <w:rPr>
          <w:b/>
          <w:bCs/>
        </w:rPr>
        <w:t>homozygous</w:t>
      </w:r>
      <w:r>
        <w:t xml:space="preserve"> and </w:t>
      </w:r>
      <w:r>
        <w:rPr>
          <w:b/>
          <w:bCs/>
        </w:rPr>
        <w:t>heterozygous</w:t>
      </w:r>
      <w:r>
        <w:t xml:space="preserve"> genotypes.</w:t>
      </w:r>
    </w:p>
    <w:p w14:paraId="22EC9F01" w14:textId="77777777" w:rsidR="004C260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Set up and read a </w:t>
      </w:r>
      <w:r>
        <w:rPr>
          <w:b/>
          <w:bCs/>
        </w:rPr>
        <w:t>Punnett square</w:t>
      </w:r>
      <w:r>
        <w:t xml:space="preserve"> for a monohybrid cross.</w:t>
      </w:r>
    </w:p>
    <w:p w14:paraId="6A9CADEC" w14:textId="77777777" w:rsidR="004C260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Explain the </w:t>
      </w:r>
      <w:r>
        <w:rPr>
          <w:b/>
          <w:bCs/>
        </w:rPr>
        <w:t>P, F1 and F2</w:t>
      </w:r>
      <w:r>
        <w:t xml:space="preserve"> generations and the </w:t>
      </w:r>
      <w:r>
        <w:rPr>
          <w:b/>
          <w:bCs/>
        </w:rPr>
        <w:t>3:1 ratio</w:t>
      </w:r>
      <w:r>
        <w:t>.</w:t>
      </w:r>
    </w:p>
    <w:p w14:paraId="17C9184B" w14:textId="77777777" w:rsidR="004C2609" w:rsidRDefault="00000000">
      <w:pPr>
        <w:pStyle w:val="ListParagraph"/>
        <w:numPr>
          <w:ilvl w:val="0"/>
          <w:numId w:val="3"/>
        </w:numPr>
        <w:spacing w:after="130" w:line="276" w:lineRule="auto"/>
        <w:jc w:val="both"/>
      </w:pPr>
      <w:r>
        <w:t xml:space="preserve">Use a </w:t>
      </w:r>
      <w:r>
        <w:rPr>
          <w:b/>
          <w:bCs/>
        </w:rPr>
        <w:t>test cross</w:t>
      </w:r>
      <w:r>
        <w:t xml:space="preserve"> to find an unknown genotype.</w:t>
      </w:r>
    </w:p>
    <w:p w14:paraId="18B5BBC2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Key Genetic Terms</w:t>
      </w:r>
    </w:p>
    <w:p w14:paraId="0EF0B209" w14:textId="03598900" w:rsidR="004C2609" w:rsidRDefault="00000000">
      <w:pPr>
        <w:spacing w:after="200" w:line="276" w:lineRule="auto"/>
        <w:jc w:val="both"/>
      </w:pPr>
      <w:r>
        <w:t xml:space="preserve">Genetics has its own vocabulary, and using it correctly is essential. A </w:t>
      </w:r>
      <w:r>
        <w:rPr>
          <w:b/>
          <w:bCs/>
        </w:rPr>
        <w:t>gene</w:t>
      </w:r>
      <w:r>
        <w:t xml:space="preserve"> is a section of DNA that controls a characteristic; an </w:t>
      </w:r>
      <w:r>
        <w:rPr>
          <w:b/>
          <w:bCs/>
        </w:rPr>
        <w:t>allele</w:t>
      </w:r>
      <w:r>
        <w:t xml:space="preserve"> is one version of that gene (for example, </w:t>
      </w:r>
      <w:r>
        <w:rPr>
          <w:b/>
          <w:bCs/>
        </w:rPr>
        <w:t>T</w:t>
      </w:r>
      <w:r>
        <w:t xml:space="preserve"> for tall or </w:t>
      </w:r>
      <w:r>
        <w:rPr>
          <w:b/>
          <w:bCs/>
        </w:rPr>
        <w:t>t</w:t>
      </w:r>
      <w:r>
        <w:t xml:space="preserve"> for short). The </w:t>
      </w:r>
      <w:r>
        <w:rPr>
          <w:b/>
          <w:bCs/>
        </w:rPr>
        <w:t>genotype</w:t>
      </w:r>
      <w:r>
        <w:t xml:space="preserve"> is the combination of alleles an organism has (such as </w:t>
      </w:r>
      <w:r>
        <w:rPr>
          <w:b/>
          <w:bCs/>
        </w:rPr>
        <w:t>Tt</w:t>
      </w:r>
      <w:r>
        <w:t xml:space="preserve">), while the </w:t>
      </w:r>
      <w:r>
        <w:rPr>
          <w:b/>
          <w:bCs/>
        </w:rPr>
        <w:t>phenotype</w:t>
      </w:r>
      <w:r>
        <w:t xml:space="preserve"> is the characteristic we can see (such as </w:t>
      </w:r>
      <w:r>
        <w:rPr>
          <w:b/>
          <w:bCs/>
        </w:rPr>
        <w:t>tall</w:t>
      </w:r>
      <w:r>
        <w:t xml:space="preserve">). If the two alleles are the same the organism is </w:t>
      </w:r>
      <w:r>
        <w:rPr>
          <w:b/>
          <w:bCs/>
        </w:rPr>
        <w:t>homozygous</w:t>
      </w:r>
      <w:r>
        <w:t xml:space="preserve"> (TT or tt); if they are </w:t>
      </w:r>
      <w:r w:rsidR="00F92317">
        <w:t>different,</w:t>
      </w:r>
      <w:r>
        <w:t xml:space="preserve"> it is </w:t>
      </w:r>
      <w:r>
        <w:rPr>
          <w:b/>
          <w:bCs/>
        </w:rPr>
        <w:t>heterozygous</w:t>
      </w:r>
      <w:r>
        <w:t xml:space="preserve"> (Tt). A </w:t>
      </w:r>
      <w:r>
        <w:rPr>
          <w:b/>
          <w:bCs/>
        </w:rPr>
        <w:t>dominant</w:t>
      </w:r>
      <w:r>
        <w:t xml:space="preserve"> allele shows in the phenotype even when only one copy is present, while a </w:t>
      </w:r>
      <w:r>
        <w:rPr>
          <w:b/>
          <w:bCs/>
        </w:rPr>
        <w:t>recessive</w:t>
      </w:r>
      <w:r>
        <w:t xml:space="preserve"> allele shows only when two copies are present.</w:t>
      </w:r>
    </w:p>
    <w:p w14:paraId="42EAAB5B" w14:textId="7A82542B" w:rsidR="004C2609" w:rsidRDefault="008C4A0C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74E40063" wp14:editId="1FB60747">
            <wp:extent cx="5024835" cy="1728592"/>
            <wp:effectExtent l="0" t="0" r="4445" b="0"/>
            <wp:docPr id="1684995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995585" name="Picture 168499558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29" b="232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376" cy="1775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BCA2B7" w14:textId="464F1481" w:rsidR="004C2609" w:rsidRPr="00F92317" w:rsidRDefault="00000000">
      <w:pPr>
        <w:spacing w:before="60" w:after="220"/>
        <w:jc w:val="center"/>
      </w:pPr>
      <w:r w:rsidRPr="00F92317">
        <w:rPr>
          <w:color w:val="595959"/>
          <w:sz w:val="20"/>
          <w:szCs w:val="20"/>
        </w:rPr>
        <w:t xml:space="preserve">Figure 1: Key genetic terms </w:t>
      </w:r>
      <w:r w:rsidR="00F92317" w:rsidRPr="00F92317">
        <w:rPr>
          <w:color w:val="595959"/>
          <w:sz w:val="20"/>
          <w:szCs w:val="20"/>
        </w:rPr>
        <w:t>-</w:t>
      </w:r>
      <w:r w:rsidRPr="00F92317">
        <w:rPr>
          <w:color w:val="595959"/>
          <w:sz w:val="20"/>
          <w:szCs w:val="20"/>
        </w:rPr>
        <w:t xml:space="preserve"> genotype vs phenotype, and homozygous vs heterozygous.</w:t>
      </w:r>
    </w:p>
    <w:p w14:paraId="42BB2C75" w14:textId="77777777" w:rsidR="004C2609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>Terminologies and Concepts</w:t>
      </w:r>
    </w:p>
    <w:p w14:paraId="21A56683" w14:textId="77777777" w:rsidR="004C2609" w:rsidRDefault="00000000">
      <w:pPr>
        <w:spacing w:after="200" w:line="276" w:lineRule="auto"/>
        <w:jc w:val="both"/>
      </w:pPr>
      <w:r>
        <w:t>Useful terms for this topic:</w:t>
      </w:r>
    </w:p>
    <w:p w14:paraId="615A798B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Gene:</w:t>
      </w:r>
      <w:r>
        <w:t xml:space="preserve"> a length of DNA that codes for a characteristic.</w:t>
      </w:r>
    </w:p>
    <w:p w14:paraId="66F5AE0C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Allele:</w:t>
      </w:r>
      <w:r>
        <w:t xml:space="preserve"> one version of a gene (e.g. T or t).</w:t>
      </w:r>
    </w:p>
    <w:p w14:paraId="7A22F96B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Dominant / recessive:</w:t>
      </w:r>
      <w:r>
        <w:t xml:space="preserve"> an allele that shows with one copy / needs two copies.</w:t>
      </w:r>
    </w:p>
    <w:p w14:paraId="2AC76FC4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Genotype / phenotype:</w:t>
      </w:r>
      <w:r>
        <w:t xml:space="preserve"> the alleles present / the appearance.</w:t>
      </w:r>
    </w:p>
    <w:p w14:paraId="40176947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Homozygous / heterozygous:</w:t>
      </w:r>
      <w:r>
        <w:t xml:space="preserve"> two same alleles / two different alleles.</w:t>
      </w:r>
    </w:p>
    <w:p w14:paraId="5D2E8FAC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Monohybrid cross:</w:t>
      </w:r>
      <w:r>
        <w:t xml:space="preserve"> a cross following one characteristic.</w:t>
      </w:r>
    </w:p>
    <w:p w14:paraId="5E4AB33E" w14:textId="77777777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Punnett square:</w:t>
      </w:r>
      <w:r>
        <w:t xml:space="preserve"> a grid used to predict offspring genotypes.</w:t>
      </w:r>
    </w:p>
    <w:p w14:paraId="72CB31BB" w14:textId="4161543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 xml:space="preserve">The Monohybrid Cross </w:t>
      </w:r>
      <w:r w:rsidR="00F92317" w:rsidRPr="00F92317">
        <w:rPr>
          <w:b/>
          <w:bCs/>
          <w:color w:val="1F497D"/>
          <w:sz w:val="32"/>
          <w:szCs w:val="32"/>
        </w:rPr>
        <w:t>-</w:t>
      </w:r>
      <w:r w:rsidRPr="00F92317">
        <w:rPr>
          <w:b/>
          <w:bCs/>
          <w:color w:val="1F497D"/>
          <w:sz w:val="32"/>
          <w:szCs w:val="32"/>
        </w:rPr>
        <w:t xml:space="preserve"> P, F1 and F2</w:t>
      </w:r>
    </w:p>
    <w:p w14:paraId="783FB576" w14:textId="663AB7F4" w:rsidR="004C2609" w:rsidRDefault="00000000">
      <w:pPr>
        <w:spacing w:after="200" w:line="276" w:lineRule="auto"/>
        <w:jc w:val="both"/>
      </w:pPr>
      <w:r>
        <w:t xml:space="preserve">A monohybrid cross is followed over three generations. The </w:t>
      </w:r>
      <w:r>
        <w:rPr>
          <w:b/>
          <w:bCs/>
        </w:rPr>
        <w:t>parents (P)</w:t>
      </w:r>
      <w:r>
        <w:t xml:space="preserve"> are usually </w:t>
      </w:r>
      <w:r>
        <w:rPr>
          <w:b/>
          <w:bCs/>
        </w:rPr>
        <w:t>pure-breeding</w:t>
      </w:r>
      <w:r>
        <w:t xml:space="preserve"> (homozygous) </w:t>
      </w:r>
      <w:r w:rsidR="00F92317">
        <w:t>-</w:t>
      </w:r>
      <w:r>
        <w:t xml:space="preserve"> for example, a tall plant (</w:t>
      </w:r>
      <w:r>
        <w:rPr>
          <w:b/>
          <w:bCs/>
        </w:rPr>
        <w:t>TT</w:t>
      </w:r>
      <w:r>
        <w:t>) crossed with a short plant (</w:t>
      </w:r>
      <w:r>
        <w:rPr>
          <w:b/>
          <w:bCs/>
        </w:rPr>
        <w:t>tt</w:t>
      </w:r>
      <w:r>
        <w:t xml:space="preserve">). All their offspring, the </w:t>
      </w:r>
      <w:r>
        <w:rPr>
          <w:b/>
          <w:bCs/>
        </w:rPr>
        <w:t>first filial generation (F1)</w:t>
      </w:r>
      <w:r>
        <w:t xml:space="preserve">, are </w:t>
      </w:r>
      <w:r>
        <w:rPr>
          <w:b/>
          <w:bCs/>
        </w:rPr>
        <w:t>heterozygous (Tt)</w:t>
      </w:r>
      <w:r>
        <w:t xml:space="preserve"> and, because T is dominant, all appear </w:t>
      </w:r>
      <w:r>
        <w:rPr>
          <w:b/>
          <w:bCs/>
        </w:rPr>
        <w:t>tall</w:t>
      </w:r>
      <w:r>
        <w:t xml:space="preserve">. When two F1 plants are crossed, the </w:t>
      </w:r>
      <w:r>
        <w:rPr>
          <w:b/>
          <w:bCs/>
        </w:rPr>
        <w:t>second filial generation (F2)</w:t>
      </w:r>
      <w:r>
        <w:t xml:space="preserve"> appears in a </w:t>
      </w:r>
      <w:r>
        <w:rPr>
          <w:b/>
          <w:bCs/>
        </w:rPr>
        <w:t xml:space="preserve">3 </w:t>
      </w:r>
      <w:r w:rsidR="00F92317">
        <w:rPr>
          <w:b/>
          <w:bCs/>
        </w:rPr>
        <w:t>tall:</w:t>
      </w:r>
      <w:r>
        <w:rPr>
          <w:b/>
          <w:bCs/>
        </w:rPr>
        <w:t xml:space="preserve"> 1 short</w:t>
      </w:r>
      <w:r>
        <w:t xml:space="preserve"> ratio. This 3:1 ratio is the hallmark of a monohybrid cross between two heterozygotes, and it comes directly from how alleles combine.</w:t>
      </w:r>
    </w:p>
    <w:p w14:paraId="3F216AAD" w14:textId="00435283" w:rsidR="004C2609" w:rsidRDefault="008C4A0C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31C125A9" wp14:editId="7B55A55E">
            <wp:extent cx="3766138" cy="2204581"/>
            <wp:effectExtent l="0" t="0" r="0" b="5715"/>
            <wp:docPr id="469115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5583" name="Picture 469115583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2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9877" cy="22477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063D9A" w14:textId="7C6D1E87" w:rsidR="004C2609" w:rsidRPr="00F92317" w:rsidRDefault="00000000">
      <w:pPr>
        <w:spacing w:before="60" w:after="220"/>
        <w:jc w:val="center"/>
      </w:pPr>
      <w:r w:rsidRPr="00F92317">
        <w:rPr>
          <w:color w:val="595959"/>
          <w:sz w:val="20"/>
          <w:szCs w:val="20"/>
        </w:rPr>
        <w:t xml:space="preserve">Figure 2: A monohybrid cross </w:t>
      </w:r>
      <w:r w:rsidR="00F92317" w:rsidRPr="00F92317">
        <w:rPr>
          <w:color w:val="595959"/>
          <w:sz w:val="20"/>
          <w:szCs w:val="20"/>
        </w:rPr>
        <w:t>-</w:t>
      </w:r>
      <w:r w:rsidRPr="00F92317">
        <w:rPr>
          <w:color w:val="595959"/>
          <w:sz w:val="20"/>
          <w:szCs w:val="20"/>
        </w:rPr>
        <w:t xml:space="preserve"> pure-breeding parents give an all-tall F1, and the F2 shows a 3:1 ratio.</w:t>
      </w:r>
    </w:p>
    <w:p w14:paraId="0A75ECC1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How to Build a Punnett Square</w:t>
      </w:r>
    </w:p>
    <w:p w14:paraId="6908573E" w14:textId="2AE8BCD0" w:rsidR="004C2609" w:rsidRDefault="00000000">
      <w:pPr>
        <w:spacing w:after="200" w:line="276" w:lineRule="auto"/>
        <w:jc w:val="both"/>
      </w:pPr>
      <w:r>
        <w:t xml:space="preserve">A </w:t>
      </w:r>
      <w:r>
        <w:rPr>
          <w:b/>
          <w:bCs/>
        </w:rPr>
        <w:t>Punnett square</w:t>
      </w:r>
      <w:r>
        <w:t xml:space="preserve"> predicts the offspring of a cross in four simple steps. First, write the </w:t>
      </w:r>
      <w:r>
        <w:rPr>
          <w:b/>
          <w:bCs/>
        </w:rPr>
        <w:t>genotypes</w:t>
      </w:r>
      <w:r>
        <w:t xml:space="preserve"> of both parents (e.g. </w:t>
      </w:r>
      <w:r>
        <w:rPr>
          <w:b/>
          <w:bCs/>
        </w:rPr>
        <w:t>Tt × Tt</w:t>
      </w:r>
      <w:r>
        <w:t xml:space="preserve">). Second, work out the possible </w:t>
      </w:r>
      <w:r>
        <w:rPr>
          <w:b/>
          <w:bCs/>
        </w:rPr>
        <w:t>gametes</w:t>
      </w:r>
      <w:r>
        <w:t xml:space="preserve"> each parent can make </w:t>
      </w:r>
      <w:r w:rsidR="00F92317">
        <w:t>-</w:t>
      </w:r>
      <w:r>
        <w:t xml:space="preserve"> each gamete carries </w:t>
      </w:r>
      <w:r>
        <w:rPr>
          <w:b/>
          <w:bCs/>
        </w:rPr>
        <w:t>one allele</w:t>
      </w:r>
      <w:r>
        <w:t xml:space="preserve"> (T or t). Third, write one parent's gametes across the </w:t>
      </w:r>
      <w:r>
        <w:rPr>
          <w:b/>
          <w:bCs/>
        </w:rPr>
        <w:t>top</w:t>
      </w:r>
      <w:r>
        <w:t xml:space="preserve"> and the </w:t>
      </w:r>
      <w:r w:rsidR="00F92317">
        <w:t>others</w:t>
      </w:r>
      <w:r>
        <w:t xml:space="preserve"> down the </w:t>
      </w:r>
      <w:r>
        <w:rPr>
          <w:b/>
          <w:bCs/>
        </w:rPr>
        <w:t>side</w:t>
      </w:r>
      <w:r>
        <w:t xml:space="preserve"> of a 2×2 grid. Fourth, </w:t>
      </w:r>
      <w:r>
        <w:rPr>
          <w:b/>
          <w:bCs/>
        </w:rPr>
        <w:t>fill in each box</w:t>
      </w:r>
      <w:r>
        <w:t xml:space="preserve"> by combining the row and column alleles; the boxes show all the possible offspring genotypes and their proportions. For </w:t>
      </w:r>
      <w:r>
        <w:rPr>
          <w:b/>
          <w:bCs/>
        </w:rPr>
        <w:t>Tt × Tt</w:t>
      </w:r>
      <w:r>
        <w:t xml:space="preserve">, the result is </w:t>
      </w:r>
      <w:r>
        <w:rPr>
          <w:b/>
          <w:bCs/>
        </w:rPr>
        <w:t xml:space="preserve">1 </w:t>
      </w:r>
      <w:r w:rsidR="00F92317">
        <w:rPr>
          <w:b/>
          <w:bCs/>
        </w:rPr>
        <w:t>TT:</w:t>
      </w:r>
      <w:r>
        <w:rPr>
          <w:b/>
          <w:bCs/>
        </w:rPr>
        <w:t xml:space="preserve"> 2 </w:t>
      </w:r>
      <w:r w:rsidR="00F92317">
        <w:rPr>
          <w:b/>
          <w:bCs/>
        </w:rPr>
        <w:t>Tt:</w:t>
      </w:r>
      <w:r>
        <w:rPr>
          <w:b/>
          <w:bCs/>
        </w:rPr>
        <w:t xml:space="preserve"> 1 tt</w:t>
      </w:r>
      <w:r>
        <w:t xml:space="preserve"> genotypes, which gives a </w:t>
      </w:r>
      <w:r>
        <w:rPr>
          <w:b/>
          <w:bCs/>
        </w:rPr>
        <w:t xml:space="preserve">3 </w:t>
      </w:r>
      <w:r w:rsidR="00F92317">
        <w:rPr>
          <w:b/>
          <w:bCs/>
        </w:rPr>
        <w:t>tall:</w:t>
      </w:r>
      <w:r>
        <w:rPr>
          <w:b/>
          <w:bCs/>
        </w:rPr>
        <w:t xml:space="preserve"> 1 short</w:t>
      </w:r>
      <w:r>
        <w:t xml:space="preserve"> phenotype ratio.</w:t>
      </w:r>
    </w:p>
    <w:p w14:paraId="0007D6B0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The Test Cross</w:t>
      </w:r>
    </w:p>
    <w:p w14:paraId="47C3D42F" w14:textId="4860051C" w:rsidR="004C2609" w:rsidRDefault="00000000">
      <w:pPr>
        <w:spacing w:after="200" w:line="276" w:lineRule="auto"/>
        <w:jc w:val="both"/>
      </w:pPr>
      <w:r>
        <w:t xml:space="preserve">A tall plant could be either </w:t>
      </w:r>
      <w:r>
        <w:rPr>
          <w:b/>
          <w:bCs/>
        </w:rPr>
        <w:t>TT</w:t>
      </w:r>
      <w:r>
        <w:t xml:space="preserve"> or </w:t>
      </w:r>
      <w:r>
        <w:rPr>
          <w:b/>
          <w:bCs/>
        </w:rPr>
        <w:t>Tt</w:t>
      </w:r>
      <w:r>
        <w:t xml:space="preserve"> </w:t>
      </w:r>
      <w:r w:rsidR="00F92317">
        <w:t>-</w:t>
      </w:r>
      <w:r>
        <w:t xml:space="preserve"> we cannot tell just by looking, because both are tall. A </w:t>
      </w:r>
      <w:r>
        <w:rPr>
          <w:b/>
          <w:bCs/>
        </w:rPr>
        <w:t>test cross</w:t>
      </w:r>
      <w:r>
        <w:t xml:space="preserve"> solves this by crossing the unknown tall plant with a </w:t>
      </w:r>
      <w:r>
        <w:rPr>
          <w:b/>
          <w:bCs/>
        </w:rPr>
        <w:t>homozygous recessive</w:t>
      </w:r>
      <w:r>
        <w:t xml:space="preserve"> (short, </w:t>
      </w:r>
      <w:r>
        <w:rPr>
          <w:b/>
          <w:bCs/>
        </w:rPr>
        <w:t>tt</w:t>
      </w:r>
      <w:r>
        <w:t xml:space="preserve">) plant. If the tall plant is </w:t>
      </w:r>
      <w:r>
        <w:rPr>
          <w:b/>
          <w:bCs/>
        </w:rPr>
        <w:t>TT</w:t>
      </w:r>
      <w:r>
        <w:t xml:space="preserve">, </w:t>
      </w:r>
      <w:r>
        <w:rPr>
          <w:b/>
          <w:bCs/>
        </w:rPr>
        <w:t>all</w:t>
      </w:r>
      <w:r>
        <w:t xml:space="preserve"> the offspring are tall. But if it is </w:t>
      </w:r>
      <w:r>
        <w:rPr>
          <w:b/>
          <w:bCs/>
        </w:rPr>
        <w:t>Tt</w:t>
      </w:r>
      <w:r>
        <w:t xml:space="preserve">, then about </w:t>
      </w:r>
      <w:r>
        <w:rPr>
          <w:b/>
          <w:bCs/>
        </w:rPr>
        <w:t>half</w:t>
      </w:r>
      <w:r>
        <w:t xml:space="preserve"> the offspring are tall and </w:t>
      </w:r>
      <w:r>
        <w:rPr>
          <w:b/>
          <w:bCs/>
        </w:rPr>
        <w:t>half</w:t>
      </w:r>
      <w:r>
        <w:t xml:space="preserve"> are short. The appearance of any short offspring reveals that the tall parent must be </w:t>
      </w:r>
      <w:r>
        <w:rPr>
          <w:b/>
          <w:bCs/>
        </w:rPr>
        <w:t>heterozygous (Tt)</w:t>
      </w:r>
      <w:r>
        <w:t>. The test cross is a powerful tool used in breeding to identify hidden genotypes.</w:t>
      </w:r>
    </w:p>
    <w:p w14:paraId="3EAFFC65" w14:textId="19AA0A9B" w:rsidR="004C2609" w:rsidRDefault="004F4DDB">
      <w:pPr>
        <w:spacing w:before="140" w:after="40"/>
        <w:jc w:val="center"/>
      </w:pPr>
      <w:r>
        <w:rPr>
          <w:noProof/>
        </w:rPr>
        <w:lastRenderedPageBreak/>
        <w:drawing>
          <wp:inline distT="0" distB="0" distL="0" distR="0" wp14:anchorId="2B658D8A" wp14:editId="70B8EE29">
            <wp:extent cx="3999206" cy="2401582"/>
            <wp:effectExtent l="0" t="0" r="1905" b="0"/>
            <wp:docPr id="1805683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5683043" name="Picture 1805683043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0374" cy="244431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07296B2" w14:textId="6ABC8684" w:rsidR="004C2609" w:rsidRPr="00F92317" w:rsidRDefault="00000000">
      <w:pPr>
        <w:spacing w:before="60" w:after="220"/>
        <w:jc w:val="center"/>
      </w:pPr>
      <w:r w:rsidRPr="00F92317">
        <w:rPr>
          <w:color w:val="595959"/>
          <w:sz w:val="20"/>
          <w:szCs w:val="20"/>
        </w:rPr>
        <w:t xml:space="preserve">Figure 3: A test cross </w:t>
      </w:r>
      <w:r w:rsidR="00F92317">
        <w:rPr>
          <w:color w:val="595959"/>
          <w:sz w:val="20"/>
          <w:szCs w:val="20"/>
        </w:rPr>
        <w:t>-</w:t>
      </w:r>
      <w:r w:rsidRPr="00F92317">
        <w:rPr>
          <w:color w:val="595959"/>
          <w:sz w:val="20"/>
          <w:szCs w:val="20"/>
        </w:rPr>
        <w:t xml:space="preserve"> crossing with a short (tt) plant reveals whether the tall parent is TT or Tt.</w:t>
      </w:r>
    </w:p>
    <w:p w14:paraId="470BE2A3" w14:textId="4A767003" w:rsidR="004C2609" w:rsidRDefault="00000000">
      <w:pPr>
        <w:keepNext/>
        <w:spacing w:before="280" w:after="130"/>
      </w:pPr>
      <w:r>
        <w:rPr>
          <w:b/>
          <w:bCs/>
          <w:color w:val="1F497D"/>
          <w:sz w:val="32"/>
          <w:szCs w:val="32"/>
        </w:rPr>
        <w:t xml:space="preserve">Worked Example </w:t>
      </w:r>
      <w:r w:rsidR="00F92317">
        <w:rPr>
          <w:b/>
          <w:bCs/>
          <w:color w:val="1F497D"/>
          <w:sz w:val="32"/>
          <w:szCs w:val="32"/>
        </w:rPr>
        <w:t>-</w:t>
      </w:r>
      <w:r>
        <w:rPr>
          <w:b/>
          <w:bCs/>
          <w:color w:val="1F497D"/>
          <w:sz w:val="32"/>
          <w:szCs w:val="32"/>
        </w:rPr>
        <w:t xml:space="preserve"> A Monohybrid Cross</w:t>
      </w:r>
    </w:p>
    <w:p w14:paraId="2E0254FE" w14:textId="77777777" w:rsidR="004C2609" w:rsidRDefault="00000000">
      <w:pPr>
        <w:spacing w:after="200" w:line="276" w:lineRule="auto"/>
        <w:jc w:val="both"/>
      </w:pPr>
      <w:r>
        <w:t>Cross two heterozygous tall pea plants (</w:t>
      </w:r>
      <w:r>
        <w:rPr>
          <w:b/>
          <w:bCs/>
        </w:rPr>
        <w:t>Tt × Tt</w:t>
      </w:r>
      <w:r>
        <w:t>). The gametes are T and t from each parent. Filling in the Punnett square gives:</w:t>
      </w:r>
    </w:p>
    <w:p w14:paraId="2A83680B" w14:textId="22391D4A" w:rsidR="004C2609" w:rsidRDefault="00000000">
      <w:pPr>
        <w:spacing w:before="90" w:after="180"/>
        <w:jc w:val="center"/>
      </w:pPr>
      <w:r>
        <w:rPr>
          <w:b/>
          <w:bCs/>
          <w:color w:val="1F497D"/>
          <w:sz w:val="30"/>
          <w:szCs w:val="30"/>
        </w:rPr>
        <w:t xml:space="preserve">Tt × </w:t>
      </w:r>
      <w:r w:rsidR="00F92317">
        <w:rPr>
          <w:b/>
          <w:bCs/>
          <w:color w:val="1F497D"/>
          <w:sz w:val="30"/>
          <w:szCs w:val="30"/>
        </w:rPr>
        <w:t>Tt → 1</w:t>
      </w:r>
      <w:r>
        <w:rPr>
          <w:b/>
          <w:bCs/>
          <w:color w:val="1F497D"/>
          <w:sz w:val="30"/>
          <w:szCs w:val="30"/>
        </w:rPr>
        <w:t xml:space="preserve"> </w:t>
      </w:r>
      <w:r w:rsidR="00F92317">
        <w:rPr>
          <w:b/>
          <w:bCs/>
          <w:color w:val="1F497D"/>
          <w:sz w:val="30"/>
          <w:szCs w:val="30"/>
        </w:rPr>
        <w:t>TT:</w:t>
      </w:r>
      <w:r>
        <w:rPr>
          <w:b/>
          <w:bCs/>
          <w:color w:val="1F497D"/>
          <w:sz w:val="30"/>
          <w:szCs w:val="30"/>
        </w:rPr>
        <w:t xml:space="preserve"> 2 </w:t>
      </w:r>
      <w:r w:rsidR="00F92317">
        <w:rPr>
          <w:b/>
          <w:bCs/>
          <w:color w:val="1F497D"/>
          <w:sz w:val="30"/>
          <w:szCs w:val="30"/>
        </w:rPr>
        <w:t>Tt:</w:t>
      </w:r>
      <w:r>
        <w:rPr>
          <w:b/>
          <w:bCs/>
          <w:color w:val="1F497D"/>
          <w:sz w:val="30"/>
          <w:szCs w:val="30"/>
        </w:rPr>
        <w:t xml:space="preserve"> 1 tt   →   3 </w:t>
      </w:r>
      <w:r w:rsidR="00F92317">
        <w:rPr>
          <w:b/>
          <w:bCs/>
          <w:color w:val="1F497D"/>
          <w:sz w:val="30"/>
          <w:szCs w:val="30"/>
        </w:rPr>
        <w:t>tall:</w:t>
      </w:r>
      <w:r>
        <w:rPr>
          <w:b/>
          <w:bCs/>
          <w:color w:val="1F497D"/>
          <w:sz w:val="30"/>
          <w:szCs w:val="30"/>
        </w:rPr>
        <w:t xml:space="preserve"> 1 short</w:t>
      </w:r>
    </w:p>
    <w:p w14:paraId="0E3B4AB0" w14:textId="5D599A83" w:rsidR="004C2609" w:rsidRDefault="00F92317">
      <w:pPr>
        <w:spacing w:after="200" w:line="276" w:lineRule="auto"/>
        <w:jc w:val="both"/>
      </w:pPr>
      <w:r>
        <w:t xml:space="preserve">So, three-quarters of the offspring are expected to be </w:t>
      </w:r>
      <w:r>
        <w:rPr>
          <w:b/>
          <w:bCs/>
        </w:rPr>
        <w:t>tall</w:t>
      </w:r>
      <w:r>
        <w:t xml:space="preserve"> and one-quarter </w:t>
      </w:r>
      <w:r>
        <w:rPr>
          <w:b/>
          <w:bCs/>
        </w:rPr>
        <w:t>short</w:t>
      </w:r>
      <w:r>
        <w:t xml:space="preserve">. These are </w:t>
      </w:r>
      <w:r>
        <w:rPr>
          <w:b/>
          <w:bCs/>
        </w:rPr>
        <w:t>probabilities</w:t>
      </w:r>
      <w:r>
        <w:t>, not guarantees - in a real cross the numbers will be close to, but not exactly, 3:1, and the more offspring there are, the closer the result gets to the predicted ratio.</w:t>
      </w:r>
    </w:p>
    <w:p w14:paraId="13ACE981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Why This Matters</w:t>
      </w:r>
    </w:p>
    <w:p w14:paraId="6B86A9BD" w14:textId="62AB10AC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Prediction</w:t>
      </w:r>
      <w:r>
        <w:t xml:space="preserve"> </w:t>
      </w:r>
      <w:r w:rsidR="00F92317">
        <w:t>-</w:t>
      </w:r>
      <w:r>
        <w:t xml:space="preserve"> Punnett squares forecast the outcomes of crosses.</w:t>
      </w:r>
    </w:p>
    <w:p w14:paraId="282ABA7D" w14:textId="699BD3D2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Breeding</w:t>
      </w:r>
      <w:r>
        <w:t xml:space="preserve"> </w:t>
      </w:r>
      <w:r w:rsidR="00F92317">
        <w:t>-</w:t>
      </w:r>
      <w:r>
        <w:t xml:space="preserve"> farmers use them to select for useful traits in crops and livestock.</w:t>
      </w:r>
    </w:p>
    <w:p w14:paraId="0A410696" w14:textId="71D8F443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Health</w:t>
      </w:r>
      <w:r>
        <w:t xml:space="preserve"> </w:t>
      </w:r>
      <w:r w:rsidR="00F92317">
        <w:t>-</w:t>
      </w:r>
      <w:r>
        <w:t xml:space="preserve"> they help predict the chance of inherited conditions in families.</w:t>
      </w:r>
    </w:p>
    <w:p w14:paraId="7BA64C4E" w14:textId="75A68836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rPr>
          <w:b/>
          <w:bCs/>
        </w:rPr>
        <w:t>Foundation</w:t>
      </w:r>
      <w:r>
        <w:t xml:space="preserve"> </w:t>
      </w:r>
      <w:r w:rsidR="00F92317">
        <w:t>-</w:t>
      </w:r>
      <w:r>
        <w:t xml:space="preserve"> they underpin all further genetics, including non-Mendelian patterns.</w:t>
      </w:r>
    </w:p>
    <w:p w14:paraId="35CA45CC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t>PNG Context Example</w:t>
      </w:r>
    </w:p>
    <w:p w14:paraId="2BE46785" w14:textId="36B56EA6" w:rsidR="004C2609" w:rsidRDefault="00000000">
      <w:pPr>
        <w:spacing w:after="200" w:line="276" w:lineRule="auto"/>
        <w:jc w:val="both"/>
      </w:pPr>
      <w:r>
        <w:t xml:space="preserve">Monohybrid crosses and Punnett squares are directly useful in </w:t>
      </w:r>
      <w:r>
        <w:rPr>
          <w:b/>
          <w:bCs/>
        </w:rPr>
        <w:t>Papua New Guinea's</w:t>
      </w:r>
      <w:r>
        <w:t xml:space="preserve"> farming. Breeders of </w:t>
      </w:r>
      <w:r>
        <w:rPr>
          <w:b/>
          <w:bCs/>
        </w:rPr>
        <w:t>kaukau (sweet potato), taro, coffee, cocoa</w:t>
      </w:r>
      <w:r>
        <w:t xml:space="preserve"> and </w:t>
      </w:r>
      <w:r>
        <w:rPr>
          <w:b/>
          <w:bCs/>
        </w:rPr>
        <w:t>livestock</w:t>
      </w:r>
      <w:r>
        <w:t xml:space="preserve"> use these ideas to select for traits like </w:t>
      </w:r>
      <w:r>
        <w:rPr>
          <w:b/>
          <w:bCs/>
        </w:rPr>
        <w:t>disease resistance, higher yield</w:t>
      </w:r>
      <w:r>
        <w:t xml:space="preserve"> or </w:t>
      </w:r>
      <w:r>
        <w:rPr>
          <w:b/>
          <w:bCs/>
        </w:rPr>
        <w:t>better quality</w:t>
      </w:r>
      <w:r>
        <w:t xml:space="preserve">, crossing chosen parents and predicting the offspring. The same reasoning applies to </w:t>
      </w:r>
      <w:r>
        <w:rPr>
          <w:b/>
          <w:bCs/>
        </w:rPr>
        <w:t>human traits</w:t>
      </w:r>
      <w:r>
        <w:t xml:space="preserve"> </w:t>
      </w:r>
      <w:r w:rsidR="00F92317">
        <w:t>-</w:t>
      </w:r>
      <w:r>
        <w:t xml:space="preserve"> predicting the chance that children inherit a condition </w:t>
      </w:r>
      <w:r w:rsidR="00F92317">
        <w:t>-</w:t>
      </w:r>
      <w:r>
        <w:t xml:space="preserve"> which supports basic </w:t>
      </w:r>
      <w:r>
        <w:rPr>
          <w:b/>
          <w:bCs/>
        </w:rPr>
        <w:t>genetic awareness</w:t>
      </w:r>
      <w:r>
        <w:t xml:space="preserve"> in health care. Learning to build and read Punnett squares gives PNG students a practical tool for both </w:t>
      </w:r>
      <w:r>
        <w:rPr>
          <w:b/>
          <w:bCs/>
        </w:rPr>
        <w:t>agriculture</w:t>
      </w:r>
      <w:r>
        <w:t xml:space="preserve"> and </w:t>
      </w:r>
      <w:r>
        <w:rPr>
          <w:b/>
          <w:bCs/>
        </w:rPr>
        <w:t>health</w:t>
      </w:r>
      <w:r>
        <w:t>.</w:t>
      </w:r>
    </w:p>
    <w:p w14:paraId="74642CEF" w14:textId="77777777" w:rsidR="004C2609" w:rsidRPr="00F92317" w:rsidRDefault="00000000">
      <w:pPr>
        <w:keepNext/>
        <w:spacing w:before="300" w:after="140"/>
        <w:rPr>
          <w:sz w:val="20"/>
          <w:szCs w:val="20"/>
        </w:rPr>
      </w:pPr>
      <w:r w:rsidRPr="00F92317">
        <w:rPr>
          <w:b/>
          <w:bCs/>
          <w:color w:val="1F497D"/>
          <w:sz w:val="32"/>
          <w:szCs w:val="32"/>
        </w:rPr>
        <w:lastRenderedPageBreak/>
        <w:t>References &amp; Related Documents</w:t>
      </w:r>
    </w:p>
    <w:p w14:paraId="421CC1F0" w14:textId="77777777" w:rsidR="004C2609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Source Documents</w:t>
      </w:r>
    </w:p>
    <w:p w14:paraId="6448EA6E" w14:textId="0A6B28D9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Biology Standards-Based Syllabus, Grades 11 &amp; 12 (PNG SBC 2020) </w:t>
      </w:r>
      <w:r w:rsidR="00F92317">
        <w:t>-</w:t>
      </w:r>
      <w:r>
        <w:t xml:space="preserve"> Strand: Genetics &amp; Molecular Biology; investigate Mendelian inheritance using monohybrid crosses and Punnett squares.</w:t>
      </w:r>
    </w:p>
    <w:p w14:paraId="5C565A6C" w14:textId="560CEB03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STEM Biology Syllabus </w:t>
      </w:r>
      <w:r w:rsidR="00F92317">
        <w:t>-</w:t>
      </w:r>
      <w:r>
        <w:t xml:space="preserve"> Grade 12. Thema: Genetics; Module: Patterns of Inheritance. Department of Education, PNG.</w:t>
      </w:r>
    </w:p>
    <w:p w14:paraId="77D7C09D" w14:textId="77777777" w:rsidR="004C2609" w:rsidRDefault="00000000">
      <w:pPr>
        <w:keepNext/>
        <w:spacing w:before="220" w:after="90"/>
      </w:pPr>
      <w:r>
        <w:rPr>
          <w:b/>
          <w:bCs/>
          <w:color w:val="1F497D"/>
          <w:sz w:val="28"/>
          <w:szCs w:val="28"/>
        </w:rPr>
        <w:t>Further Reading &amp; References</w:t>
      </w:r>
    </w:p>
    <w:p w14:paraId="2B055001" w14:textId="5A68D32B" w:rsidR="004C2609" w:rsidRDefault="00000000">
      <w:pPr>
        <w:pStyle w:val="ListParagraph"/>
        <w:numPr>
          <w:ilvl w:val="0"/>
          <w:numId w:val="2"/>
        </w:numPr>
        <w:spacing w:after="120" w:line="276" w:lineRule="auto"/>
        <w:jc w:val="both"/>
      </w:pPr>
      <w:r>
        <w:t xml:space="preserve">OpenStax Biology </w:t>
      </w:r>
      <w:r w:rsidR="00F92317">
        <w:t>-</w:t>
      </w:r>
      <w:r>
        <w:t xml:space="preserve"> </w:t>
      </w:r>
      <w:r>
        <w:rPr>
          <w:i/>
          <w:iCs/>
        </w:rPr>
        <w:t>Mendel's Experiments; Laws of Inheritance; The Punnett Square.</w:t>
      </w:r>
      <w:r>
        <w:t xml:space="preserve"> https://openstax.org/books/biology</w:t>
      </w:r>
    </w:p>
    <w:p w14:paraId="05DB11B4" w14:textId="1FE955E8" w:rsidR="004C2609" w:rsidRDefault="00000000" w:rsidP="00F92317">
      <w:pPr>
        <w:pStyle w:val="ListParagraph"/>
        <w:numPr>
          <w:ilvl w:val="0"/>
          <w:numId w:val="2"/>
        </w:numPr>
        <w:spacing w:after="120" w:line="276" w:lineRule="auto"/>
      </w:pPr>
      <w:r>
        <w:t xml:space="preserve">Khan Academy </w:t>
      </w:r>
      <w:r w:rsidR="00F92317">
        <w:t>-</w:t>
      </w:r>
      <w:r>
        <w:t xml:space="preserve"> </w:t>
      </w:r>
      <w:r>
        <w:rPr>
          <w:i/>
          <w:iCs/>
        </w:rPr>
        <w:t>Introduction to heredity; Punnett squares.</w:t>
      </w:r>
      <w:r>
        <w:t xml:space="preserve"> https://www.khanacademy.org/science/biology/classical-genetics</w:t>
      </w:r>
    </w:p>
    <w:sectPr w:rsidR="004C2609" w:rsidSect="00F92317">
      <w:headerReference w:type="default" r:id="rId11"/>
      <w:footerReference w:type="default" r:id="rId12"/>
      <w:footerReference w:type="first" r:id="rId13"/>
      <w:pgSz w:w="12240" w:h="15840"/>
      <w:pgMar w:top="1440" w:right="1080" w:bottom="1440" w:left="1080" w:header="708" w:footer="70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8257C" w14:textId="77777777" w:rsidR="00821C15" w:rsidRDefault="00821C15">
      <w:r>
        <w:separator/>
      </w:r>
    </w:p>
  </w:endnote>
  <w:endnote w:type="continuationSeparator" w:id="0">
    <w:p w14:paraId="190CE67A" w14:textId="77777777" w:rsidR="00821C15" w:rsidRDefault="00821C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ACEA2" w14:textId="77777777" w:rsidR="004C2609" w:rsidRDefault="00000000" w:rsidP="00F92317">
    <w:pPr>
      <w:tabs>
        <w:tab w:val="right" w:pos="9990"/>
      </w:tabs>
    </w:pPr>
    <w:r>
      <w:rPr>
        <w:rFonts w:ascii="Times New Roman" w:eastAsia="Times New Roman" w:hAnsi="Times New Roman" w:cs="Times New Roman"/>
        <w:sz w:val="20"/>
        <w:szCs w:val="20"/>
      </w:rPr>
      <w:t>© EduNeX Initiative</w:t>
    </w:r>
    <w:r>
      <w:rPr>
        <w:rFonts w:ascii="Times New Roman" w:eastAsia="Times New Roman" w:hAnsi="Times New Roman" w:cs="Times New Roman"/>
        <w:sz w:val="20"/>
        <w:szCs w:val="20"/>
      </w:rPr>
      <w:tab/>
    </w:r>
    <w:r>
      <w:rPr>
        <w:rFonts w:ascii="Times New Roman" w:eastAsia="Times New Roman" w:hAnsi="Times New Roman" w:cs="Times New Roman"/>
        <w:sz w:val="20"/>
        <w:szCs w:val="20"/>
      </w:rPr>
      <w:fldChar w:fldCharType="begin"/>
    </w:r>
    <w:r>
      <w:rPr>
        <w:rFonts w:ascii="Times New Roman" w:eastAsia="Times New Roman" w:hAnsi="Times New Roman" w:cs="Times New Roman"/>
        <w:sz w:val="20"/>
        <w:szCs w:val="20"/>
      </w:rPr>
      <w:instrText>PAGE</w:instrText>
    </w:r>
    <w:r>
      <w:rPr>
        <w:rFonts w:ascii="Times New Roman" w:eastAsia="Times New Roman" w:hAnsi="Times New Roman" w:cs="Times New Roman"/>
        <w:sz w:val="20"/>
        <w:szCs w:val="20"/>
      </w:rPr>
      <w:fldChar w:fldCharType="separate"/>
    </w:r>
    <w:r w:rsidR="00F92317">
      <w:rPr>
        <w:rFonts w:ascii="Times New Roman" w:eastAsia="Times New Roman" w:hAnsi="Times New Roman" w:cs="Times New Roman"/>
        <w:noProof/>
        <w:sz w:val="20"/>
        <w:szCs w:val="20"/>
      </w:rPr>
      <w:t>2</w:t>
    </w:r>
    <w:r>
      <w:rPr>
        <w:rFonts w:ascii="Times New Roman" w:eastAsia="Times New Roman" w:hAnsi="Times New Roman" w:cs="Times New Roman"/>
        <w:sz w:val="20"/>
        <w:szCs w:val="2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3DC53F" w14:textId="77777777" w:rsidR="004C260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© National Department of Education (NDoE), Papua New Guinea –</w:t>
    </w:r>
  </w:p>
  <w:p w14:paraId="6EC4CA7D" w14:textId="77777777" w:rsidR="004C2609" w:rsidRDefault="00000000">
    <w:pPr>
      <w:jc w:val="center"/>
    </w:pPr>
    <w:r>
      <w:rPr>
        <w:rFonts w:ascii="Times New Roman" w:eastAsia="Times New Roman" w:hAnsi="Times New Roman" w:cs="Times New Roman"/>
        <w:i/>
        <w:iCs/>
        <w:sz w:val="20"/>
        <w:szCs w:val="20"/>
      </w:rPr>
      <w:t>EduNeX Digital Learning Initiative.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27FB04" w14:textId="77777777" w:rsidR="00821C15" w:rsidRDefault="00821C15">
      <w:r>
        <w:separator/>
      </w:r>
    </w:p>
  </w:footnote>
  <w:footnote w:type="continuationSeparator" w:id="0">
    <w:p w14:paraId="23C52622" w14:textId="77777777" w:rsidR="00821C15" w:rsidRDefault="00821C1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8976E" w14:textId="77777777" w:rsidR="004C2609" w:rsidRDefault="00000000" w:rsidP="00F92317">
    <w:pPr>
      <w:tabs>
        <w:tab w:val="right" w:pos="9990"/>
      </w:tabs>
      <w:spacing w:after="200"/>
    </w:pPr>
    <w:r>
      <w:rPr>
        <w:noProof/>
      </w:rPr>
      <w:drawing>
        <wp:inline distT="0" distB="0" distL="0" distR="0" wp14:anchorId="276CC799" wp14:editId="133208AF">
          <wp:extent cx="876300" cy="238125"/>
          <wp:effectExtent l="0" t="0" r="0" b="0"/>
          <wp:docPr id="136866110" name="logo" descr="EduNeX" title="EduNeX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238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Times New Roman" w:eastAsia="Times New Roman" w:hAnsi="Times New Roman" w:cs="Times New Roman"/>
        <w:b/>
        <w:bCs/>
        <w:sz w:val="19"/>
        <w:szCs w:val="19"/>
      </w:rPr>
      <w:tab/>
      <w:t>Grade 12 | Biology | Punnett Squares &amp; Monohybrid Crosses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C43E0C"/>
    <w:multiLevelType w:val="hybridMultilevel"/>
    <w:tmpl w:val="19D678BC"/>
    <w:lvl w:ilvl="0" w:tplc="3C2836BC">
      <w:start w:val="1"/>
      <w:numFmt w:val="bullet"/>
      <w:lvlText w:val="•"/>
      <w:lvlJc w:val="left"/>
      <w:pPr>
        <w:ind w:left="720" w:hanging="300"/>
      </w:pPr>
    </w:lvl>
    <w:lvl w:ilvl="1" w:tplc="5BEE48A4">
      <w:numFmt w:val="decimal"/>
      <w:lvlText w:val=""/>
      <w:lvlJc w:val="left"/>
    </w:lvl>
    <w:lvl w:ilvl="2" w:tplc="45E6FB9E">
      <w:numFmt w:val="decimal"/>
      <w:lvlText w:val=""/>
      <w:lvlJc w:val="left"/>
    </w:lvl>
    <w:lvl w:ilvl="3" w:tplc="602258A4">
      <w:numFmt w:val="decimal"/>
      <w:lvlText w:val=""/>
      <w:lvlJc w:val="left"/>
    </w:lvl>
    <w:lvl w:ilvl="4" w:tplc="1DA22624">
      <w:numFmt w:val="decimal"/>
      <w:lvlText w:val=""/>
      <w:lvlJc w:val="left"/>
    </w:lvl>
    <w:lvl w:ilvl="5" w:tplc="A67689EE">
      <w:numFmt w:val="decimal"/>
      <w:lvlText w:val=""/>
      <w:lvlJc w:val="left"/>
    </w:lvl>
    <w:lvl w:ilvl="6" w:tplc="D19E359A">
      <w:numFmt w:val="decimal"/>
      <w:lvlText w:val=""/>
      <w:lvlJc w:val="left"/>
    </w:lvl>
    <w:lvl w:ilvl="7" w:tplc="CA665A8A">
      <w:numFmt w:val="decimal"/>
      <w:lvlText w:val=""/>
      <w:lvlJc w:val="left"/>
    </w:lvl>
    <w:lvl w:ilvl="8" w:tplc="DC22AD9C">
      <w:numFmt w:val="decimal"/>
      <w:lvlText w:val=""/>
      <w:lvlJc w:val="left"/>
    </w:lvl>
  </w:abstractNum>
  <w:abstractNum w:abstractNumId="1" w15:restartNumberingAfterBreak="0">
    <w:nsid w:val="56B47B9A"/>
    <w:multiLevelType w:val="hybridMultilevel"/>
    <w:tmpl w:val="00CA886E"/>
    <w:lvl w:ilvl="0" w:tplc="7EC004DE">
      <w:start w:val="1"/>
      <w:numFmt w:val="bullet"/>
      <w:lvlText w:val="●"/>
      <w:lvlJc w:val="left"/>
      <w:pPr>
        <w:ind w:left="720" w:hanging="360"/>
      </w:pPr>
    </w:lvl>
    <w:lvl w:ilvl="1" w:tplc="214CA14A">
      <w:start w:val="1"/>
      <w:numFmt w:val="bullet"/>
      <w:lvlText w:val="○"/>
      <w:lvlJc w:val="left"/>
      <w:pPr>
        <w:ind w:left="1440" w:hanging="360"/>
      </w:pPr>
    </w:lvl>
    <w:lvl w:ilvl="2" w:tplc="1B504554">
      <w:start w:val="1"/>
      <w:numFmt w:val="bullet"/>
      <w:lvlText w:val="■"/>
      <w:lvlJc w:val="left"/>
      <w:pPr>
        <w:ind w:left="2160" w:hanging="360"/>
      </w:pPr>
    </w:lvl>
    <w:lvl w:ilvl="3" w:tplc="16703C4C">
      <w:start w:val="1"/>
      <w:numFmt w:val="bullet"/>
      <w:lvlText w:val="●"/>
      <w:lvlJc w:val="left"/>
      <w:pPr>
        <w:ind w:left="2880" w:hanging="360"/>
      </w:pPr>
    </w:lvl>
    <w:lvl w:ilvl="4" w:tplc="B3FAF5FC">
      <w:start w:val="1"/>
      <w:numFmt w:val="bullet"/>
      <w:lvlText w:val="○"/>
      <w:lvlJc w:val="left"/>
      <w:pPr>
        <w:ind w:left="3600" w:hanging="360"/>
      </w:pPr>
    </w:lvl>
    <w:lvl w:ilvl="5" w:tplc="8900361C">
      <w:start w:val="1"/>
      <w:numFmt w:val="bullet"/>
      <w:lvlText w:val="■"/>
      <w:lvlJc w:val="left"/>
      <w:pPr>
        <w:ind w:left="4320" w:hanging="360"/>
      </w:pPr>
    </w:lvl>
    <w:lvl w:ilvl="6" w:tplc="26E203B4">
      <w:start w:val="1"/>
      <w:numFmt w:val="bullet"/>
      <w:lvlText w:val="●"/>
      <w:lvlJc w:val="left"/>
      <w:pPr>
        <w:ind w:left="5040" w:hanging="360"/>
      </w:pPr>
    </w:lvl>
    <w:lvl w:ilvl="7" w:tplc="5448CFCC">
      <w:start w:val="1"/>
      <w:numFmt w:val="bullet"/>
      <w:lvlText w:val="●"/>
      <w:lvlJc w:val="left"/>
      <w:pPr>
        <w:ind w:left="5760" w:hanging="360"/>
      </w:pPr>
    </w:lvl>
    <w:lvl w:ilvl="8" w:tplc="40C66DE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8E9284F"/>
    <w:multiLevelType w:val="hybridMultilevel"/>
    <w:tmpl w:val="290AF2FE"/>
    <w:lvl w:ilvl="0" w:tplc="872C4990">
      <w:start w:val="1"/>
      <w:numFmt w:val="decimal"/>
      <w:lvlText w:val="%1."/>
      <w:lvlJc w:val="left"/>
      <w:pPr>
        <w:ind w:left="680" w:hanging="360"/>
      </w:pPr>
    </w:lvl>
    <w:lvl w:ilvl="1" w:tplc="8ADCA604">
      <w:numFmt w:val="decimal"/>
      <w:lvlText w:val=""/>
      <w:lvlJc w:val="left"/>
    </w:lvl>
    <w:lvl w:ilvl="2" w:tplc="79FE9B7E">
      <w:numFmt w:val="decimal"/>
      <w:lvlText w:val=""/>
      <w:lvlJc w:val="left"/>
    </w:lvl>
    <w:lvl w:ilvl="3" w:tplc="A802C29E">
      <w:numFmt w:val="decimal"/>
      <w:lvlText w:val=""/>
      <w:lvlJc w:val="left"/>
    </w:lvl>
    <w:lvl w:ilvl="4" w:tplc="9F76F83E">
      <w:numFmt w:val="decimal"/>
      <w:lvlText w:val=""/>
      <w:lvlJc w:val="left"/>
    </w:lvl>
    <w:lvl w:ilvl="5" w:tplc="ED486E26">
      <w:numFmt w:val="decimal"/>
      <w:lvlText w:val=""/>
      <w:lvlJc w:val="left"/>
    </w:lvl>
    <w:lvl w:ilvl="6" w:tplc="FFECB7EE">
      <w:numFmt w:val="decimal"/>
      <w:lvlText w:val=""/>
      <w:lvlJc w:val="left"/>
    </w:lvl>
    <w:lvl w:ilvl="7" w:tplc="93324C62">
      <w:numFmt w:val="decimal"/>
      <w:lvlText w:val=""/>
      <w:lvlJc w:val="left"/>
    </w:lvl>
    <w:lvl w:ilvl="8" w:tplc="DD64E26E">
      <w:numFmt w:val="decimal"/>
      <w:lvlText w:val=""/>
      <w:lvlJc w:val="left"/>
    </w:lvl>
  </w:abstractNum>
  <w:abstractNum w:abstractNumId="3" w15:restartNumberingAfterBreak="0">
    <w:nsid w:val="730270A8"/>
    <w:multiLevelType w:val="hybridMultilevel"/>
    <w:tmpl w:val="5EEA9074"/>
    <w:lvl w:ilvl="0" w:tplc="2A185BE6">
      <w:start w:val="1"/>
      <w:numFmt w:val="decimal"/>
      <w:lvlText w:val="%1."/>
      <w:lvlJc w:val="left"/>
      <w:pPr>
        <w:ind w:left="680" w:hanging="360"/>
      </w:pPr>
    </w:lvl>
    <w:lvl w:ilvl="1" w:tplc="DA242438">
      <w:numFmt w:val="decimal"/>
      <w:lvlText w:val=""/>
      <w:lvlJc w:val="left"/>
    </w:lvl>
    <w:lvl w:ilvl="2" w:tplc="CB18F996">
      <w:numFmt w:val="decimal"/>
      <w:lvlText w:val=""/>
      <w:lvlJc w:val="left"/>
    </w:lvl>
    <w:lvl w:ilvl="3" w:tplc="82B4B744">
      <w:numFmt w:val="decimal"/>
      <w:lvlText w:val=""/>
      <w:lvlJc w:val="left"/>
    </w:lvl>
    <w:lvl w:ilvl="4" w:tplc="51266DD0">
      <w:numFmt w:val="decimal"/>
      <w:lvlText w:val=""/>
      <w:lvlJc w:val="left"/>
    </w:lvl>
    <w:lvl w:ilvl="5" w:tplc="5DCCEA2C">
      <w:numFmt w:val="decimal"/>
      <w:lvlText w:val=""/>
      <w:lvlJc w:val="left"/>
    </w:lvl>
    <w:lvl w:ilvl="6" w:tplc="364670A2">
      <w:numFmt w:val="decimal"/>
      <w:lvlText w:val=""/>
      <w:lvlJc w:val="left"/>
    </w:lvl>
    <w:lvl w:ilvl="7" w:tplc="54D86770">
      <w:numFmt w:val="decimal"/>
      <w:lvlText w:val=""/>
      <w:lvlJc w:val="left"/>
    </w:lvl>
    <w:lvl w:ilvl="8" w:tplc="B8ECC4D2">
      <w:numFmt w:val="decimal"/>
      <w:lvlText w:val=""/>
      <w:lvlJc w:val="left"/>
    </w:lvl>
  </w:abstractNum>
  <w:num w:numId="1" w16cid:durableId="1872568854">
    <w:abstractNumId w:val="1"/>
    <w:lvlOverride w:ilvl="0">
      <w:startOverride w:val="1"/>
    </w:lvlOverride>
  </w:num>
  <w:num w:numId="2" w16cid:durableId="753867049">
    <w:abstractNumId w:val="0"/>
    <w:lvlOverride w:ilvl="0">
      <w:startOverride w:val="1"/>
    </w:lvlOverride>
  </w:num>
  <w:num w:numId="3" w16cid:durableId="99052628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2609"/>
    <w:rsid w:val="003A74DC"/>
    <w:rsid w:val="004C2609"/>
    <w:rsid w:val="004F4DDB"/>
    <w:rsid w:val="00821C15"/>
    <w:rsid w:val="00892460"/>
    <w:rsid w:val="008C4A0C"/>
    <w:rsid w:val="009922B7"/>
    <w:rsid w:val="00F92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0F9E3"/>
  <w15:docId w15:val="{076CAB33-16EA-4107-A8D7-80346801B5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9231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2317"/>
  </w:style>
  <w:style w:type="paragraph" w:styleId="Footer">
    <w:name w:val="footer"/>
    <w:basedOn w:val="Normal"/>
    <w:link w:val="FooterChar"/>
    <w:uiPriority w:val="99"/>
    <w:unhideWhenUsed/>
    <w:rsid w:val="00F9231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23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6</Pages>
  <Words>988</Words>
  <Characters>5638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Manjula P Roshan</cp:lastModifiedBy>
  <cp:revision>3</cp:revision>
  <dcterms:created xsi:type="dcterms:W3CDTF">2026-07-06T10:45:00Z</dcterms:created>
  <dcterms:modified xsi:type="dcterms:W3CDTF">2026-07-07T17:12:00Z</dcterms:modified>
</cp:coreProperties>
</file>