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FF8E3" w14:textId="77777777" w:rsidR="00117937" w:rsidRDefault="00117937">
      <w:pPr>
        <w:spacing w:after="260"/>
      </w:pPr>
    </w:p>
    <w:p w14:paraId="159C2237" w14:textId="77777777" w:rsidR="00117937" w:rsidRDefault="00000000" w:rsidP="00D041AD">
      <w:pPr>
        <w:spacing w:after="60" w:line="360" w:lineRule="auto"/>
        <w:jc w:val="center"/>
      </w:pPr>
      <w:r>
        <w:rPr>
          <w:noProof/>
        </w:rPr>
        <w:drawing>
          <wp:inline distT="0" distB="0" distL="0" distR="0" wp14:anchorId="2073A400" wp14:editId="0F67580A">
            <wp:extent cx="1428750" cy="381000"/>
            <wp:effectExtent l="0" t="0" r="0" b="0"/>
            <wp:docPr id="1" name="logo" descr="EduNeX" title="EduN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544D" w14:textId="77777777" w:rsidR="00117937" w:rsidRDefault="00000000" w:rsidP="00D041AD">
      <w:pPr>
        <w:spacing w:after="560" w:line="360" w:lineRule="auto"/>
        <w:jc w:val="center"/>
      </w:pPr>
      <w:r>
        <w:rPr>
          <w:rFonts w:cs="Calibri"/>
          <w:b/>
          <w:bCs/>
          <w:spacing w:val="12"/>
          <w:sz w:val="21"/>
          <w:szCs w:val="21"/>
        </w:rPr>
        <w:t>LESSON NOTE  |  DETAILED EXPLANATORY NOTES</w:t>
      </w:r>
    </w:p>
    <w:p w14:paraId="2983C9EB" w14:textId="77777777" w:rsidR="00117937" w:rsidRDefault="00000000" w:rsidP="00D041AD">
      <w:pPr>
        <w:spacing w:after="60" w:line="360" w:lineRule="auto"/>
        <w:jc w:val="center"/>
      </w:pPr>
      <w:r>
        <w:rPr>
          <w:rFonts w:ascii="Times New Roman" w:eastAsia="Times New Roman" w:hAnsi="Times New Roman" w:cs="Times New Roman"/>
          <w:sz w:val="56"/>
          <w:szCs w:val="56"/>
        </w:rPr>
        <w:t>GENETICS &amp; MOLECULAR BIOLOGY</w:t>
      </w:r>
    </w:p>
    <w:p w14:paraId="3FE5FBD6" w14:textId="77777777" w:rsidR="00117937" w:rsidRDefault="00000000" w:rsidP="00D041AD">
      <w:pPr>
        <w:spacing w:after="520" w:line="360" w:lineRule="auto"/>
        <w:jc w:val="center"/>
      </w:pPr>
      <w:r>
        <w:rPr>
          <w:rFonts w:cs="Calibri"/>
          <w:b/>
          <w:bCs/>
          <w:sz w:val="44"/>
          <w:szCs w:val="44"/>
        </w:rPr>
        <w:t>SEX LINKAGE, CO-DOMINANCE &amp; INCOMPLETE DOMINANCE</w:t>
      </w:r>
    </w:p>
    <w:p w14:paraId="74FB14CF" w14:textId="77777777" w:rsidR="00117937" w:rsidRDefault="00000000" w:rsidP="00D041AD">
      <w:pPr>
        <w:spacing w:after="200" w:line="360" w:lineRule="auto"/>
        <w:jc w:val="center"/>
      </w:pPr>
      <w:r>
        <w:rPr>
          <w:rFonts w:cs="Calibri"/>
          <w:sz w:val="28"/>
          <w:szCs w:val="28"/>
        </w:rPr>
        <w:t>GRADE 12 -  BIOLOGY</w:t>
      </w:r>
    </w:p>
    <w:p w14:paraId="5F5A41C2" w14:textId="77777777" w:rsidR="00117937" w:rsidRDefault="00000000" w:rsidP="00D041AD">
      <w:pPr>
        <w:spacing w:after="60" w:line="360" w:lineRule="auto"/>
        <w:jc w:val="center"/>
      </w:pPr>
      <w:r>
        <w:rPr>
          <w:rFonts w:cs="Calibri"/>
          <w:sz w:val="22"/>
          <w:szCs w:val="22"/>
        </w:rPr>
        <w:t>■   ■   ■</w:t>
      </w:r>
    </w:p>
    <w:p w14:paraId="2499935C" w14:textId="77777777" w:rsidR="00117937" w:rsidRDefault="00000000">
      <w:r>
        <w:br w:type="page"/>
      </w:r>
    </w:p>
    <w:p w14:paraId="32B6E8C5" w14:textId="77777777" w:rsidR="00117937" w:rsidRPr="00D041AD" w:rsidRDefault="00000000">
      <w:pPr>
        <w:keepNext/>
        <w:spacing w:before="300" w:after="140"/>
        <w:rPr>
          <w:sz w:val="20"/>
          <w:szCs w:val="20"/>
        </w:rPr>
      </w:pPr>
      <w:r w:rsidRPr="00D041AD">
        <w:rPr>
          <w:rFonts w:cs="Calibri"/>
          <w:b/>
          <w:bCs/>
          <w:color w:val="1F497D"/>
          <w:sz w:val="32"/>
          <w:szCs w:val="32"/>
        </w:rPr>
        <w:lastRenderedPageBreak/>
        <w:t>Beyond Simple Dominance</w:t>
      </w:r>
    </w:p>
    <w:p w14:paraId="2E0C97D2" w14:textId="77777777" w:rsidR="00117937" w:rsidRDefault="00000000">
      <w:pPr>
        <w:spacing w:after="200" w:line="276" w:lineRule="auto"/>
        <w:jc w:val="both"/>
      </w:pPr>
      <w:r>
        <w:rPr>
          <w:rFonts w:cs="Calibri"/>
        </w:rPr>
        <w:t xml:space="preserve">In simple </w:t>
      </w:r>
      <w:r>
        <w:rPr>
          <w:rFonts w:cs="Calibri"/>
          <w:b/>
          <w:bCs/>
        </w:rPr>
        <w:t>Mendelian inheritance</w:t>
      </w:r>
      <w:r>
        <w:rPr>
          <w:rFonts w:cs="Calibri"/>
        </w:rPr>
        <w:t xml:space="preserve">, one allele is completely </w:t>
      </w:r>
      <w:r>
        <w:rPr>
          <w:rFonts w:cs="Calibri"/>
          <w:b/>
          <w:bCs/>
        </w:rPr>
        <w:t>dominant</w:t>
      </w:r>
      <w:r>
        <w:rPr>
          <w:rFonts w:cs="Calibri"/>
        </w:rPr>
        <w:t xml:space="preserve"> and hides a </w:t>
      </w:r>
      <w:r>
        <w:rPr>
          <w:rFonts w:cs="Calibri"/>
          <w:b/>
          <w:bCs/>
        </w:rPr>
        <w:t>recessive</w:t>
      </w:r>
      <w:r>
        <w:rPr>
          <w:rFonts w:cs="Calibri"/>
        </w:rPr>
        <w:t xml:space="preserve"> one, giving a neat </w:t>
      </w:r>
      <w:r>
        <w:rPr>
          <w:rFonts w:cs="Calibri"/>
          <w:b/>
          <w:bCs/>
        </w:rPr>
        <w:t>3:1</w:t>
      </w:r>
      <w:r>
        <w:rPr>
          <w:rFonts w:cs="Calibri"/>
        </w:rPr>
        <w:t xml:space="preserve"> ratio. But nature is often more subtle. In this lesson we look at three important </w:t>
      </w:r>
      <w:r>
        <w:rPr>
          <w:rFonts w:cs="Calibri"/>
          <w:b/>
          <w:bCs/>
        </w:rPr>
        <w:t>exceptions</w:t>
      </w:r>
      <w:r>
        <w:rPr>
          <w:rFonts w:cs="Calibri"/>
        </w:rPr>
        <w:t xml:space="preserve"> to simple dominance: </w:t>
      </w:r>
      <w:r>
        <w:rPr>
          <w:rFonts w:cs="Calibri"/>
          <w:b/>
          <w:bCs/>
        </w:rPr>
        <w:t>incomplete dominance</w:t>
      </w:r>
      <w:r>
        <w:rPr>
          <w:rFonts w:cs="Calibri"/>
        </w:rPr>
        <w:t xml:space="preserve"> (where alleles blend), </w:t>
      </w:r>
      <w:r>
        <w:rPr>
          <w:rFonts w:cs="Calibri"/>
          <w:b/>
          <w:bCs/>
        </w:rPr>
        <w:t>co-dominance</w:t>
      </w:r>
      <w:r>
        <w:rPr>
          <w:rFonts w:cs="Calibri"/>
        </w:rPr>
        <w:t xml:space="preserve"> (where both alleles show fully), and </w:t>
      </w:r>
      <w:r>
        <w:rPr>
          <w:rFonts w:cs="Calibri"/>
          <w:b/>
          <w:bCs/>
        </w:rPr>
        <w:t>sex linkage</w:t>
      </w:r>
      <w:r>
        <w:rPr>
          <w:rFonts w:cs="Calibri"/>
        </w:rPr>
        <w:t xml:space="preserve"> (where a gene sits on a sex chromosome and so affects males and females differently).</w:t>
      </w:r>
    </w:p>
    <w:p w14:paraId="34292D5B" w14:textId="19CE2572" w:rsidR="00117937" w:rsidRDefault="00000000">
      <w:pPr>
        <w:spacing w:after="200" w:line="276" w:lineRule="auto"/>
        <w:jc w:val="both"/>
      </w:pPr>
      <w:r>
        <w:rPr>
          <w:rFonts w:cs="Calibri"/>
        </w:rPr>
        <w:t xml:space="preserve">These patterns still follow Mendel's basic rules </w:t>
      </w:r>
      <w:r w:rsidR="00D041AD">
        <w:rPr>
          <w:rFonts w:cs="Calibri"/>
          <w:lang w:val="en-US"/>
        </w:rPr>
        <w:t>-</w:t>
      </w:r>
      <w:r>
        <w:rPr>
          <w:rFonts w:cs="Calibri"/>
        </w:rPr>
        <w:t xml:space="preserve"> alleles separate and recombine </w:t>
      </w:r>
      <w:r w:rsidR="00D041AD">
        <w:rPr>
          <w:rFonts w:cs="Calibri"/>
          <w:lang w:val="en-US"/>
        </w:rPr>
        <w:t>-</w:t>
      </w:r>
      <w:r>
        <w:rPr>
          <w:rFonts w:cs="Calibri"/>
        </w:rPr>
        <w:t xml:space="preserve"> but the </w:t>
      </w:r>
      <w:r>
        <w:rPr>
          <w:rFonts w:cs="Calibri"/>
          <w:b/>
          <w:bCs/>
        </w:rPr>
        <w:t>phenotypes</w:t>
      </w:r>
      <w:r>
        <w:rPr>
          <w:rFonts w:cs="Calibri"/>
        </w:rPr>
        <w:t xml:space="preserve"> they produce are different from the usual dominant/recessive result. Understanding them explains real cases such as </w:t>
      </w:r>
      <w:r>
        <w:rPr>
          <w:rFonts w:cs="Calibri"/>
          <w:b/>
          <w:bCs/>
        </w:rPr>
        <w:t>flower colour, human blood groups, and colour blindness</w:t>
      </w:r>
      <w:r>
        <w:rPr>
          <w:rFonts w:cs="Calibri"/>
        </w:rPr>
        <w:t>, and is an important part of the Genetics &amp; Molecular Biology strand.</w:t>
      </w:r>
    </w:p>
    <w:p w14:paraId="2ABDBC46" w14:textId="77777777" w:rsidR="00117937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Why This Matters</w:t>
      </w:r>
    </w:p>
    <w:p w14:paraId="4BEC9675" w14:textId="77777777" w:rsidR="0011793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Many real traits do </w:t>
      </w:r>
      <w:r>
        <w:rPr>
          <w:b/>
          <w:bCs/>
        </w:rPr>
        <w:t>not</w:t>
      </w:r>
      <w:r>
        <w:t xml:space="preserve"> follow simple dominant/recessive patterns.</w:t>
      </w:r>
    </w:p>
    <w:p w14:paraId="4E54D5DA" w14:textId="77777777" w:rsidR="0011793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They explain </w:t>
      </w:r>
      <w:r>
        <w:rPr>
          <w:b/>
          <w:bCs/>
        </w:rPr>
        <w:t>blood groups</w:t>
      </w:r>
      <w:r>
        <w:t>, flower colour and inherited conditions.</w:t>
      </w:r>
    </w:p>
    <w:p w14:paraId="279CF3BF" w14:textId="77777777" w:rsidR="0011793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Sex linkage</w:t>
      </w:r>
      <w:r>
        <w:t xml:space="preserve"> explains why some conditions affect </w:t>
      </w:r>
      <w:r>
        <w:rPr>
          <w:b/>
          <w:bCs/>
        </w:rPr>
        <w:t>males more often</w:t>
      </w:r>
      <w:r>
        <w:t>.</w:t>
      </w:r>
    </w:p>
    <w:p w14:paraId="4B3FC146" w14:textId="77777777" w:rsidR="0011793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They are essential for </w:t>
      </w:r>
      <w:r>
        <w:rPr>
          <w:b/>
          <w:bCs/>
        </w:rPr>
        <w:t>genetic counselling</w:t>
      </w:r>
      <w:r>
        <w:t xml:space="preserve"> and understanding heredity.</w:t>
      </w:r>
    </w:p>
    <w:p w14:paraId="67E680EE" w14:textId="77777777" w:rsidR="00117937" w:rsidRPr="00D041AD" w:rsidRDefault="00000000">
      <w:pPr>
        <w:keepNext/>
        <w:spacing w:before="300" w:after="140"/>
        <w:rPr>
          <w:sz w:val="20"/>
          <w:szCs w:val="20"/>
        </w:rPr>
      </w:pPr>
      <w:r w:rsidRPr="00D041AD">
        <w:rPr>
          <w:rFonts w:cs="Calibri"/>
          <w:b/>
          <w:bCs/>
          <w:color w:val="1F497D"/>
          <w:sz w:val="32"/>
          <w:szCs w:val="32"/>
        </w:rPr>
        <w:t>Sex Linkage, Co-dominance &amp; Incomplete Dominance</w:t>
      </w:r>
    </w:p>
    <w:p w14:paraId="10ED16E3" w14:textId="77777777" w:rsidR="00117937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Key Learning Outcomes</w:t>
      </w:r>
    </w:p>
    <w:p w14:paraId="7293AF92" w14:textId="77777777" w:rsidR="00117937" w:rsidRDefault="00000000">
      <w:pPr>
        <w:spacing w:after="200" w:line="276" w:lineRule="auto"/>
        <w:jc w:val="both"/>
      </w:pPr>
      <w:r>
        <w:rPr>
          <w:rFonts w:cs="Calibri"/>
        </w:rPr>
        <w:t>By the end of this lesson, students should be able to:</w:t>
      </w:r>
    </w:p>
    <w:p w14:paraId="26C35B38" w14:textId="77777777" w:rsidR="00117937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</w:t>
      </w:r>
      <w:r>
        <w:rPr>
          <w:b/>
          <w:bCs/>
        </w:rPr>
        <w:t>incomplete dominance</w:t>
      </w:r>
      <w:r>
        <w:t xml:space="preserve"> and work out its ratios.</w:t>
      </w:r>
    </w:p>
    <w:p w14:paraId="2F8F2B77" w14:textId="77777777" w:rsidR="00117937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</w:t>
      </w:r>
      <w:r>
        <w:rPr>
          <w:b/>
          <w:bCs/>
        </w:rPr>
        <w:t>co-dominance</w:t>
      </w:r>
      <w:r>
        <w:t xml:space="preserve"> using human </w:t>
      </w:r>
      <w:r>
        <w:rPr>
          <w:b/>
          <w:bCs/>
        </w:rPr>
        <w:t>blood groups</w:t>
      </w:r>
      <w:r>
        <w:t>.</w:t>
      </w:r>
    </w:p>
    <w:p w14:paraId="22834FF2" w14:textId="77777777" w:rsidR="00117937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Distinguish clearly between </w:t>
      </w:r>
      <w:r>
        <w:rPr>
          <w:b/>
          <w:bCs/>
        </w:rPr>
        <w:t>incomplete dominance</w:t>
      </w:r>
      <w:r>
        <w:t xml:space="preserve"> and </w:t>
      </w:r>
      <w:r>
        <w:rPr>
          <w:b/>
          <w:bCs/>
        </w:rPr>
        <w:t>co-dominance</w:t>
      </w:r>
      <w:r>
        <w:t>.</w:t>
      </w:r>
    </w:p>
    <w:p w14:paraId="229EB6FB" w14:textId="77777777" w:rsidR="00117937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</w:t>
      </w:r>
      <w:r>
        <w:rPr>
          <w:b/>
          <w:bCs/>
        </w:rPr>
        <w:t>sex linkage</w:t>
      </w:r>
      <w:r>
        <w:t xml:space="preserve"> and why it affects the sexes differently.</w:t>
      </w:r>
    </w:p>
    <w:p w14:paraId="3DDE7A46" w14:textId="77777777" w:rsidR="00117937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Use </w:t>
      </w:r>
      <w:r>
        <w:rPr>
          <w:b/>
          <w:bCs/>
        </w:rPr>
        <w:t>Punnett squares</w:t>
      </w:r>
      <w:r>
        <w:t xml:space="preserve"> to predict offspring for each pattern.</w:t>
      </w:r>
    </w:p>
    <w:p w14:paraId="1B05A706" w14:textId="77777777" w:rsidR="00117937" w:rsidRPr="00D041AD" w:rsidRDefault="00000000">
      <w:pPr>
        <w:keepNext/>
        <w:spacing w:before="300" w:after="140"/>
        <w:rPr>
          <w:sz w:val="20"/>
          <w:szCs w:val="20"/>
        </w:rPr>
      </w:pPr>
      <w:r w:rsidRPr="00D041AD">
        <w:rPr>
          <w:rFonts w:cs="Calibri"/>
          <w:b/>
          <w:bCs/>
          <w:color w:val="1F497D"/>
          <w:sz w:val="32"/>
          <w:szCs w:val="32"/>
        </w:rPr>
        <w:t>Incomplete Dominance</w:t>
      </w:r>
    </w:p>
    <w:p w14:paraId="42E5519E" w14:textId="72DF0ED6" w:rsidR="00117937" w:rsidRDefault="00000000">
      <w:pPr>
        <w:spacing w:after="200" w:line="276" w:lineRule="auto"/>
        <w:jc w:val="both"/>
      </w:pPr>
      <w:r>
        <w:rPr>
          <w:rFonts w:cs="Calibri"/>
        </w:rPr>
        <w:t xml:space="preserve">In </w:t>
      </w:r>
      <w:r>
        <w:rPr>
          <w:rFonts w:cs="Calibri"/>
          <w:b/>
          <w:bCs/>
        </w:rPr>
        <w:t>incomplete dominance</w:t>
      </w:r>
      <w:r>
        <w:rPr>
          <w:rFonts w:cs="Calibri"/>
        </w:rPr>
        <w:t xml:space="preserve">, neither allele is fully dominant, so the </w:t>
      </w:r>
      <w:r>
        <w:rPr>
          <w:rFonts w:cs="Calibri"/>
          <w:b/>
          <w:bCs/>
        </w:rPr>
        <w:t>heterozygote</w:t>
      </w:r>
      <w:r>
        <w:rPr>
          <w:rFonts w:cs="Calibri"/>
        </w:rPr>
        <w:t xml:space="preserve"> shows a </w:t>
      </w:r>
      <w:r>
        <w:rPr>
          <w:rFonts w:cs="Calibri"/>
          <w:b/>
          <w:bCs/>
        </w:rPr>
        <w:t>blend</w:t>
      </w:r>
      <w:r>
        <w:rPr>
          <w:rFonts w:cs="Calibri"/>
        </w:rPr>
        <w:t xml:space="preserve"> </w:t>
      </w:r>
      <w:r w:rsidR="00D041AD">
        <w:rPr>
          <w:rFonts w:cs="Calibri"/>
          <w:lang w:val="en-US"/>
        </w:rPr>
        <w:t>-</w:t>
      </w:r>
      <w:r>
        <w:rPr>
          <w:rFonts w:cs="Calibri"/>
        </w:rPr>
        <w:t xml:space="preserve"> an intermediate phenotype. A classic example is flower colour in snapdragons: a </w:t>
      </w:r>
      <w:r>
        <w:rPr>
          <w:rFonts w:cs="Calibri"/>
          <w:b/>
          <w:bCs/>
        </w:rPr>
        <w:t>red</w:t>
      </w:r>
      <w:r>
        <w:rPr>
          <w:rFonts w:cs="Calibri"/>
        </w:rPr>
        <w:t xml:space="preserve"> flower (</w:t>
      </w:r>
      <w:r>
        <w:rPr>
          <w:rFonts w:cs="Calibri"/>
          <w:b/>
          <w:bCs/>
        </w:rPr>
        <w:t>RR</w:t>
      </w:r>
      <w:r>
        <w:rPr>
          <w:rFonts w:cs="Calibri"/>
        </w:rPr>
        <w:t xml:space="preserve">) crossed with a </w:t>
      </w:r>
      <w:r>
        <w:rPr>
          <w:rFonts w:cs="Calibri"/>
          <w:b/>
          <w:bCs/>
        </w:rPr>
        <w:t>white</w:t>
      </w:r>
      <w:r>
        <w:rPr>
          <w:rFonts w:cs="Calibri"/>
        </w:rPr>
        <w:t xml:space="preserve"> flower (</w:t>
      </w:r>
      <w:r>
        <w:rPr>
          <w:rFonts w:cs="Calibri"/>
          <w:b/>
          <w:bCs/>
        </w:rPr>
        <w:t>WW</w:t>
      </w:r>
      <w:r>
        <w:rPr>
          <w:rFonts w:cs="Calibri"/>
        </w:rPr>
        <w:t xml:space="preserve">) gives offspring that are all </w:t>
      </w:r>
      <w:r>
        <w:rPr>
          <w:rFonts w:cs="Calibri"/>
          <w:b/>
          <w:bCs/>
        </w:rPr>
        <w:t>pink</w:t>
      </w:r>
      <w:r>
        <w:rPr>
          <w:rFonts w:cs="Calibri"/>
        </w:rPr>
        <w:t xml:space="preserve"> (</w:t>
      </w:r>
      <w:r>
        <w:rPr>
          <w:rFonts w:cs="Calibri"/>
          <w:b/>
          <w:bCs/>
        </w:rPr>
        <w:t>RW</w:t>
      </w:r>
      <w:r>
        <w:rPr>
          <w:rFonts w:cs="Calibri"/>
        </w:rPr>
        <w:t xml:space="preserve">), a mix of the two. If two pink flowers are then crossed, the offspring appear in a </w:t>
      </w:r>
      <w:r>
        <w:rPr>
          <w:rFonts w:cs="Calibri"/>
          <w:b/>
          <w:bCs/>
        </w:rPr>
        <w:t>1 red : 2 pink : 1 white</w:t>
      </w:r>
      <w:r>
        <w:rPr>
          <w:rFonts w:cs="Calibri"/>
        </w:rPr>
        <w:t xml:space="preserve"> ratio. Notice that the ratio is the same as </w:t>
      </w:r>
      <w:r>
        <w:rPr>
          <w:rFonts w:cs="Calibri"/>
        </w:rPr>
        <w:lastRenderedPageBreak/>
        <w:t xml:space="preserve">a normal cross, but now </w:t>
      </w:r>
      <w:r>
        <w:rPr>
          <w:rFonts w:cs="Calibri"/>
          <w:b/>
          <w:bCs/>
        </w:rPr>
        <w:t>each genotype has its own distinct appearance</w:t>
      </w:r>
      <w:r>
        <w:rPr>
          <w:rFonts w:cs="Calibri"/>
        </w:rPr>
        <w:t>, because the heterozygote looks different from both parents.</w:t>
      </w:r>
    </w:p>
    <w:p w14:paraId="7278FC54" w14:textId="6AD92AD1" w:rsidR="00117937" w:rsidRDefault="00D367D3">
      <w:pPr>
        <w:spacing w:before="140" w:after="40"/>
        <w:jc w:val="center"/>
      </w:pPr>
      <w:r>
        <w:rPr>
          <w:noProof/>
        </w:rPr>
        <w:drawing>
          <wp:inline distT="0" distB="0" distL="0" distR="0" wp14:anchorId="284C72DD" wp14:editId="6F0E100E">
            <wp:extent cx="3409315" cy="2728467"/>
            <wp:effectExtent l="0" t="0" r="0" b="2540"/>
            <wp:docPr id="191258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83225" name="Picture 19125832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4960" cy="274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0BDE" w14:textId="7CB37377" w:rsidR="00117937" w:rsidRPr="00D041AD" w:rsidRDefault="00000000">
      <w:pPr>
        <w:spacing w:before="60" w:after="220"/>
        <w:jc w:val="center"/>
      </w:pPr>
      <w:r w:rsidRPr="00D041AD">
        <w:rPr>
          <w:rFonts w:cs="Calibri"/>
          <w:color w:val="595959"/>
          <w:sz w:val="20"/>
          <w:szCs w:val="20"/>
        </w:rPr>
        <w:t xml:space="preserve">Figure 1: Incomplete dominance </w:t>
      </w:r>
      <w:r w:rsidR="00D041AD">
        <w:rPr>
          <w:rFonts w:cs="Calibri"/>
          <w:color w:val="595959"/>
          <w:sz w:val="20"/>
          <w:szCs w:val="20"/>
          <w:lang w:val="en-US"/>
        </w:rPr>
        <w:t>-</w:t>
      </w:r>
      <w:r w:rsidRPr="00D041AD">
        <w:rPr>
          <w:rFonts w:cs="Calibri"/>
          <w:color w:val="595959"/>
          <w:sz w:val="20"/>
          <w:szCs w:val="20"/>
        </w:rPr>
        <w:t xml:space="preserve"> red × white gives pink; crossing two pink gives a 1 red : 2 pink : 1 white ratio.</w:t>
      </w:r>
    </w:p>
    <w:p w14:paraId="735505F5" w14:textId="77777777" w:rsidR="00117937" w:rsidRDefault="00000000">
      <w:pPr>
        <w:keepNext/>
        <w:spacing w:before="280" w:after="130"/>
      </w:pPr>
      <w:r>
        <w:rPr>
          <w:rFonts w:cs="Calibri"/>
          <w:b/>
          <w:bCs/>
          <w:color w:val="1F497D"/>
          <w:sz w:val="32"/>
          <w:szCs w:val="32"/>
        </w:rPr>
        <w:t>Terminologies and Concepts</w:t>
      </w:r>
    </w:p>
    <w:p w14:paraId="1FD27EB1" w14:textId="77777777" w:rsidR="00117937" w:rsidRDefault="00000000">
      <w:pPr>
        <w:spacing w:after="200" w:line="276" w:lineRule="auto"/>
        <w:jc w:val="both"/>
      </w:pPr>
      <w:r>
        <w:rPr>
          <w:rFonts w:cs="Calibri"/>
        </w:rPr>
        <w:t>Useful terms for this topic:</w:t>
      </w:r>
    </w:p>
    <w:p w14:paraId="69531B59" w14:textId="77777777" w:rsidR="0011793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Allele:</w:t>
      </w:r>
      <w:r>
        <w:t xml:space="preserve"> one version of a gene.</w:t>
      </w:r>
    </w:p>
    <w:p w14:paraId="344D1760" w14:textId="77777777" w:rsidR="0011793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Homozygous / heterozygous:</w:t>
      </w:r>
      <w:r>
        <w:t xml:space="preserve"> two identical alleles / two different alleles.</w:t>
      </w:r>
    </w:p>
    <w:p w14:paraId="0C8682E3" w14:textId="77777777" w:rsidR="0011793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Incomplete dominance:</w:t>
      </w:r>
      <w:r>
        <w:t xml:space="preserve"> the heterozygote shows a </w:t>
      </w:r>
      <w:r>
        <w:rPr>
          <w:b/>
          <w:bCs/>
        </w:rPr>
        <w:t>blend</w:t>
      </w:r>
      <w:r>
        <w:t xml:space="preserve"> of the two alleles.</w:t>
      </w:r>
    </w:p>
    <w:p w14:paraId="1F57FD1B" w14:textId="77777777" w:rsidR="0011793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Co-dominance:</w:t>
      </w:r>
      <w:r>
        <w:t xml:space="preserve"> both alleles are </w:t>
      </w:r>
      <w:r>
        <w:rPr>
          <w:b/>
          <w:bCs/>
        </w:rPr>
        <w:t>fully expressed</w:t>
      </w:r>
      <w:r>
        <w:t xml:space="preserve"> in the heterozygote.</w:t>
      </w:r>
    </w:p>
    <w:p w14:paraId="0D95C8F5" w14:textId="77777777" w:rsidR="0011793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Multiple alleles:</w:t>
      </w:r>
      <w:r>
        <w:t xml:space="preserve"> a gene with more than two possible alleles (e.g. blood groups).</w:t>
      </w:r>
    </w:p>
    <w:p w14:paraId="464B11CE" w14:textId="77777777" w:rsidR="0011793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Sex chromosomes:</w:t>
      </w:r>
      <w:r>
        <w:t xml:space="preserve"> the X and Y chromosomes that determine sex (XX = female, XY = male).</w:t>
      </w:r>
    </w:p>
    <w:p w14:paraId="48F6EB85" w14:textId="77777777" w:rsidR="0011793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Sex-linked gene:</w:t>
      </w:r>
      <w:r>
        <w:t xml:space="preserve"> a gene carried on a sex chromosome, usually the X.</w:t>
      </w:r>
    </w:p>
    <w:p w14:paraId="43B6256F" w14:textId="77777777" w:rsidR="0011793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Carrier:</w:t>
      </w:r>
      <w:r>
        <w:t xml:space="preserve"> a person who has a recessive allele but does not show the trait.</w:t>
      </w:r>
    </w:p>
    <w:p w14:paraId="3DC6DE2E" w14:textId="77777777" w:rsidR="00117937" w:rsidRPr="00D041AD" w:rsidRDefault="00000000">
      <w:pPr>
        <w:keepNext/>
        <w:spacing w:before="300" w:after="140"/>
        <w:rPr>
          <w:sz w:val="20"/>
          <w:szCs w:val="20"/>
        </w:rPr>
      </w:pPr>
      <w:r w:rsidRPr="00D041AD">
        <w:rPr>
          <w:rFonts w:cs="Calibri"/>
          <w:b/>
          <w:bCs/>
          <w:color w:val="1F497D"/>
          <w:sz w:val="32"/>
          <w:szCs w:val="32"/>
        </w:rPr>
        <w:t>Co-dominance</w:t>
      </w:r>
    </w:p>
    <w:p w14:paraId="11464FCC" w14:textId="4DD9E1F6" w:rsidR="00117937" w:rsidRDefault="00000000">
      <w:pPr>
        <w:spacing w:after="200" w:line="276" w:lineRule="auto"/>
        <w:jc w:val="both"/>
      </w:pPr>
      <w:r>
        <w:rPr>
          <w:rFonts w:cs="Calibri"/>
        </w:rPr>
        <w:t xml:space="preserve">In </w:t>
      </w:r>
      <w:r>
        <w:rPr>
          <w:rFonts w:cs="Calibri"/>
          <w:b/>
          <w:bCs/>
        </w:rPr>
        <w:t>co-dominance</w:t>
      </w:r>
      <w:r>
        <w:rPr>
          <w:rFonts w:cs="Calibri"/>
        </w:rPr>
        <w:t xml:space="preserve">, both alleles are </w:t>
      </w:r>
      <w:r>
        <w:rPr>
          <w:rFonts w:cs="Calibri"/>
          <w:b/>
          <w:bCs/>
        </w:rPr>
        <w:t>fully expressed</w:t>
      </w:r>
      <w:r>
        <w:rPr>
          <w:rFonts w:cs="Calibri"/>
        </w:rPr>
        <w:t xml:space="preserve"> at the same time </w:t>
      </w:r>
      <w:r w:rsidR="00D041AD">
        <w:rPr>
          <w:rFonts w:cs="Calibri"/>
          <w:lang w:val="en-US"/>
        </w:rPr>
        <w:t>-</w:t>
      </w:r>
      <w:r>
        <w:rPr>
          <w:rFonts w:cs="Calibri"/>
        </w:rPr>
        <w:t xml:space="preserve"> neither is hidden and there is </w:t>
      </w:r>
      <w:r>
        <w:rPr>
          <w:rFonts w:cs="Calibri"/>
          <w:b/>
          <w:bCs/>
        </w:rPr>
        <w:t>no blending</w:t>
      </w:r>
      <w:r>
        <w:rPr>
          <w:rFonts w:cs="Calibri"/>
        </w:rPr>
        <w:t xml:space="preserve">. The best example is the </w:t>
      </w:r>
      <w:r>
        <w:rPr>
          <w:rFonts w:cs="Calibri"/>
          <w:b/>
          <w:bCs/>
        </w:rPr>
        <w:t>ABO blood group</w:t>
      </w:r>
      <w:r>
        <w:rPr>
          <w:rFonts w:cs="Calibri"/>
        </w:rPr>
        <w:t xml:space="preserve"> system, which has three alleles: </w:t>
      </w:r>
      <w:r>
        <w:rPr>
          <w:rFonts w:cs="Calibri"/>
          <w:b/>
          <w:bCs/>
        </w:rPr>
        <w:t>Iᴬ, Iᴮ</w:t>
      </w:r>
      <w:r>
        <w:rPr>
          <w:rFonts w:cs="Calibri"/>
        </w:rPr>
        <w:t xml:space="preserve"> and </w:t>
      </w:r>
      <w:r>
        <w:rPr>
          <w:rFonts w:cs="Calibri"/>
          <w:b/>
          <w:bCs/>
        </w:rPr>
        <w:t>i</w:t>
      </w:r>
      <w:r>
        <w:rPr>
          <w:rFonts w:cs="Calibri"/>
        </w:rPr>
        <w:t xml:space="preserve">. Iᴬ and Iᴮ are </w:t>
      </w:r>
      <w:r>
        <w:rPr>
          <w:rFonts w:cs="Calibri"/>
          <w:b/>
          <w:bCs/>
        </w:rPr>
        <w:t>co-dominant</w:t>
      </w:r>
      <w:r>
        <w:rPr>
          <w:rFonts w:cs="Calibri"/>
        </w:rPr>
        <w:t xml:space="preserve"> with each other, while both are dominant over </w:t>
      </w:r>
      <w:r>
        <w:rPr>
          <w:rFonts w:cs="Calibri"/>
          <w:b/>
          <w:bCs/>
        </w:rPr>
        <w:t>i</w:t>
      </w:r>
      <w:r>
        <w:rPr>
          <w:rFonts w:cs="Calibri"/>
        </w:rPr>
        <w:t xml:space="preserve">. A person with </w:t>
      </w:r>
      <w:r>
        <w:rPr>
          <w:rFonts w:cs="Calibri"/>
          <w:b/>
          <w:bCs/>
        </w:rPr>
        <w:t>IᴬIᴮ</w:t>
      </w:r>
      <w:r>
        <w:rPr>
          <w:rFonts w:cs="Calibri"/>
        </w:rPr>
        <w:t xml:space="preserve"> has blood group </w:t>
      </w:r>
      <w:r>
        <w:rPr>
          <w:rFonts w:cs="Calibri"/>
          <w:b/>
          <w:bCs/>
        </w:rPr>
        <w:t>AB</w:t>
      </w:r>
      <w:r>
        <w:rPr>
          <w:rFonts w:cs="Calibri"/>
        </w:rPr>
        <w:t xml:space="preserve"> and makes </w:t>
      </w:r>
      <w:r>
        <w:rPr>
          <w:rFonts w:cs="Calibri"/>
          <w:b/>
          <w:bCs/>
        </w:rPr>
        <w:t>both A and B antigens</w:t>
      </w:r>
      <w:r>
        <w:rPr>
          <w:rFonts w:cs="Calibri"/>
        </w:rPr>
        <w:t xml:space="preserve"> on their red blood cells </w:t>
      </w:r>
      <w:r w:rsidR="00D041AD">
        <w:rPr>
          <w:rFonts w:cs="Calibri"/>
          <w:lang w:val="en-US"/>
        </w:rPr>
        <w:t>-</w:t>
      </w:r>
      <w:r>
        <w:rPr>
          <w:rFonts w:cs="Calibri"/>
        </w:rPr>
        <w:t xml:space="preserve"> a clear sign that both alleles are working </w:t>
      </w:r>
      <w:r>
        <w:rPr>
          <w:rFonts w:cs="Calibri"/>
        </w:rPr>
        <w:lastRenderedPageBreak/>
        <w:t xml:space="preserve">together. If a group A parent (Iᴬi) is crossed with a group B parent (Iᴮi), the children can be </w:t>
      </w:r>
      <w:r>
        <w:rPr>
          <w:rFonts w:cs="Calibri"/>
          <w:b/>
          <w:bCs/>
        </w:rPr>
        <w:t>AB, A, B or O</w:t>
      </w:r>
      <w:r>
        <w:rPr>
          <w:rFonts w:cs="Calibri"/>
        </w:rPr>
        <w:t>, showing all the combinations.</w:t>
      </w:r>
    </w:p>
    <w:p w14:paraId="51700AB8" w14:textId="1474B08B" w:rsidR="00117937" w:rsidRDefault="00FC04E5">
      <w:pPr>
        <w:spacing w:before="140" w:after="40"/>
        <w:jc w:val="center"/>
      </w:pPr>
      <w:r>
        <w:rPr>
          <w:noProof/>
        </w:rPr>
        <w:drawing>
          <wp:inline distT="0" distB="0" distL="0" distR="0" wp14:anchorId="5BA576C6" wp14:editId="5BED431A">
            <wp:extent cx="3370217" cy="2697177"/>
            <wp:effectExtent l="0" t="0" r="0" b="0"/>
            <wp:docPr id="9161916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91639" name="Picture 9161916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581" cy="270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04DE" w14:textId="3A9EE2D8" w:rsidR="00117937" w:rsidRPr="00D041AD" w:rsidRDefault="00000000">
      <w:pPr>
        <w:spacing w:before="60" w:after="220"/>
        <w:jc w:val="center"/>
      </w:pPr>
      <w:r w:rsidRPr="00D041AD">
        <w:rPr>
          <w:rFonts w:cs="Calibri"/>
          <w:color w:val="595959"/>
          <w:sz w:val="20"/>
          <w:szCs w:val="20"/>
        </w:rPr>
        <w:t xml:space="preserve">Figure 2: Co-dominance in blood groups </w:t>
      </w:r>
      <w:r w:rsidR="00D041AD">
        <w:rPr>
          <w:rFonts w:cs="Calibri"/>
          <w:color w:val="595959"/>
          <w:sz w:val="20"/>
          <w:szCs w:val="20"/>
          <w:lang w:val="en-US"/>
        </w:rPr>
        <w:t>-</w:t>
      </w:r>
      <w:r w:rsidRPr="00D041AD">
        <w:rPr>
          <w:rFonts w:cs="Calibri"/>
          <w:color w:val="595959"/>
          <w:sz w:val="20"/>
          <w:szCs w:val="20"/>
        </w:rPr>
        <w:t xml:space="preserve"> an IᴬIᴮ person is group AB, expressing both A and B antigens fully.</w:t>
      </w:r>
    </w:p>
    <w:p w14:paraId="15BF9231" w14:textId="77777777" w:rsidR="00117937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Incomplete Dominance vs Co-dominance</w:t>
      </w:r>
    </w:p>
    <w:p w14:paraId="71581799" w14:textId="77777777" w:rsidR="00117937" w:rsidRDefault="00000000">
      <w:pPr>
        <w:spacing w:after="200" w:line="276" w:lineRule="auto"/>
        <w:jc w:val="both"/>
      </w:pPr>
      <w:r>
        <w:rPr>
          <w:rFonts w:cs="Calibri"/>
        </w:rPr>
        <w:t xml:space="preserve">These two are easy to confuse, so the difference is worth stressing. In </w:t>
      </w:r>
      <w:r>
        <w:rPr>
          <w:rFonts w:cs="Calibri"/>
          <w:b/>
          <w:bCs/>
        </w:rPr>
        <w:t>incomplete dominance</w:t>
      </w:r>
      <w:r>
        <w:rPr>
          <w:rFonts w:cs="Calibri"/>
        </w:rPr>
        <w:t xml:space="preserve">, the two alleles </w:t>
      </w:r>
      <w:r>
        <w:rPr>
          <w:rFonts w:cs="Calibri"/>
          <w:b/>
          <w:bCs/>
        </w:rPr>
        <w:t>mix</w:t>
      </w:r>
      <w:r>
        <w:rPr>
          <w:rFonts w:cs="Calibri"/>
        </w:rPr>
        <w:t xml:space="preserve"> to make a new, intermediate phenotype (red + white = </w:t>
      </w:r>
      <w:r>
        <w:rPr>
          <w:rFonts w:cs="Calibri"/>
          <w:b/>
          <w:bCs/>
        </w:rPr>
        <w:t>pink</w:t>
      </w:r>
      <w:r>
        <w:rPr>
          <w:rFonts w:cs="Calibri"/>
        </w:rPr>
        <w:t xml:space="preserve">). In </w:t>
      </w:r>
      <w:r>
        <w:rPr>
          <w:rFonts w:cs="Calibri"/>
          <w:b/>
          <w:bCs/>
        </w:rPr>
        <w:t>co-dominance</w:t>
      </w:r>
      <w:r>
        <w:rPr>
          <w:rFonts w:cs="Calibri"/>
        </w:rPr>
        <w:t xml:space="preserve">, the two alleles </w:t>
      </w:r>
      <w:r>
        <w:rPr>
          <w:rFonts w:cs="Calibri"/>
          <w:b/>
          <w:bCs/>
        </w:rPr>
        <w:t>both appear separately and fully</w:t>
      </w:r>
      <w:r>
        <w:rPr>
          <w:rFonts w:cs="Calibri"/>
        </w:rPr>
        <w:t xml:space="preserve"> (A + B = </w:t>
      </w:r>
      <w:r>
        <w:rPr>
          <w:rFonts w:cs="Calibri"/>
          <w:b/>
          <w:bCs/>
        </w:rPr>
        <w:t>AB</w:t>
      </w:r>
      <w:r>
        <w:rPr>
          <w:rFonts w:cs="Calibri"/>
        </w:rPr>
        <w:t xml:space="preserve">, not a blend). A helpful memory aid: incomplete dominance </w:t>
      </w:r>
      <w:r>
        <w:rPr>
          <w:rFonts w:cs="Calibri"/>
          <w:b/>
          <w:bCs/>
        </w:rPr>
        <w:t>blends</w:t>
      </w:r>
      <w:r>
        <w:rPr>
          <w:rFonts w:cs="Calibri"/>
        </w:rPr>
        <w:t xml:space="preserve">, co-dominance </w:t>
      </w:r>
      <w:r>
        <w:rPr>
          <w:rFonts w:cs="Calibri"/>
          <w:b/>
          <w:bCs/>
        </w:rPr>
        <w:t>shows both</w:t>
      </w:r>
      <w:r>
        <w:rPr>
          <w:rFonts w:cs="Calibri"/>
        </w:rPr>
        <w:t>.</w:t>
      </w:r>
    </w:p>
    <w:p w14:paraId="5B8E3274" w14:textId="77777777" w:rsidR="00117937" w:rsidRPr="00D041AD" w:rsidRDefault="00000000">
      <w:pPr>
        <w:keepNext/>
        <w:spacing w:before="300" w:after="140"/>
        <w:rPr>
          <w:sz w:val="20"/>
          <w:szCs w:val="20"/>
        </w:rPr>
      </w:pPr>
      <w:r w:rsidRPr="00D041AD">
        <w:rPr>
          <w:rFonts w:cs="Calibri"/>
          <w:b/>
          <w:bCs/>
          <w:color w:val="1F497D"/>
          <w:sz w:val="32"/>
          <w:szCs w:val="32"/>
        </w:rPr>
        <w:t>Sex Linkage</w:t>
      </w:r>
    </w:p>
    <w:p w14:paraId="79327F4D" w14:textId="758040D6" w:rsidR="00117937" w:rsidRDefault="00000000">
      <w:pPr>
        <w:spacing w:after="200" w:line="276" w:lineRule="auto"/>
        <w:jc w:val="both"/>
      </w:pPr>
      <w:r>
        <w:rPr>
          <w:rFonts w:cs="Calibri"/>
        </w:rPr>
        <w:t xml:space="preserve">A </w:t>
      </w:r>
      <w:r>
        <w:rPr>
          <w:rFonts w:cs="Calibri"/>
          <w:b/>
          <w:bCs/>
        </w:rPr>
        <w:t>sex-linked</w:t>
      </w:r>
      <w:r>
        <w:rPr>
          <w:rFonts w:cs="Calibri"/>
        </w:rPr>
        <w:t xml:space="preserve"> gene is carried on a </w:t>
      </w:r>
      <w:r>
        <w:rPr>
          <w:rFonts w:cs="Calibri"/>
          <w:b/>
          <w:bCs/>
        </w:rPr>
        <w:t>sex chromosome</w:t>
      </w:r>
      <w:r>
        <w:rPr>
          <w:rFonts w:cs="Calibri"/>
        </w:rPr>
        <w:t xml:space="preserve"> </w:t>
      </w:r>
      <w:r w:rsidR="00D041AD">
        <w:rPr>
          <w:rFonts w:cs="Calibri"/>
          <w:lang w:val="en-US"/>
        </w:rPr>
        <w:t>-</w:t>
      </w:r>
      <w:r>
        <w:rPr>
          <w:rFonts w:cs="Calibri"/>
        </w:rPr>
        <w:t xml:space="preserve"> almost always the </w:t>
      </w:r>
      <w:r>
        <w:rPr>
          <w:rFonts w:cs="Calibri"/>
          <w:b/>
          <w:bCs/>
        </w:rPr>
        <w:t>X</w:t>
      </w:r>
      <w:r>
        <w:rPr>
          <w:rFonts w:cs="Calibri"/>
        </w:rPr>
        <w:t xml:space="preserve"> chromosome. Females are </w:t>
      </w:r>
      <w:r>
        <w:rPr>
          <w:rFonts w:cs="Calibri"/>
          <w:b/>
          <w:bCs/>
        </w:rPr>
        <w:t>XX</w:t>
      </w:r>
      <w:r>
        <w:rPr>
          <w:rFonts w:cs="Calibri"/>
        </w:rPr>
        <w:t xml:space="preserve"> and males are </w:t>
      </w:r>
      <w:r>
        <w:rPr>
          <w:rFonts w:cs="Calibri"/>
          <w:b/>
          <w:bCs/>
        </w:rPr>
        <w:t>XY</w:t>
      </w:r>
      <w:r>
        <w:rPr>
          <w:rFonts w:cs="Calibri"/>
        </w:rPr>
        <w:t xml:space="preserve">. Because the </w:t>
      </w:r>
      <w:r>
        <w:rPr>
          <w:rFonts w:cs="Calibri"/>
          <w:b/>
          <w:bCs/>
        </w:rPr>
        <w:t>Y chromosome is small</w:t>
      </w:r>
      <w:r>
        <w:rPr>
          <w:rFonts w:cs="Calibri"/>
        </w:rPr>
        <w:t xml:space="preserve"> and carries no matching copy of most X genes, a male has </w:t>
      </w:r>
      <w:r>
        <w:rPr>
          <w:rFonts w:cs="Calibri"/>
          <w:b/>
          <w:bCs/>
        </w:rPr>
        <w:t>only one copy</w:t>
      </w:r>
      <w:r>
        <w:rPr>
          <w:rFonts w:cs="Calibri"/>
        </w:rPr>
        <w:t xml:space="preserve"> of each X-linked gene, so even a </w:t>
      </w:r>
      <w:r>
        <w:rPr>
          <w:rFonts w:cs="Calibri"/>
          <w:b/>
          <w:bCs/>
        </w:rPr>
        <w:t>single recessive allele</w:t>
      </w:r>
      <w:r>
        <w:rPr>
          <w:rFonts w:cs="Calibri"/>
        </w:rPr>
        <w:t xml:space="preserve"> will show in him. A female, with two X chromosomes, can be a </w:t>
      </w:r>
      <w:r>
        <w:rPr>
          <w:rFonts w:cs="Calibri"/>
          <w:b/>
          <w:bCs/>
        </w:rPr>
        <w:t>carrier</w:t>
      </w:r>
      <w:r>
        <w:rPr>
          <w:rFonts w:cs="Calibri"/>
        </w:rPr>
        <w:t xml:space="preserve"> </w:t>
      </w:r>
      <w:r w:rsidR="00D041AD">
        <w:rPr>
          <w:rFonts w:cs="Calibri"/>
          <w:lang w:val="en-US"/>
        </w:rPr>
        <w:t>-</w:t>
      </w:r>
      <w:r>
        <w:rPr>
          <w:rFonts w:cs="Calibri"/>
        </w:rPr>
        <w:t xml:space="preserve"> carrying the recessive allele on one X but hidden by a normal allele on the other. This is why X-linked recessive conditions such as </w:t>
      </w:r>
      <w:r>
        <w:rPr>
          <w:rFonts w:cs="Calibri"/>
          <w:b/>
          <w:bCs/>
        </w:rPr>
        <w:t>red–green colour blindness</w:t>
      </w:r>
      <w:r>
        <w:rPr>
          <w:rFonts w:cs="Calibri"/>
        </w:rPr>
        <w:t xml:space="preserve"> and </w:t>
      </w:r>
      <w:r>
        <w:rPr>
          <w:rFonts w:cs="Calibri"/>
          <w:b/>
          <w:bCs/>
        </w:rPr>
        <w:t>haemophilia</w:t>
      </w:r>
      <w:r>
        <w:rPr>
          <w:rFonts w:cs="Calibri"/>
        </w:rPr>
        <w:t xml:space="preserve"> are much </w:t>
      </w:r>
      <w:r>
        <w:rPr>
          <w:rFonts w:cs="Calibri"/>
          <w:b/>
          <w:bCs/>
        </w:rPr>
        <w:t>more common in males</w:t>
      </w:r>
      <w:r>
        <w:rPr>
          <w:rFonts w:cs="Calibri"/>
        </w:rPr>
        <w:t>.</w:t>
      </w:r>
    </w:p>
    <w:p w14:paraId="214AB425" w14:textId="77777777" w:rsidR="00117937" w:rsidRDefault="00000000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07AA7B47" wp14:editId="01C86180">
            <wp:extent cx="4559300" cy="2258737"/>
            <wp:effectExtent l="0" t="0" r="0" b="8255"/>
            <wp:docPr id="190123562" name="inh_sexlink.png" descr="inh_sexlink.png" title="inh_sexlin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381" cy="226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BCFE" w14:textId="5A4DD693" w:rsidR="00117937" w:rsidRPr="00D041AD" w:rsidRDefault="00000000">
      <w:pPr>
        <w:spacing w:before="60" w:after="220"/>
        <w:jc w:val="center"/>
      </w:pPr>
      <w:r w:rsidRPr="00D041AD">
        <w:rPr>
          <w:rFonts w:cs="Calibri"/>
          <w:color w:val="595959"/>
          <w:sz w:val="20"/>
          <w:szCs w:val="20"/>
        </w:rPr>
        <w:t xml:space="preserve">Figure 3: Sex linkage </w:t>
      </w:r>
      <w:r w:rsidR="00D041AD">
        <w:rPr>
          <w:rFonts w:cs="Calibri"/>
          <w:color w:val="595959"/>
          <w:sz w:val="20"/>
          <w:szCs w:val="20"/>
          <w:lang w:val="en-US"/>
        </w:rPr>
        <w:t>-</w:t>
      </w:r>
      <w:r w:rsidRPr="00D041AD">
        <w:rPr>
          <w:rFonts w:cs="Calibri"/>
          <w:color w:val="595959"/>
          <w:sz w:val="20"/>
          <w:szCs w:val="20"/>
        </w:rPr>
        <w:t xml:space="preserve"> a carrier mother and normal father can have colour-blind sons but no colour-blind daughters.</w:t>
      </w:r>
    </w:p>
    <w:p w14:paraId="4078360A" w14:textId="305C0FFE" w:rsidR="00117937" w:rsidRPr="00D041AD" w:rsidRDefault="00000000">
      <w:pPr>
        <w:keepNext/>
        <w:spacing w:before="300" w:after="140"/>
        <w:rPr>
          <w:sz w:val="20"/>
          <w:szCs w:val="20"/>
        </w:rPr>
      </w:pPr>
      <w:r w:rsidRPr="00D041AD">
        <w:rPr>
          <w:rFonts w:cs="Calibri"/>
          <w:b/>
          <w:bCs/>
          <w:color w:val="1F497D"/>
          <w:sz w:val="32"/>
          <w:szCs w:val="32"/>
        </w:rPr>
        <w:t xml:space="preserve">Worked Example </w:t>
      </w:r>
      <w:r w:rsidR="00D041AD" w:rsidRPr="00D041AD">
        <w:rPr>
          <w:rFonts w:cs="Calibri"/>
          <w:b/>
          <w:bCs/>
          <w:color w:val="1F497D"/>
          <w:sz w:val="32"/>
          <w:szCs w:val="32"/>
          <w:lang w:val="en-US"/>
        </w:rPr>
        <w:t>-</w:t>
      </w:r>
      <w:r w:rsidRPr="00D041AD">
        <w:rPr>
          <w:rFonts w:cs="Calibri"/>
          <w:b/>
          <w:bCs/>
          <w:color w:val="1F497D"/>
          <w:sz w:val="32"/>
          <w:szCs w:val="32"/>
        </w:rPr>
        <w:t xml:space="preserve"> A Sex-Linked Cross</w:t>
      </w:r>
    </w:p>
    <w:p w14:paraId="5EBDE856" w14:textId="77777777" w:rsidR="00117937" w:rsidRDefault="00000000">
      <w:pPr>
        <w:spacing w:after="200" w:line="276" w:lineRule="auto"/>
        <w:jc w:val="both"/>
      </w:pPr>
      <w:r>
        <w:rPr>
          <w:rFonts w:cs="Calibri"/>
        </w:rPr>
        <w:t xml:space="preserve">Consider colour blindness, where </w:t>
      </w:r>
      <w:r>
        <w:rPr>
          <w:rFonts w:cs="Calibri"/>
          <w:b/>
          <w:bCs/>
        </w:rPr>
        <w:t>Xᴺ</w:t>
      </w:r>
      <w:r>
        <w:rPr>
          <w:rFonts w:cs="Calibri"/>
        </w:rPr>
        <w:t xml:space="preserve"> = normal vision (dominant) and </w:t>
      </w:r>
      <w:r>
        <w:rPr>
          <w:rFonts w:cs="Calibri"/>
          <w:b/>
          <w:bCs/>
        </w:rPr>
        <w:t>Xⁿ</w:t>
      </w:r>
      <w:r>
        <w:rPr>
          <w:rFonts w:cs="Calibri"/>
        </w:rPr>
        <w:t xml:space="preserve"> = colour-blind (recessive). A </w:t>
      </w:r>
      <w:r>
        <w:rPr>
          <w:rFonts w:cs="Calibri"/>
          <w:b/>
          <w:bCs/>
        </w:rPr>
        <w:t>carrier mother (XᴺXⁿ)</w:t>
      </w:r>
      <w:r>
        <w:rPr>
          <w:rFonts w:cs="Calibri"/>
        </w:rPr>
        <w:t xml:space="preserve"> marries a </w:t>
      </w:r>
      <w:r>
        <w:rPr>
          <w:rFonts w:cs="Calibri"/>
          <w:b/>
          <w:bCs/>
        </w:rPr>
        <w:t>normal father (XᴺY)</w:t>
      </w:r>
      <w:r>
        <w:rPr>
          <w:rFonts w:cs="Calibri"/>
        </w:rPr>
        <w:t>:</w:t>
      </w:r>
    </w:p>
    <w:p w14:paraId="368708C1" w14:textId="77777777" w:rsidR="00117937" w:rsidRDefault="00000000">
      <w:pPr>
        <w:spacing w:before="90" w:after="180"/>
        <w:jc w:val="center"/>
      </w:pPr>
      <w:r>
        <w:rPr>
          <w:rFonts w:cs="Calibri"/>
          <w:b/>
          <w:bCs/>
          <w:color w:val="1F497D"/>
          <w:sz w:val="30"/>
          <w:szCs w:val="30"/>
        </w:rPr>
        <w:t>XᴺXⁿ  ×  XᴺY   →   XᴺXᴺ , XᴺXⁿ , XᴺY , XⁿY</w:t>
      </w:r>
    </w:p>
    <w:p w14:paraId="7567A1F6" w14:textId="2A6501B1" w:rsidR="00117937" w:rsidRDefault="00000000">
      <w:pPr>
        <w:spacing w:after="200" w:line="276" w:lineRule="auto"/>
        <w:jc w:val="both"/>
      </w:pPr>
      <w:r>
        <w:rPr>
          <w:rFonts w:cs="Calibri"/>
        </w:rPr>
        <w:t xml:space="preserve">The daughters are all normal-sighted (one is a </w:t>
      </w:r>
      <w:r>
        <w:rPr>
          <w:rFonts w:cs="Calibri"/>
          <w:b/>
          <w:bCs/>
        </w:rPr>
        <w:t>carrier</w:t>
      </w:r>
      <w:r>
        <w:rPr>
          <w:rFonts w:cs="Calibri"/>
        </w:rPr>
        <w:t xml:space="preserve">, XᴺXⁿ), but among the sons, </w:t>
      </w:r>
      <w:r>
        <w:rPr>
          <w:rFonts w:cs="Calibri"/>
          <w:b/>
          <w:bCs/>
        </w:rPr>
        <w:t>half (XⁿY) are colour-blind</w:t>
      </w:r>
      <w:r>
        <w:rPr>
          <w:rFonts w:cs="Calibri"/>
        </w:rPr>
        <w:t xml:space="preserve">. So this couple can have </w:t>
      </w:r>
      <w:r>
        <w:rPr>
          <w:rFonts w:cs="Calibri"/>
          <w:b/>
          <w:bCs/>
        </w:rPr>
        <w:t>colour-blind sons but no colour-blind daughters</w:t>
      </w:r>
      <w:r>
        <w:rPr>
          <w:rFonts w:cs="Calibri"/>
        </w:rPr>
        <w:t xml:space="preserve"> </w:t>
      </w:r>
      <w:r w:rsidR="00D041AD">
        <w:rPr>
          <w:rFonts w:cs="Calibri"/>
          <w:lang w:val="en-US"/>
        </w:rPr>
        <w:t>-</w:t>
      </w:r>
      <w:r>
        <w:rPr>
          <w:rFonts w:cs="Calibri"/>
        </w:rPr>
        <w:t xml:space="preserve"> the typical pattern of an X-linked recessive trait, where the condition passes from a carrier mother to her sons.</w:t>
      </w:r>
    </w:p>
    <w:p w14:paraId="23BD5002" w14:textId="77777777" w:rsidR="00117937" w:rsidRPr="00D041AD" w:rsidRDefault="00000000">
      <w:pPr>
        <w:keepNext/>
        <w:spacing w:before="300" w:after="140"/>
        <w:rPr>
          <w:sz w:val="20"/>
          <w:szCs w:val="20"/>
        </w:rPr>
      </w:pPr>
      <w:r w:rsidRPr="00D041AD">
        <w:rPr>
          <w:rFonts w:cs="Calibri"/>
          <w:b/>
          <w:bCs/>
          <w:color w:val="1F497D"/>
          <w:sz w:val="32"/>
          <w:szCs w:val="32"/>
        </w:rPr>
        <w:t>Why This Matters</w:t>
      </w:r>
    </w:p>
    <w:p w14:paraId="30B316F2" w14:textId="6AC79E74" w:rsidR="0011793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Real inheritance</w:t>
      </w:r>
      <w:r>
        <w:t xml:space="preserve"> </w:t>
      </w:r>
      <w:r w:rsidR="00D041AD">
        <w:rPr>
          <w:lang w:val="en-US"/>
        </w:rPr>
        <w:t>-</w:t>
      </w:r>
      <w:r>
        <w:t xml:space="preserve"> most traits are more complex than simple dominance.</w:t>
      </w:r>
    </w:p>
    <w:p w14:paraId="618420EC" w14:textId="0F922F69" w:rsidR="0011793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Blood transfusion</w:t>
      </w:r>
      <w:r>
        <w:t xml:space="preserve"> </w:t>
      </w:r>
      <w:r w:rsidR="00D041AD">
        <w:rPr>
          <w:lang w:val="en-US"/>
        </w:rPr>
        <w:t>-</w:t>
      </w:r>
      <w:r>
        <w:t xml:space="preserve"> blood-group co-dominance is vital for safe transfusions.</w:t>
      </w:r>
    </w:p>
    <w:p w14:paraId="24EFE3DD" w14:textId="63D48649" w:rsidR="0011793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Health</w:t>
      </w:r>
      <w:r>
        <w:t xml:space="preserve"> </w:t>
      </w:r>
      <w:r w:rsidR="00D041AD">
        <w:rPr>
          <w:lang w:val="en-US"/>
        </w:rPr>
        <w:t>-</w:t>
      </w:r>
      <w:r>
        <w:t xml:space="preserve"> sex linkage explains conditions like colour blindness and haemophilia.</w:t>
      </w:r>
    </w:p>
    <w:p w14:paraId="22055EDE" w14:textId="417445D4" w:rsidR="0011793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Genetic counselling</w:t>
      </w:r>
      <w:r>
        <w:t xml:space="preserve"> </w:t>
      </w:r>
      <w:r w:rsidR="00D041AD">
        <w:rPr>
          <w:lang w:val="en-US"/>
        </w:rPr>
        <w:t>-</w:t>
      </w:r>
      <w:r>
        <w:t xml:space="preserve"> these patterns help predict inherited conditions in families.</w:t>
      </w:r>
    </w:p>
    <w:p w14:paraId="43152C5C" w14:textId="77777777" w:rsidR="00117937" w:rsidRPr="00D041AD" w:rsidRDefault="00000000">
      <w:pPr>
        <w:keepNext/>
        <w:spacing w:before="300" w:after="140"/>
        <w:rPr>
          <w:sz w:val="20"/>
          <w:szCs w:val="20"/>
        </w:rPr>
      </w:pPr>
      <w:r w:rsidRPr="00D041AD">
        <w:rPr>
          <w:rFonts w:cs="Calibri"/>
          <w:b/>
          <w:bCs/>
          <w:color w:val="1F497D"/>
          <w:sz w:val="32"/>
          <w:szCs w:val="32"/>
        </w:rPr>
        <w:t>PNG Context Example</w:t>
      </w:r>
    </w:p>
    <w:p w14:paraId="1E53AABA" w14:textId="57F66B6E" w:rsidR="00117937" w:rsidRDefault="00000000">
      <w:pPr>
        <w:spacing w:after="200" w:line="276" w:lineRule="auto"/>
        <w:jc w:val="both"/>
      </w:pPr>
      <w:r>
        <w:rPr>
          <w:rFonts w:cs="Calibri"/>
        </w:rPr>
        <w:t xml:space="preserve">These inheritance patterns matter for health in </w:t>
      </w:r>
      <w:r>
        <w:rPr>
          <w:rFonts w:cs="Calibri"/>
          <w:b/>
          <w:bCs/>
        </w:rPr>
        <w:t>Papua New Guinea</w:t>
      </w:r>
      <w:r>
        <w:rPr>
          <w:rFonts w:cs="Calibri"/>
        </w:rPr>
        <w:t xml:space="preserve">. </w:t>
      </w:r>
      <w:r>
        <w:rPr>
          <w:rFonts w:cs="Calibri"/>
          <w:b/>
          <w:bCs/>
        </w:rPr>
        <w:t>Blood grouping</w:t>
      </w:r>
      <w:r>
        <w:rPr>
          <w:rFonts w:cs="Calibri"/>
        </w:rPr>
        <w:t xml:space="preserve"> (co-dominance of A and B) is essential for </w:t>
      </w:r>
      <w:r>
        <w:rPr>
          <w:rFonts w:cs="Calibri"/>
          <w:b/>
          <w:bCs/>
        </w:rPr>
        <w:t>safe blood transfusions</w:t>
      </w:r>
      <w:r>
        <w:rPr>
          <w:rFonts w:cs="Calibri"/>
        </w:rPr>
        <w:t xml:space="preserve"> in hospitals </w:t>
      </w:r>
      <w:r w:rsidR="00D041AD">
        <w:rPr>
          <w:rFonts w:cs="Calibri"/>
          <w:lang w:val="en-US"/>
        </w:rPr>
        <w:t>-</w:t>
      </w:r>
      <w:r>
        <w:rPr>
          <w:rFonts w:cs="Calibri"/>
        </w:rPr>
        <w:t xml:space="preserve"> for example during childbirth or after accidents </w:t>
      </w:r>
      <w:r w:rsidR="00D041AD">
        <w:rPr>
          <w:rFonts w:cs="Calibri"/>
          <w:lang w:val="en-US"/>
        </w:rPr>
        <w:t>-</w:t>
      </w:r>
      <w:r>
        <w:rPr>
          <w:rFonts w:cs="Calibri"/>
        </w:rPr>
        <w:t xml:space="preserve"> so understanding the ABO system saves lives. </w:t>
      </w:r>
      <w:r>
        <w:rPr>
          <w:rFonts w:cs="Calibri"/>
          <w:b/>
          <w:bCs/>
        </w:rPr>
        <w:t>Sex-linked</w:t>
      </w:r>
      <w:r>
        <w:rPr>
          <w:rFonts w:cs="Calibri"/>
        </w:rPr>
        <w:t xml:space="preserve"> conditions such as </w:t>
      </w:r>
      <w:r>
        <w:rPr>
          <w:rFonts w:cs="Calibri"/>
          <w:b/>
          <w:bCs/>
        </w:rPr>
        <w:t>red–green colour blindness</w:t>
      </w:r>
      <w:r>
        <w:rPr>
          <w:rFonts w:cs="Calibri"/>
        </w:rPr>
        <w:t xml:space="preserve"> affect more boys than girls, which can matter for tasks that rely on colour, and </w:t>
      </w:r>
      <w:r>
        <w:rPr>
          <w:rFonts w:cs="Calibri"/>
          <w:b/>
          <w:bCs/>
        </w:rPr>
        <w:t>haemophilia</w:t>
      </w:r>
      <w:r>
        <w:rPr>
          <w:rFonts w:cs="Calibri"/>
        </w:rPr>
        <w:t xml:space="preserve"> is a serious X-linked bleeding disorder. Understanding </w:t>
      </w:r>
      <w:r>
        <w:rPr>
          <w:rFonts w:cs="Calibri"/>
          <w:b/>
          <w:bCs/>
        </w:rPr>
        <w:t>carriers</w:t>
      </w:r>
      <w:r>
        <w:rPr>
          <w:rFonts w:cs="Calibri"/>
        </w:rPr>
        <w:t xml:space="preserve"> and how these traits pass through families supports </w:t>
      </w:r>
      <w:r>
        <w:rPr>
          <w:rFonts w:cs="Calibri"/>
          <w:b/>
          <w:bCs/>
        </w:rPr>
        <w:t>genetic awareness and counselling</w:t>
      </w:r>
      <w:r>
        <w:rPr>
          <w:rFonts w:cs="Calibri"/>
        </w:rPr>
        <w:t>, helping families understand the chances of inherited conditions in their children.</w:t>
      </w:r>
    </w:p>
    <w:p w14:paraId="0AC96B3A" w14:textId="6F6757A4" w:rsidR="00117937" w:rsidRDefault="00D041AD">
      <w:pPr>
        <w:keepNext/>
        <w:spacing w:before="300" w:after="140"/>
      </w:pPr>
      <w:r>
        <w:rPr>
          <w:rFonts w:cs="Calibri"/>
          <w:b/>
          <w:bCs/>
          <w:color w:val="1F497D"/>
          <w:sz w:val="40"/>
          <w:szCs w:val="40"/>
        </w:rPr>
        <w:br w:type="column"/>
      </w:r>
      <w:r w:rsidRPr="00D041AD">
        <w:rPr>
          <w:rFonts w:cs="Calibri"/>
          <w:b/>
          <w:bCs/>
          <w:color w:val="1F497D"/>
          <w:sz w:val="32"/>
          <w:szCs w:val="32"/>
        </w:rPr>
        <w:lastRenderedPageBreak/>
        <w:t>References &amp; Related Documents</w:t>
      </w:r>
    </w:p>
    <w:p w14:paraId="6C2358C0" w14:textId="77777777" w:rsidR="00117937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Source Documents</w:t>
      </w:r>
    </w:p>
    <w:p w14:paraId="23109EEF" w14:textId="60DA4D3A" w:rsidR="0011793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Biology Standards-Based Syllabus, Grades 11 &amp; 12 (PNG SBC 2020) </w:t>
      </w:r>
      <w:r w:rsidR="00D041AD">
        <w:rPr>
          <w:lang w:val="en-US"/>
        </w:rPr>
        <w:t>-</w:t>
      </w:r>
      <w:r>
        <w:t xml:space="preserve"> Strand: Genetics &amp; Molecular Biology; Unit on inheritance </w:t>
      </w:r>
      <w:r w:rsidR="00D041AD">
        <w:rPr>
          <w:lang w:val="en-US"/>
        </w:rPr>
        <w:t>-</w:t>
      </w:r>
      <w:r>
        <w:t xml:space="preserve"> investigate patterns of inheritance including incomplete dominance, co-dominance and sex linkage.</w:t>
      </w:r>
    </w:p>
    <w:p w14:paraId="4FAE00ED" w14:textId="4FE07ABE" w:rsidR="0011793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STEM Biology Syllabus </w:t>
      </w:r>
      <w:r w:rsidR="00D041AD">
        <w:rPr>
          <w:lang w:val="en-US"/>
        </w:rPr>
        <w:t>-</w:t>
      </w:r>
      <w:r>
        <w:t xml:space="preserve"> Grade 12. Thema: Genetics; Module: Patterns of Inheritance. Department of Education, PNG.</w:t>
      </w:r>
    </w:p>
    <w:p w14:paraId="61667696" w14:textId="77777777" w:rsidR="00117937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Further Reading &amp; References</w:t>
      </w:r>
    </w:p>
    <w:p w14:paraId="32E04750" w14:textId="16015DAE" w:rsidR="0011793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OpenStax Biology </w:t>
      </w:r>
      <w:r w:rsidR="00D041AD">
        <w:rPr>
          <w:lang w:val="en-US"/>
        </w:rPr>
        <w:t>-</w:t>
      </w:r>
      <w:r>
        <w:t xml:space="preserve"> </w:t>
      </w:r>
      <w:r>
        <w:rPr>
          <w:i/>
          <w:iCs/>
        </w:rPr>
        <w:t>Extensions of the Laws of Inheritance; Incomplete Dominance, Codominance and Sex Linkage.</w:t>
      </w:r>
      <w:r>
        <w:t xml:space="preserve"> https://openstax.org/books/biology</w:t>
      </w:r>
    </w:p>
    <w:p w14:paraId="611C9456" w14:textId="667B97AD" w:rsidR="00117937" w:rsidRDefault="00000000" w:rsidP="00D041AD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Khan Academy </w:t>
      </w:r>
      <w:r w:rsidR="00D041AD">
        <w:rPr>
          <w:lang w:val="en-US"/>
        </w:rPr>
        <w:t>-</w:t>
      </w:r>
      <w:r>
        <w:t xml:space="preserve"> </w:t>
      </w:r>
      <w:r>
        <w:rPr>
          <w:i/>
          <w:iCs/>
        </w:rPr>
        <w:t>Variations on Mendelian genetics; sex linkage.</w:t>
      </w:r>
      <w:r>
        <w:t xml:space="preserve"> https://www.khanacademy.org/science/biology/classical-genetics</w:t>
      </w:r>
    </w:p>
    <w:sectPr w:rsidR="00117937" w:rsidSect="00D041AD">
      <w:headerReference w:type="default" r:id="rId11"/>
      <w:footerReference w:type="default" r:id="rId12"/>
      <w:footerReference w:type="first" r:id="rId13"/>
      <w:pgSz w:w="12240" w:h="15840"/>
      <w:pgMar w:top="1440" w:right="1080" w:bottom="144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709D2" w14:textId="77777777" w:rsidR="00D56EEA" w:rsidRDefault="00D56EEA">
      <w:r>
        <w:separator/>
      </w:r>
    </w:p>
  </w:endnote>
  <w:endnote w:type="continuationSeparator" w:id="0">
    <w:p w14:paraId="28694882" w14:textId="77777777" w:rsidR="00D56EEA" w:rsidRDefault="00D56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976B4" w14:textId="77777777" w:rsidR="00117937" w:rsidRDefault="00000000" w:rsidP="00D041AD">
    <w:pPr>
      <w:tabs>
        <w:tab w:val="right" w:pos="9990"/>
      </w:tabs>
    </w:pPr>
    <w:r>
      <w:rPr>
        <w:rFonts w:ascii="Times New Roman" w:eastAsia="Times New Roman" w:hAnsi="Times New Roman" w:cs="Times New Roman"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sz w:val="20"/>
        <w:szCs w:val="20"/>
      </w:rPr>
      <w:t>EduNeX Initiative</w:t>
    </w:r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 w:rsidR="00407600">
      <w:rPr>
        <w:rFonts w:ascii="Times New Roman" w:eastAsia="Times New Roman" w:hAnsi="Times New Roman" w:cs="Times New Roman"/>
        <w:noProof/>
        <w:sz w:val="20"/>
        <w:szCs w:val="20"/>
      </w:rPr>
      <w:t>2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24DA4" w14:textId="77777777" w:rsidR="00117937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i/>
        <w:iCs/>
        <w:sz w:val="20"/>
        <w:szCs w:val="20"/>
      </w:rPr>
      <w:t>National Department of Education (NDoE), Papua New Guinea –</w:t>
    </w:r>
  </w:p>
  <w:p w14:paraId="429968F7" w14:textId="77777777" w:rsidR="00117937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>EduNeX Digital Learning Initiative.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5FED6" w14:textId="77777777" w:rsidR="00D56EEA" w:rsidRDefault="00D56EEA">
      <w:r>
        <w:separator/>
      </w:r>
    </w:p>
  </w:footnote>
  <w:footnote w:type="continuationSeparator" w:id="0">
    <w:p w14:paraId="78005550" w14:textId="77777777" w:rsidR="00D56EEA" w:rsidRDefault="00D56E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DD70E" w14:textId="77777777" w:rsidR="00117937" w:rsidRDefault="00000000" w:rsidP="00D041AD">
    <w:pPr>
      <w:tabs>
        <w:tab w:val="right" w:pos="9990"/>
      </w:tabs>
      <w:spacing w:after="200"/>
    </w:pPr>
    <w:r>
      <w:rPr>
        <w:noProof/>
      </w:rPr>
      <w:drawing>
        <wp:inline distT="0" distB="0" distL="0" distR="0" wp14:anchorId="59837A95" wp14:editId="2402939A">
          <wp:extent cx="876300" cy="238125"/>
          <wp:effectExtent l="0" t="0" r="0" b="0"/>
          <wp:docPr id="757511275" name="logo" descr="EduNeX" title="EduN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19"/>
        <w:szCs w:val="19"/>
      </w:rPr>
      <w:tab/>
      <w:t>Grade 12 | Biology | Sex Linkage, Co-dominance &amp; Incomplete Dominance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13149"/>
    <w:multiLevelType w:val="hybridMultilevel"/>
    <w:tmpl w:val="F8928174"/>
    <w:lvl w:ilvl="0" w:tplc="C0E0F6B0">
      <w:start w:val="1"/>
      <w:numFmt w:val="decimal"/>
      <w:lvlText w:val="%1."/>
      <w:lvlJc w:val="left"/>
      <w:pPr>
        <w:ind w:left="680" w:hanging="360"/>
      </w:pPr>
    </w:lvl>
    <w:lvl w:ilvl="1" w:tplc="672447CA">
      <w:numFmt w:val="decimal"/>
      <w:lvlText w:val=""/>
      <w:lvlJc w:val="left"/>
    </w:lvl>
    <w:lvl w:ilvl="2" w:tplc="708ACE64">
      <w:numFmt w:val="decimal"/>
      <w:lvlText w:val=""/>
      <w:lvlJc w:val="left"/>
    </w:lvl>
    <w:lvl w:ilvl="3" w:tplc="4D3A06FE">
      <w:numFmt w:val="decimal"/>
      <w:lvlText w:val=""/>
      <w:lvlJc w:val="left"/>
    </w:lvl>
    <w:lvl w:ilvl="4" w:tplc="C1124BF8">
      <w:numFmt w:val="decimal"/>
      <w:lvlText w:val=""/>
      <w:lvlJc w:val="left"/>
    </w:lvl>
    <w:lvl w:ilvl="5" w:tplc="F07C77C2">
      <w:numFmt w:val="decimal"/>
      <w:lvlText w:val=""/>
      <w:lvlJc w:val="left"/>
    </w:lvl>
    <w:lvl w:ilvl="6" w:tplc="B98A549A">
      <w:numFmt w:val="decimal"/>
      <w:lvlText w:val=""/>
      <w:lvlJc w:val="left"/>
    </w:lvl>
    <w:lvl w:ilvl="7" w:tplc="33E66350">
      <w:numFmt w:val="decimal"/>
      <w:lvlText w:val=""/>
      <w:lvlJc w:val="left"/>
    </w:lvl>
    <w:lvl w:ilvl="8" w:tplc="77D23D8A">
      <w:numFmt w:val="decimal"/>
      <w:lvlText w:val=""/>
      <w:lvlJc w:val="left"/>
    </w:lvl>
  </w:abstractNum>
  <w:abstractNum w:abstractNumId="1" w15:restartNumberingAfterBreak="0">
    <w:nsid w:val="4E364325"/>
    <w:multiLevelType w:val="hybridMultilevel"/>
    <w:tmpl w:val="6E148194"/>
    <w:lvl w:ilvl="0" w:tplc="9BCEC0AA">
      <w:start w:val="1"/>
      <w:numFmt w:val="bullet"/>
      <w:lvlText w:val="•"/>
      <w:lvlJc w:val="left"/>
      <w:pPr>
        <w:ind w:left="720" w:hanging="300"/>
      </w:pPr>
    </w:lvl>
    <w:lvl w:ilvl="1" w:tplc="E804A348">
      <w:numFmt w:val="decimal"/>
      <w:lvlText w:val=""/>
      <w:lvlJc w:val="left"/>
    </w:lvl>
    <w:lvl w:ilvl="2" w:tplc="86C821A6">
      <w:numFmt w:val="decimal"/>
      <w:lvlText w:val=""/>
      <w:lvlJc w:val="left"/>
    </w:lvl>
    <w:lvl w:ilvl="3" w:tplc="1F704C90">
      <w:numFmt w:val="decimal"/>
      <w:lvlText w:val=""/>
      <w:lvlJc w:val="left"/>
    </w:lvl>
    <w:lvl w:ilvl="4" w:tplc="B9DA6032">
      <w:numFmt w:val="decimal"/>
      <w:lvlText w:val=""/>
      <w:lvlJc w:val="left"/>
    </w:lvl>
    <w:lvl w:ilvl="5" w:tplc="D334FEDA">
      <w:numFmt w:val="decimal"/>
      <w:lvlText w:val=""/>
      <w:lvlJc w:val="left"/>
    </w:lvl>
    <w:lvl w:ilvl="6" w:tplc="8A4E39E4">
      <w:numFmt w:val="decimal"/>
      <w:lvlText w:val=""/>
      <w:lvlJc w:val="left"/>
    </w:lvl>
    <w:lvl w:ilvl="7" w:tplc="5FBADDE4">
      <w:numFmt w:val="decimal"/>
      <w:lvlText w:val=""/>
      <w:lvlJc w:val="left"/>
    </w:lvl>
    <w:lvl w:ilvl="8" w:tplc="178CDEB0">
      <w:numFmt w:val="decimal"/>
      <w:lvlText w:val=""/>
      <w:lvlJc w:val="left"/>
    </w:lvl>
  </w:abstractNum>
  <w:abstractNum w:abstractNumId="2" w15:restartNumberingAfterBreak="0">
    <w:nsid w:val="5A8C7D11"/>
    <w:multiLevelType w:val="hybridMultilevel"/>
    <w:tmpl w:val="A60C8B04"/>
    <w:lvl w:ilvl="0" w:tplc="93A6C818">
      <w:start w:val="1"/>
      <w:numFmt w:val="decimal"/>
      <w:lvlText w:val="%1."/>
      <w:lvlJc w:val="left"/>
      <w:pPr>
        <w:ind w:left="680" w:hanging="360"/>
      </w:pPr>
    </w:lvl>
    <w:lvl w:ilvl="1" w:tplc="CB9817A8">
      <w:numFmt w:val="decimal"/>
      <w:lvlText w:val=""/>
      <w:lvlJc w:val="left"/>
    </w:lvl>
    <w:lvl w:ilvl="2" w:tplc="DD6E4B6C">
      <w:numFmt w:val="decimal"/>
      <w:lvlText w:val=""/>
      <w:lvlJc w:val="left"/>
    </w:lvl>
    <w:lvl w:ilvl="3" w:tplc="E4FE6C86">
      <w:numFmt w:val="decimal"/>
      <w:lvlText w:val=""/>
      <w:lvlJc w:val="left"/>
    </w:lvl>
    <w:lvl w:ilvl="4" w:tplc="A7968E28">
      <w:numFmt w:val="decimal"/>
      <w:lvlText w:val=""/>
      <w:lvlJc w:val="left"/>
    </w:lvl>
    <w:lvl w:ilvl="5" w:tplc="05C84DAA">
      <w:numFmt w:val="decimal"/>
      <w:lvlText w:val=""/>
      <w:lvlJc w:val="left"/>
    </w:lvl>
    <w:lvl w:ilvl="6" w:tplc="EA0A3606">
      <w:numFmt w:val="decimal"/>
      <w:lvlText w:val=""/>
      <w:lvlJc w:val="left"/>
    </w:lvl>
    <w:lvl w:ilvl="7" w:tplc="1130B696">
      <w:numFmt w:val="decimal"/>
      <w:lvlText w:val=""/>
      <w:lvlJc w:val="left"/>
    </w:lvl>
    <w:lvl w:ilvl="8" w:tplc="11B83666">
      <w:numFmt w:val="decimal"/>
      <w:lvlText w:val=""/>
      <w:lvlJc w:val="left"/>
    </w:lvl>
  </w:abstractNum>
  <w:abstractNum w:abstractNumId="3" w15:restartNumberingAfterBreak="0">
    <w:nsid w:val="617B0804"/>
    <w:multiLevelType w:val="hybridMultilevel"/>
    <w:tmpl w:val="638C83CC"/>
    <w:lvl w:ilvl="0" w:tplc="AC1C2BDA">
      <w:start w:val="1"/>
      <w:numFmt w:val="bullet"/>
      <w:lvlText w:val="●"/>
      <w:lvlJc w:val="left"/>
      <w:pPr>
        <w:ind w:left="720" w:hanging="360"/>
      </w:pPr>
    </w:lvl>
    <w:lvl w:ilvl="1" w:tplc="95D48A26">
      <w:start w:val="1"/>
      <w:numFmt w:val="bullet"/>
      <w:lvlText w:val="○"/>
      <w:lvlJc w:val="left"/>
      <w:pPr>
        <w:ind w:left="1440" w:hanging="360"/>
      </w:pPr>
    </w:lvl>
    <w:lvl w:ilvl="2" w:tplc="6D363A06">
      <w:start w:val="1"/>
      <w:numFmt w:val="bullet"/>
      <w:lvlText w:val="■"/>
      <w:lvlJc w:val="left"/>
      <w:pPr>
        <w:ind w:left="2160" w:hanging="360"/>
      </w:pPr>
    </w:lvl>
    <w:lvl w:ilvl="3" w:tplc="4A1469CA">
      <w:start w:val="1"/>
      <w:numFmt w:val="bullet"/>
      <w:lvlText w:val="●"/>
      <w:lvlJc w:val="left"/>
      <w:pPr>
        <w:ind w:left="2880" w:hanging="360"/>
      </w:pPr>
    </w:lvl>
    <w:lvl w:ilvl="4" w:tplc="FA08ABFE">
      <w:start w:val="1"/>
      <w:numFmt w:val="bullet"/>
      <w:lvlText w:val="○"/>
      <w:lvlJc w:val="left"/>
      <w:pPr>
        <w:ind w:left="3600" w:hanging="360"/>
      </w:pPr>
    </w:lvl>
    <w:lvl w:ilvl="5" w:tplc="AF3C3898">
      <w:start w:val="1"/>
      <w:numFmt w:val="bullet"/>
      <w:lvlText w:val="■"/>
      <w:lvlJc w:val="left"/>
      <w:pPr>
        <w:ind w:left="4320" w:hanging="360"/>
      </w:pPr>
    </w:lvl>
    <w:lvl w:ilvl="6" w:tplc="7B54C640">
      <w:start w:val="1"/>
      <w:numFmt w:val="bullet"/>
      <w:lvlText w:val="●"/>
      <w:lvlJc w:val="left"/>
      <w:pPr>
        <w:ind w:left="5040" w:hanging="360"/>
      </w:pPr>
    </w:lvl>
    <w:lvl w:ilvl="7" w:tplc="3F0C12E0">
      <w:start w:val="1"/>
      <w:numFmt w:val="bullet"/>
      <w:lvlText w:val="●"/>
      <w:lvlJc w:val="left"/>
      <w:pPr>
        <w:ind w:left="5760" w:hanging="360"/>
      </w:pPr>
    </w:lvl>
    <w:lvl w:ilvl="8" w:tplc="9D48484C">
      <w:start w:val="1"/>
      <w:numFmt w:val="bullet"/>
      <w:lvlText w:val="●"/>
      <w:lvlJc w:val="left"/>
      <w:pPr>
        <w:ind w:left="6480" w:hanging="360"/>
      </w:pPr>
    </w:lvl>
  </w:abstractNum>
  <w:num w:numId="1" w16cid:durableId="1835415338">
    <w:abstractNumId w:val="3"/>
    <w:lvlOverride w:ilvl="0">
      <w:startOverride w:val="1"/>
    </w:lvlOverride>
  </w:num>
  <w:num w:numId="2" w16cid:durableId="8337994">
    <w:abstractNumId w:val="1"/>
    <w:lvlOverride w:ilvl="0">
      <w:startOverride w:val="1"/>
    </w:lvlOverride>
  </w:num>
  <w:num w:numId="3" w16cid:durableId="102127810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937"/>
    <w:rsid w:val="000104D2"/>
    <w:rsid w:val="00117937"/>
    <w:rsid w:val="00407600"/>
    <w:rsid w:val="00892460"/>
    <w:rsid w:val="00B13D68"/>
    <w:rsid w:val="00CF563B"/>
    <w:rsid w:val="00D041AD"/>
    <w:rsid w:val="00D367D3"/>
    <w:rsid w:val="00D56EEA"/>
    <w:rsid w:val="00FC0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D7DF3"/>
  <w15:docId w15:val="{6AF8D174-1DBC-864F-83AE-9FFF0979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4"/>
        <w:szCs w:val="24"/>
        <w:lang w:val="en-LK" w:eastAsia="en-GB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041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41AD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D041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41AD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1029</Words>
  <Characters>5869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Manjula P Roshan</cp:lastModifiedBy>
  <cp:revision>3</cp:revision>
  <dcterms:created xsi:type="dcterms:W3CDTF">2026-07-06T10:50:00Z</dcterms:created>
  <dcterms:modified xsi:type="dcterms:W3CDTF">2026-07-07T18:15:00Z</dcterms:modified>
</cp:coreProperties>
</file>