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4244" w:rsidRPr="00014244" w:rsidRDefault="000A28B0" w:rsidP="008F12DD">
      <w:pPr>
        <w:jc w:val="both"/>
        <w:rPr>
          <w:b/>
          <w:lang w:val="es-PE"/>
        </w:rPr>
      </w:pPr>
      <w:r>
        <w:rPr>
          <w:noProof/>
          <w:lang w:val="es-PE" w:eastAsia="es-PE"/>
        </w:rPr>
        <mc:AlternateContent>
          <mc:Choice Requires="wpg">
            <w:drawing>
              <wp:anchor distT="0" distB="0" distL="114300" distR="114300" simplePos="0" relativeHeight="251664384" behindDoc="0" locked="0" layoutInCell="1" allowOverlap="1">
                <wp:simplePos x="0" y="0"/>
                <wp:positionH relativeFrom="column">
                  <wp:posOffset>57150</wp:posOffset>
                </wp:positionH>
                <wp:positionV relativeFrom="paragraph">
                  <wp:posOffset>334010</wp:posOffset>
                </wp:positionV>
                <wp:extent cx="316230" cy="280035"/>
                <wp:effectExtent l="0" t="0" r="7620" b="24765"/>
                <wp:wrapNone/>
                <wp:docPr id="7" name="Grupo 7"/>
                <wp:cNvGraphicFramePr/>
                <a:graphic xmlns:a="http://schemas.openxmlformats.org/drawingml/2006/main">
                  <a:graphicData uri="http://schemas.microsoft.com/office/word/2010/wordprocessingGroup">
                    <wpg:wgp>
                      <wpg:cNvGrpSpPr/>
                      <wpg:grpSpPr>
                        <a:xfrm>
                          <a:off x="0" y="0"/>
                          <a:ext cx="316230" cy="280035"/>
                          <a:chOff x="0" y="0"/>
                          <a:chExt cx="316230" cy="280035"/>
                        </a:xfrm>
                      </wpg:grpSpPr>
                      <wps:wsp>
                        <wps:cNvPr id="12" name="Shape 4">
                          <a:extLst>
                            <a:ext uri="{FF2B5EF4-FFF2-40B4-BE49-F238E27FC236}">
                              <a16:creationId xmlns:a16="http://schemas.microsoft.com/office/drawing/2014/main" id="{485D2FC7-B143-FF4F-15AB-C881A9A4515F}"/>
                            </a:ext>
                          </a:extLst>
                        </wps:cNvPr>
                        <wps:cNvSpPr/>
                        <wps:spPr>
                          <a:xfrm>
                            <a:off x="28575" y="0"/>
                            <a:ext cx="260985" cy="280035"/>
                          </a:xfrm>
                          <a:prstGeom prst="roundRect">
                            <a:avLst>
                              <a:gd name="adj" fmla="val 23151155"/>
                            </a:avLst>
                          </a:prstGeom>
                          <a:solidFill>
                            <a:srgbClr val="24B8AE"/>
                          </a:solidFill>
                          <a:ln w="7620">
                            <a:solidFill>
                              <a:srgbClr val="FFFFFF"/>
                            </a:solidFill>
                            <a:prstDash val="solid"/>
                          </a:ln>
                        </wps:spPr>
                        <wps:bodyPr/>
                      </wps:wsp>
                      <wps:wsp>
                        <wps:cNvPr id="13" name="Text 5">
                          <a:extLst>
                            <a:ext uri="{FF2B5EF4-FFF2-40B4-BE49-F238E27FC236}">
                              <a16:creationId xmlns:a16="http://schemas.microsoft.com/office/drawing/2014/main" id="{29E7B77E-8E47-B243-1DA3-C15DA633A399}"/>
                            </a:ext>
                          </a:extLst>
                        </wps:cNvPr>
                        <wps:cNvSpPr/>
                        <wps:spPr>
                          <a:xfrm>
                            <a:off x="0" y="38100"/>
                            <a:ext cx="316230" cy="182880"/>
                          </a:xfrm>
                          <a:prstGeom prst="rect">
                            <a:avLst/>
                          </a:prstGeom>
                          <a:noFill/>
                          <a:ln/>
                        </wps:spPr>
                        <wps:txbx>
                          <w:txbxContent>
                            <w:p w:rsidR="00014244" w:rsidRPr="00014244" w:rsidRDefault="00014244" w:rsidP="00014244">
                              <w:pPr>
                                <w:pStyle w:val="NormalWeb"/>
                                <w:spacing w:before="0" w:beforeAutospacing="0" w:after="0" w:afterAutospacing="0" w:line="154" w:lineRule="exact"/>
                                <w:jc w:val="center"/>
                                <w:rPr>
                                  <w:sz w:val="22"/>
                                </w:rPr>
                              </w:pPr>
                              <w:r w:rsidRPr="00014244">
                                <w:rPr>
                                  <w:rFonts w:ascii="Mongolian Baiti" w:eastAsia="Source Sans Pro" w:hAnsi="Mongolian Baiti" w:cs="Mongolian Baiti"/>
                                  <w:color w:val="3C3838"/>
                                  <w:kern w:val="24"/>
                                  <w:sz w:val="13"/>
                                  <w:szCs w:val="15"/>
                                </w:rPr>
                                <w:t>MN</w:t>
                              </w:r>
                            </w:p>
                          </w:txbxContent>
                        </wps:txbx>
                        <wps:bodyPr wrap="none" rtlCol="0" anchor="t"/>
                      </wps:wsp>
                    </wpg:wgp>
                  </a:graphicData>
                </a:graphic>
              </wp:anchor>
            </w:drawing>
          </mc:Choice>
          <mc:Fallback>
            <w:pict>
              <v:group id="Grupo 7" o:spid="_x0000_s1026" style="position:absolute;left:0;text-align:left;margin-left:4.5pt;margin-top:26.3pt;width:24.9pt;height:22.05pt;z-index:251664384" coordsize="316230,28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">
                <v:roundrect id="Shape 4" o:spid="_x0000_s1027" style="position:absolute;left:28575;width:260985;height:280035;visibility:visible;mso-wrap-style:square;v-text-anchor:top" arcsize="15172108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" fillcolor="#24b8ae" strokecolor="white" strokeweight=".6pt"/>
                <v:rect id="Text 5" o:spid="_x0000_s1028" style="position:absolute;top:38100;width:316230;height:18288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" filled="f" stroked="f">
                  <v:textbox>
                    <w:txbxContent>
                      <w:p w:rsidR="00014244" w:rsidRPr="00014244" w:rsidRDefault="00014244" w:rsidP="00014244">
                        <w:pPr>
                          <w:pStyle w:val="NormalWeb"/>
                          <w:spacing w:before="0" w:beforeAutospacing="0" w:after="0" w:afterAutospacing="0" w:line="154" w:lineRule="exact"/>
                          <w:jc w:val="center"/>
                          <w:rPr>
                            <w:sz w:val="22"/>
                          </w:rPr>
                        </w:pPr>
                        <w:r w:rsidRPr="00014244">
                          <w:rPr>
                            <w:rFonts w:ascii="Mongolian Baiti" w:eastAsia="Source Sans Pro" w:hAnsi="Mongolian Baiti" w:cs="Mongolian Baiti"/>
                            <w:color w:val="3C3838"/>
                            <w:kern w:val="24"/>
                            <w:sz w:val="13"/>
                            <w:szCs w:val="15"/>
                          </w:rPr>
                          <w:t>MN</w:t>
                        </w:r>
                      </w:p>
                    </w:txbxContent>
                  </v:textbox>
                </v:rect>
              </v:group>
            </w:pict>
          </mc:Fallback>
        </mc:AlternateContent>
      </w:r>
      <w:r w:rsidR="00014244">
        <w:rPr>
          <w:noProof/>
          <w:lang w:val="es-PE" w:eastAsia="es-PE"/>
        </w:rPr>
        <mc:AlternateContent>
          <mc:Choice Requires="wps">
            <w:drawing>
              <wp:anchor distT="0" distB="0" distL="114300" distR="114300" simplePos="0" relativeHeight="251665408" behindDoc="0" locked="0" layoutInCell="1" allowOverlap="1" wp14:anchorId="0A42CAEB" wp14:editId="3F6F5251">
                <wp:simplePos x="0" y="0"/>
                <wp:positionH relativeFrom="column">
                  <wp:posOffset>313055</wp:posOffset>
                </wp:positionH>
                <wp:positionV relativeFrom="paragraph">
                  <wp:posOffset>339090</wp:posOffset>
                </wp:positionV>
                <wp:extent cx="3919220" cy="307340"/>
                <wp:effectExtent l="0" t="0" r="0" b="0"/>
                <wp:wrapNone/>
                <wp:docPr id="4" name="Text 6">
                  <a:extLst xmlns:a="http://schemas.openxmlformats.org/drawingml/2006/main">
                    <a:ext uri="{FF2B5EF4-FFF2-40B4-BE49-F238E27FC236}">
                      <a16:creationId xmlns:a16="http://schemas.microsoft.com/office/drawing/2014/main" id="{264A4C09-6243-A557-D1CB-3285AB23A402}"/>
                    </a:ext>
                  </a:extLst>
                </wp:docPr>
                <wp:cNvGraphicFramePr/>
                <a:graphic xmlns:a="http://schemas.openxmlformats.org/drawingml/2006/main">
                  <a:graphicData uri="http://schemas.microsoft.com/office/word/2010/wordprocessingShape">
                    <wps:wsp>
                      <wps:cNvSpPr/>
                      <wps:spPr>
                        <a:xfrm>
                          <a:off x="0" y="0"/>
                          <a:ext cx="3919220" cy="307340"/>
                        </a:xfrm>
                        <a:prstGeom prst="rect">
                          <a:avLst/>
                        </a:prstGeom>
                        <a:noFill/>
                        <a:ln/>
                      </wps:spPr>
                      <wps:txbx>
                        <w:txbxContent>
                          <w:p w:rsidR="00014244" w:rsidRPr="00014244" w:rsidRDefault="00014244" w:rsidP="00014244">
                            <w:pPr>
                              <w:pStyle w:val="NormalWeb"/>
                              <w:spacing w:before="0" w:beforeAutospacing="0" w:after="0" w:afterAutospacing="0"/>
                              <w:rPr>
                                <w:sz w:val="18"/>
                              </w:rPr>
                            </w:pPr>
                            <w:r w:rsidRPr="00014244">
                              <w:rPr>
                                <w:rFonts w:ascii="Mongolian Baiti" w:eastAsia="Source Sans Pro" w:hAnsi="Mongolian Baiti" w:cs="Mongolian Baiti"/>
                                <w:b/>
                                <w:bCs/>
                                <w:color w:val="3D3838"/>
                                <w:kern w:val="24"/>
                                <w:sz w:val="18"/>
                              </w:rPr>
                              <w:t xml:space="preserve">Martín Núñez </w:t>
                            </w:r>
                            <w:r w:rsidR="000A28B0" w:rsidRPr="00014244">
                              <w:rPr>
                                <w:rFonts w:ascii="Mongolian Baiti" w:eastAsia="Source Sans Pro" w:hAnsi="Mongolian Baiti" w:cs="Mongolian Baiti"/>
                                <w:b/>
                                <w:bCs/>
                                <w:color w:val="3D3838"/>
                                <w:kern w:val="24"/>
                                <w:sz w:val="18"/>
                              </w:rPr>
                              <w:t>Bustamante M.D.</w:t>
                            </w:r>
                          </w:p>
                        </w:txbxContent>
                      </wps:txbx>
                      <wps:bodyPr wrap="none" rtlCol="0" anchor="t"/>
                    </wps:wsp>
                  </a:graphicData>
                </a:graphic>
              </wp:anchor>
            </w:drawing>
          </mc:Choice>
          <mc:Fallback>
            <w:pict>
              <v:rect w14:anchorId="0A42CAEB" id="Text 6" o:spid="_x0000_s1029" style="position:absolute;left:0;text-align:left;margin-left:24.65pt;margin-top:26.7pt;width:308.6pt;height:24.2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" filled="f" stroked="f">
                <v:textbox>
                  <w:txbxContent>
                    <w:p w:rsidR="00014244" w:rsidRPr="00014244" w:rsidRDefault="00014244" w:rsidP="00014244">
                      <w:pPr>
                        <w:pStyle w:val="NormalWeb"/>
                        <w:spacing w:before="0" w:beforeAutospacing="0" w:after="0" w:afterAutospacing="0"/>
                        <w:rPr>
                          <w:sz w:val="18"/>
                        </w:rPr>
                      </w:pPr>
                      <w:r w:rsidRPr="00014244">
                        <w:rPr>
                          <w:rFonts w:ascii="Mongolian Baiti" w:eastAsia="Source Sans Pro" w:hAnsi="Mongolian Baiti" w:cs="Mongolian Baiti"/>
                          <w:b/>
                          <w:bCs/>
                          <w:color w:val="3D3838"/>
                          <w:kern w:val="24"/>
                          <w:sz w:val="18"/>
                        </w:rPr>
                        <w:t xml:space="preserve">Martín Núñez </w:t>
                      </w:r>
                      <w:r w:rsidR="000A28B0" w:rsidRPr="00014244">
                        <w:rPr>
                          <w:rFonts w:ascii="Mongolian Baiti" w:eastAsia="Source Sans Pro" w:hAnsi="Mongolian Baiti" w:cs="Mongolian Baiti"/>
                          <w:b/>
                          <w:bCs/>
                          <w:color w:val="3D3838"/>
                          <w:kern w:val="24"/>
                          <w:sz w:val="18"/>
                        </w:rPr>
                        <w:t>Bustamante M.D.</w:t>
                      </w:r>
                    </w:p>
                  </w:txbxContent>
                </v:textbox>
              </v:rect>
            </w:pict>
          </mc:Fallback>
        </mc:AlternateContent>
      </w:r>
      <w:r w:rsidR="00014244">
        <w:rPr>
          <w:b/>
          <w:noProof/>
          <w:sz w:val="32"/>
          <w:lang w:val="es-PE" w:eastAsia="es-PE"/>
        </w:rPr>
        <mc:AlternateContent>
          <mc:Choice Requires="wpg">
            <w:drawing>
              <wp:anchor distT="0" distB="0" distL="114300" distR="114300" simplePos="0" relativeHeight="251660288" behindDoc="1" locked="0" layoutInCell="1" allowOverlap="1" wp14:anchorId="2CB5C911" wp14:editId="54EF4A45">
                <wp:simplePos x="0" y="0"/>
                <wp:positionH relativeFrom="column">
                  <wp:posOffset>995621</wp:posOffset>
                </wp:positionH>
                <wp:positionV relativeFrom="paragraph">
                  <wp:posOffset>-161290</wp:posOffset>
                </wp:positionV>
                <wp:extent cx="2423795" cy="699105"/>
                <wp:effectExtent l="0" t="0" r="0" b="0"/>
                <wp:wrapNone/>
                <wp:docPr id="3" name="Grupo 3"/>
                <wp:cNvGraphicFramePr/>
                <a:graphic xmlns:a="http://schemas.openxmlformats.org/drawingml/2006/main">
                  <a:graphicData uri="http://schemas.microsoft.com/office/word/2010/wordprocessingGroup">
                    <wpg:wgp>
                      <wpg:cNvGrpSpPr/>
                      <wpg:grpSpPr>
                        <a:xfrm>
                          <a:off x="0" y="0"/>
                          <a:ext cx="2423795" cy="699105"/>
                          <a:chOff x="0" y="0"/>
                          <a:chExt cx="2423795" cy="699105"/>
                        </a:xfrm>
                      </wpg:grpSpPr>
                      <wps:wsp>
                        <wps:cNvPr id="10" name="Rectángulo 9"/>
                        <wps:cNvSpPr/>
                        <wps:spPr>
                          <a:xfrm>
                            <a:off x="0" y="0"/>
                            <a:ext cx="2423795" cy="582295"/>
                          </a:xfrm>
                          <a:prstGeom prst="rect">
                            <a:avLst/>
                          </a:prstGeom>
                        </wps:spPr>
                        <wps:txbx>
                          <w:txbxContent>
                            <w:p w:rsidR="00014244" w:rsidRPr="00014244" w:rsidRDefault="00014244" w:rsidP="00014244">
                              <w:pPr>
                                <w:pStyle w:val="NormalWeb"/>
                                <w:spacing w:before="0" w:beforeAutospacing="0" w:after="160" w:afterAutospacing="0" w:line="256" w:lineRule="auto"/>
                                <w:jc w:val="both"/>
                                <w:rPr>
                                  <w:color w:val="FF0000"/>
                                  <w:sz w:val="16"/>
                                </w:rPr>
                              </w:pPr>
                              <w:proofErr w:type="spellStart"/>
                              <w:r w:rsidRPr="00014244">
                                <w:rPr>
                                  <w:rFonts w:ascii="Arial" w:eastAsia="Times New Roman" w:hAnsi="Arial"/>
                                  <w:b/>
                                  <w:bCs/>
                                  <w:color w:val="000000" w:themeColor="text1"/>
                                  <w:kern w:val="24"/>
                                  <w:sz w:val="48"/>
                                  <w:szCs w:val="80"/>
                                </w:rPr>
                                <w:t>D</w:t>
                              </w:r>
                              <w:r w:rsidRPr="00014244">
                                <w:rPr>
                                  <w:rFonts w:ascii="Arial" w:eastAsia="Times New Roman" w:hAnsi="Arial"/>
                                  <w:b/>
                                  <w:bCs/>
                                  <w:color w:val="000000" w:themeColor="text1"/>
                                  <w:kern w:val="24"/>
                                  <w:sz w:val="44"/>
                                  <w:szCs w:val="72"/>
                                </w:rPr>
                                <w:t>r</w:t>
                              </w:r>
                              <w:r w:rsidRPr="00014244">
                                <w:rPr>
                                  <w:rFonts w:ascii="Arial" w:eastAsia="Times New Roman" w:hAnsi="Arial"/>
                                  <w:b/>
                                  <w:bCs/>
                                  <w:i/>
                                  <w:iCs/>
                                  <w:color w:val="000000" w:themeColor="text1"/>
                                  <w:kern w:val="24"/>
                                  <w:sz w:val="48"/>
                                  <w:szCs w:val="80"/>
                                </w:rPr>
                                <w:t>O</w:t>
                              </w:r>
                              <w:r w:rsidRPr="00014244">
                                <w:rPr>
                                  <w:rFonts w:ascii="Arial" w:eastAsia="Times New Roman" w:hAnsi="Arial"/>
                                  <w:b/>
                                  <w:bCs/>
                                  <w:i/>
                                  <w:iCs/>
                                  <w:color w:val="000000" w:themeColor="text1"/>
                                  <w:kern w:val="24"/>
                                  <w:sz w:val="44"/>
                                  <w:szCs w:val="72"/>
                                </w:rPr>
                                <w:t>k</w:t>
                              </w:r>
                              <w:proofErr w:type="spellEnd"/>
                              <w:r w:rsidRPr="00014244">
                                <w:rPr>
                                  <w:rFonts w:ascii="Arial" w:eastAsia="Times New Roman" w:hAnsi="Arial"/>
                                  <w:b/>
                                  <w:bCs/>
                                  <w:color w:val="000000" w:themeColor="text1"/>
                                  <w:kern w:val="24"/>
                                  <w:sz w:val="48"/>
                                  <w:szCs w:val="80"/>
                                </w:rPr>
                                <w:t xml:space="preserve"> </w:t>
                              </w:r>
                              <w:proofErr w:type="spellStart"/>
                              <w:r w:rsidRPr="00014244">
                                <w:rPr>
                                  <w:rFonts w:ascii="Garamond" w:eastAsia="Times New Roman" w:hAnsi="Garamond" w:cs="Arial"/>
                                  <w:b/>
                                  <w:bCs/>
                                  <w:color w:val="FF0000"/>
                                  <w:kern w:val="24"/>
                                  <w:sz w:val="48"/>
                                  <w:szCs w:val="80"/>
                                </w:rPr>
                                <w:t>Healthcare</w:t>
                              </w:r>
                              <w:proofErr w:type="spellEnd"/>
                            </w:p>
                          </w:txbxContent>
                        </wps:txbx>
                        <wps:bodyPr wrap="none">
                          <a:spAutoFit/>
                        </wps:bodyPr>
                      </wps:wsp>
                      <wps:wsp>
                        <wps:cNvPr id="14" name="CuadroTexto 13"/>
                        <wps:cNvSpPr txBox="1"/>
                        <wps:spPr>
                          <a:xfrm>
                            <a:off x="1838266" y="390495"/>
                            <a:ext cx="571500" cy="308610"/>
                          </a:xfrm>
                          <a:prstGeom prst="rect">
                            <a:avLst/>
                          </a:prstGeom>
                          <a:noFill/>
                        </wps:spPr>
                        <wps:txbx>
                          <w:txbxContent>
                            <w:p w:rsidR="00014244" w:rsidRPr="00014244" w:rsidRDefault="00014244" w:rsidP="00014244">
                              <w:pPr>
                                <w:pStyle w:val="NormalWeb"/>
                                <w:spacing w:before="0" w:beforeAutospacing="0" w:after="0" w:afterAutospacing="0"/>
                                <w:rPr>
                                  <w:sz w:val="18"/>
                                </w:rPr>
                              </w:pPr>
                              <w:r w:rsidRPr="00014244">
                                <w:rPr>
                                  <w:rFonts w:asciiTheme="minorHAnsi" w:hAnsi="Calibri" w:cstheme="minorBidi"/>
                                  <w:b/>
                                  <w:bCs/>
                                  <w:color w:val="FF0000"/>
                                  <w:kern w:val="24"/>
                                  <w:sz w:val="28"/>
                                  <w:szCs w:val="40"/>
                                </w:rPr>
                                <w:t>CHAT</w:t>
                              </w:r>
                            </w:p>
                          </w:txbxContent>
                        </wps:txbx>
                        <wps:bodyPr wrap="none" rtlCol="0">
                          <a:spAutoFit/>
                        </wps:bodyPr>
                      </wps:wsp>
                    </wpg:wgp>
                  </a:graphicData>
                </a:graphic>
              </wp:anchor>
            </w:drawing>
          </mc:Choice>
          <mc:Fallback>
            <w:pict>
              <v:group w14:anchorId="2CB5C911" id="Grupo 3" o:spid="_x0000_s1030" style="position:absolute;left:0;text-align:left;margin-left:78.4pt;margin-top:-12.7pt;width:190.85pt;height:55.05pt;z-index:-251656192" coordsize="24237,69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">
                <v:rect id="Rectángulo 9" o:spid="_x0000_s1031" style="position:absolute;width:24237;height:582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" filled="f" stroked="f">
                  <v:textbox style="mso-fit-shape-to-text:t">
                    <w:txbxContent>
                      <w:p w:rsidR="00014244" w:rsidRPr="00014244" w:rsidRDefault="00014244" w:rsidP="00014244">
                        <w:pPr>
                          <w:pStyle w:val="NormalWeb"/>
                          <w:spacing w:before="0" w:beforeAutospacing="0" w:after="160" w:afterAutospacing="0" w:line="256" w:lineRule="auto"/>
                          <w:jc w:val="both"/>
                          <w:rPr>
                            <w:color w:val="FF0000"/>
                            <w:sz w:val="16"/>
                          </w:rPr>
                        </w:pPr>
                        <w:proofErr w:type="spellStart"/>
                        <w:r w:rsidRPr="00014244">
                          <w:rPr>
                            <w:rFonts w:ascii="Arial" w:eastAsia="Times New Roman" w:hAnsi="Arial"/>
                            <w:b/>
                            <w:bCs/>
                            <w:color w:val="000000" w:themeColor="text1"/>
                            <w:kern w:val="24"/>
                            <w:sz w:val="48"/>
                            <w:szCs w:val="80"/>
                          </w:rPr>
                          <w:t>D</w:t>
                        </w:r>
                        <w:r w:rsidRPr="00014244">
                          <w:rPr>
                            <w:rFonts w:ascii="Arial" w:eastAsia="Times New Roman" w:hAnsi="Arial"/>
                            <w:b/>
                            <w:bCs/>
                            <w:color w:val="000000" w:themeColor="text1"/>
                            <w:kern w:val="24"/>
                            <w:sz w:val="44"/>
                            <w:szCs w:val="72"/>
                          </w:rPr>
                          <w:t>r</w:t>
                        </w:r>
                        <w:r w:rsidRPr="00014244">
                          <w:rPr>
                            <w:rFonts w:ascii="Arial" w:eastAsia="Times New Roman" w:hAnsi="Arial"/>
                            <w:b/>
                            <w:bCs/>
                            <w:i/>
                            <w:iCs/>
                            <w:color w:val="000000" w:themeColor="text1"/>
                            <w:kern w:val="24"/>
                            <w:sz w:val="48"/>
                            <w:szCs w:val="80"/>
                          </w:rPr>
                          <w:t>O</w:t>
                        </w:r>
                        <w:r w:rsidRPr="00014244">
                          <w:rPr>
                            <w:rFonts w:ascii="Arial" w:eastAsia="Times New Roman" w:hAnsi="Arial"/>
                            <w:b/>
                            <w:bCs/>
                            <w:i/>
                            <w:iCs/>
                            <w:color w:val="000000" w:themeColor="text1"/>
                            <w:kern w:val="24"/>
                            <w:sz w:val="44"/>
                            <w:szCs w:val="72"/>
                          </w:rPr>
                          <w:t>k</w:t>
                        </w:r>
                        <w:proofErr w:type="spellEnd"/>
                        <w:r w:rsidRPr="00014244">
                          <w:rPr>
                            <w:rFonts w:ascii="Arial" w:eastAsia="Times New Roman" w:hAnsi="Arial"/>
                            <w:b/>
                            <w:bCs/>
                            <w:color w:val="000000" w:themeColor="text1"/>
                            <w:kern w:val="24"/>
                            <w:sz w:val="48"/>
                            <w:szCs w:val="80"/>
                          </w:rPr>
                          <w:t xml:space="preserve"> </w:t>
                        </w:r>
                        <w:proofErr w:type="spellStart"/>
                        <w:r w:rsidRPr="00014244">
                          <w:rPr>
                            <w:rFonts w:ascii="Garamond" w:eastAsia="Times New Roman" w:hAnsi="Garamond" w:cs="Arial"/>
                            <w:b/>
                            <w:bCs/>
                            <w:color w:val="FF0000"/>
                            <w:kern w:val="24"/>
                            <w:sz w:val="48"/>
                            <w:szCs w:val="80"/>
                          </w:rPr>
                          <w:t>Healthcare</w:t>
                        </w:r>
                        <w:proofErr w:type="spellEnd"/>
                      </w:p>
                    </w:txbxContent>
                  </v:textbox>
                </v:rect>
                <v:shapetype id="_x0000_t202" coordsize="21600,21600" o:spt="202" path="m,l,21600r21600,l21600,xe">
                  <v:stroke joinstyle="miter"/>
                  <v:path gradientshapeok="t" o:connecttype="rect"/>
                </v:shapetype>
                <v:shape id="CuadroTexto 13" o:spid="_x0000_s1032" type="#_x0000_t202" style="position:absolute;left:18382;top:3904;width:5715;height:30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" filled="f" stroked="f">
                  <v:textbox style="mso-fit-shape-to-text:t">
                    <w:txbxContent>
                      <w:p w:rsidR="00014244" w:rsidRPr="00014244" w:rsidRDefault="00014244" w:rsidP="00014244">
                        <w:pPr>
                          <w:pStyle w:val="NormalWeb"/>
                          <w:spacing w:before="0" w:beforeAutospacing="0" w:after="0" w:afterAutospacing="0"/>
                          <w:rPr>
                            <w:sz w:val="18"/>
                          </w:rPr>
                        </w:pPr>
                        <w:r w:rsidRPr="00014244">
                          <w:rPr>
                            <w:rFonts w:asciiTheme="minorHAnsi" w:hAnsi="Calibri" w:cstheme="minorBidi"/>
                            <w:b/>
                            <w:bCs/>
                            <w:color w:val="FF0000"/>
                            <w:kern w:val="24"/>
                            <w:sz w:val="28"/>
                            <w:szCs w:val="40"/>
                          </w:rPr>
                          <w:t>CHAT</w:t>
                        </w:r>
                      </w:p>
                    </w:txbxContent>
                  </v:textbox>
                </v:shape>
              </v:group>
            </w:pict>
          </mc:Fallback>
        </mc:AlternateContent>
      </w:r>
      <w:r w:rsidR="00014244" w:rsidRPr="00014244">
        <w:rPr>
          <w:b/>
          <w:sz w:val="32"/>
          <w:lang w:val="es-PE"/>
        </w:rPr>
        <w:t>Proyecto</w:t>
      </w:r>
      <w:r w:rsidR="00014244">
        <w:rPr>
          <w:b/>
          <w:lang w:val="es-PE"/>
        </w:rPr>
        <w:t xml:space="preserve">: </w:t>
      </w:r>
      <w:r w:rsidR="00014244" w:rsidRPr="00014244">
        <w:rPr>
          <w:b/>
          <w:lang w:val="es-PE"/>
        </w:rPr>
        <w:t xml:space="preserve"> </w:t>
      </w:r>
    </w:p>
    <w:p w:rsidR="00014244" w:rsidRDefault="00014244" w:rsidP="008F12DD">
      <w:pPr>
        <w:jc w:val="both"/>
        <w:rPr>
          <w:lang w:val="es-PE"/>
        </w:rPr>
      </w:pPr>
    </w:p>
    <w:p w:rsidR="000A28B0" w:rsidRDefault="000A28B0" w:rsidP="000A28B0">
      <w:pPr>
        <w:jc w:val="both"/>
        <w:rPr>
          <w:lang w:val="es-PE"/>
        </w:rPr>
      </w:pPr>
    </w:p>
    <w:p w:rsidR="000A28B0" w:rsidRDefault="000A28B0" w:rsidP="000A28B0">
      <w:pPr>
        <w:jc w:val="both"/>
        <w:rPr>
          <w:lang w:val="es-PE"/>
        </w:rPr>
      </w:pPr>
      <w:r>
        <w:rPr>
          <w:lang w:val="es-PE"/>
        </w:rPr>
        <w:t>H</w:t>
      </w:r>
      <w:r w:rsidR="00014EB2">
        <w:rPr>
          <w:lang w:val="es-PE"/>
        </w:rPr>
        <w:t>ola</w:t>
      </w:r>
      <w:r>
        <w:rPr>
          <w:lang w:val="es-PE"/>
        </w:rPr>
        <w:t xml:space="preserve"> Mark</w:t>
      </w:r>
    </w:p>
    <w:p w:rsidR="0019696B" w:rsidRDefault="000A28B0" w:rsidP="000A28B0">
      <w:pPr>
        <w:jc w:val="both"/>
        <w:rPr>
          <w:lang w:val="es-PE"/>
        </w:rPr>
      </w:pPr>
      <w:r w:rsidRPr="00014EB2">
        <w:rPr>
          <w:lang w:val="es-PE"/>
        </w:rPr>
        <w:t>Dando r</w:t>
      </w:r>
      <w:r w:rsidR="0019696B">
        <w:rPr>
          <w:lang w:val="es-PE"/>
        </w:rPr>
        <w:t>espuesta a las preguntas</w:t>
      </w:r>
      <w:r w:rsidR="00133DA2">
        <w:rPr>
          <w:lang w:val="es-PE"/>
        </w:rPr>
        <w:t xml:space="preserve"> de la parte crítica legal</w:t>
      </w:r>
      <w:r w:rsidR="0019696B">
        <w:rPr>
          <w:lang w:val="es-PE"/>
        </w:rPr>
        <w:t>:</w:t>
      </w:r>
    </w:p>
    <w:p w:rsidR="000A28B0" w:rsidRDefault="0019696B" w:rsidP="000A28B0">
      <w:pPr>
        <w:jc w:val="both"/>
        <w:rPr>
          <w:lang w:val="es-PE"/>
        </w:rPr>
      </w:pPr>
      <w:r w:rsidRPr="0019696B">
        <w:rPr>
          <w:lang w:val="es-PE"/>
        </w:rPr>
        <w:t xml:space="preserve">action-items-martin-es.md 2026-03-19 1 / 4 Ítems de Acción Pre-Discovery — Dr. Núñez De: Mark </w:t>
      </w:r>
      <w:proofErr w:type="spellStart"/>
      <w:r w:rsidRPr="0019696B">
        <w:rPr>
          <w:lang w:val="es-PE"/>
        </w:rPr>
        <w:t>McArthey</w:t>
      </w:r>
      <w:proofErr w:type="spellEnd"/>
      <w:r w:rsidRPr="0019696B">
        <w:rPr>
          <w:lang w:val="es-PE"/>
        </w:rPr>
        <w:t xml:space="preserve">, </w:t>
      </w:r>
      <w:proofErr w:type="spellStart"/>
      <w:r w:rsidRPr="0019696B">
        <w:rPr>
          <w:lang w:val="es-PE"/>
        </w:rPr>
        <w:t>Learned</w:t>
      </w:r>
      <w:proofErr w:type="spellEnd"/>
      <w:r w:rsidRPr="0019696B">
        <w:rPr>
          <w:lang w:val="es-PE"/>
        </w:rPr>
        <w:t xml:space="preserve"> </w:t>
      </w:r>
      <w:proofErr w:type="spellStart"/>
      <w:r w:rsidRPr="0019696B">
        <w:rPr>
          <w:lang w:val="es-PE"/>
        </w:rPr>
        <w:t>Geek</w:t>
      </w:r>
      <w:proofErr w:type="spellEnd"/>
      <w:r w:rsidRPr="0019696B">
        <w:rPr>
          <w:lang w:val="es-PE"/>
        </w:rPr>
        <w:t xml:space="preserve"> LLC Fecha: 18 de ma</w:t>
      </w:r>
      <w:r w:rsidR="00133DA2">
        <w:rPr>
          <w:lang w:val="es-PE"/>
        </w:rPr>
        <w:t>rzo de 2026.</w:t>
      </w:r>
    </w:p>
    <w:p w:rsidR="00133DA2" w:rsidRPr="00014EB2" w:rsidRDefault="00133DA2" w:rsidP="000A28B0">
      <w:pPr>
        <w:jc w:val="both"/>
        <w:rPr>
          <w:lang w:val="es-PE"/>
        </w:rPr>
      </w:pPr>
      <w:bookmarkStart w:id="0" w:name="_GoBack"/>
      <w:bookmarkEnd w:id="0"/>
    </w:p>
    <w:p w:rsidR="001F1BB3" w:rsidRDefault="001F1BB3" w:rsidP="001F1BB3">
      <w:pPr>
        <w:pStyle w:val="Prrafodelista"/>
        <w:numPr>
          <w:ilvl w:val="0"/>
          <w:numId w:val="8"/>
        </w:numPr>
        <w:jc w:val="both"/>
        <w:rPr>
          <w:lang w:val="es-PE"/>
        </w:rPr>
      </w:pPr>
      <w:r w:rsidRPr="001F1BB3">
        <w:rPr>
          <w:lang w:val="es-PE"/>
        </w:rPr>
        <w:t>Asesoría Lega</w:t>
      </w:r>
      <w:r>
        <w:rPr>
          <w:lang w:val="es-PE"/>
        </w:rPr>
        <w:t>l (Privacidad de Datos en Perú)</w:t>
      </w:r>
    </w:p>
    <w:p w:rsidR="001F1BB3" w:rsidRDefault="001F1BB3" w:rsidP="001F1BB3">
      <w:pPr>
        <w:pStyle w:val="Prrafodelista"/>
        <w:numPr>
          <w:ilvl w:val="1"/>
          <w:numId w:val="8"/>
        </w:numPr>
        <w:jc w:val="both"/>
        <w:rPr>
          <w:lang w:val="es-PE"/>
        </w:rPr>
      </w:pPr>
      <w:r>
        <w:rPr>
          <w:lang w:val="es-PE"/>
        </w:rPr>
        <w:t>Antecedentes:</w:t>
      </w:r>
    </w:p>
    <w:p w:rsidR="001F1BB3" w:rsidRDefault="001F1BB3" w:rsidP="001F1BB3">
      <w:pPr>
        <w:pStyle w:val="Prrafodelista"/>
        <w:numPr>
          <w:ilvl w:val="2"/>
          <w:numId w:val="8"/>
        </w:numPr>
        <w:jc w:val="both"/>
        <w:rPr>
          <w:lang w:val="es-PE"/>
        </w:rPr>
      </w:pPr>
      <w:r>
        <w:rPr>
          <w:lang w:val="es-PE"/>
        </w:rPr>
        <w:t xml:space="preserve"> Ley 29733 </w:t>
      </w:r>
    </w:p>
    <w:p w:rsidR="001F1BB3" w:rsidRDefault="001F1BB3" w:rsidP="001F1BB3">
      <w:pPr>
        <w:pStyle w:val="Prrafodelista"/>
        <w:numPr>
          <w:ilvl w:val="2"/>
          <w:numId w:val="8"/>
        </w:numPr>
        <w:jc w:val="both"/>
        <w:rPr>
          <w:lang w:val="es-PE"/>
        </w:rPr>
      </w:pPr>
      <w:r>
        <w:rPr>
          <w:lang w:val="es-PE"/>
        </w:rPr>
        <w:t xml:space="preserve"> </w:t>
      </w:r>
      <w:r w:rsidRPr="001F1BB3">
        <w:rPr>
          <w:lang w:val="es-PE"/>
        </w:rPr>
        <w:t>El sistema almacenará registros longitudinales de salud pediátrica y transferirá datos a servicios en la nube con sede en EE.UU. (</w:t>
      </w:r>
      <w:proofErr w:type="spellStart"/>
      <w:r w:rsidRPr="001F1BB3">
        <w:rPr>
          <w:lang w:val="es-PE"/>
        </w:rPr>
        <w:t>Anthropic</w:t>
      </w:r>
      <w:proofErr w:type="spellEnd"/>
      <w:r w:rsidRPr="001F1BB3">
        <w:rPr>
          <w:lang w:val="es-PE"/>
        </w:rPr>
        <w:t xml:space="preserve">, </w:t>
      </w:r>
      <w:proofErr w:type="spellStart"/>
      <w:r w:rsidRPr="001F1BB3">
        <w:rPr>
          <w:lang w:val="es-PE"/>
        </w:rPr>
        <w:t>Twilio</w:t>
      </w:r>
      <w:proofErr w:type="spellEnd"/>
      <w:r w:rsidRPr="001F1BB3">
        <w:rPr>
          <w:lang w:val="es-PE"/>
        </w:rPr>
        <w:t xml:space="preserve">). </w:t>
      </w:r>
    </w:p>
    <w:p w:rsidR="001F1BB3" w:rsidRDefault="001F1BB3" w:rsidP="001F1BB3">
      <w:pPr>
        <w:pStyle w:val="Prrafodelista"/>
        <w:numPr>
          <w:ilvl w:val="1"/>
          <w:numId w:val="8"/>
        </w:numPr>
        <w:jc w:val="both"/>
        <w:rPr>
          <w:lang w:val="es-PE"/>
        </w:rPr>
      </w:pPr>
      <w:r w:rsidRPr="001F1BB3">
        <w:rPr>
          <w:lang w:val="es-PE"/>
        </w:rPr>
        <w:t>Preguntas específicas</w:t>
      </w:r>
      <w:r>
        <w:rPr>
          <w:lang w:val="es-PE"/>
        </w:rPr>
        <w:t xml:space="preserve">: </w:t>
      </w:r>
    </w:p>
    <w:p w:rsidR="001F1BB3" w:rsidRDefault="001F1BB3" w:rsidP="001F1BB3">
      <w:pPr>
        <w:pStyle w:val="Prrafodelista"/>
        <w:numPr>
          <w:ilvl w:val="2"/>
          <w:numId w:val="8"/>
        </w:numPr>
        <w:jc w:val="both"/>
        <w:rPr>
          <w:lang w:val="es-PE"/>
        </w:rPr>
      </w:pPr>
      <w:r w:rsidRPr="001F1BB3">
        <w:rPr>
          <w:lang w:val="es-PE"/>
        </w:rPr>
        <w:t xml:space="preserve">Registro en la APDP: ¿El sistema requiere registro ante la Autoridad Nacional de Protección de Datos Personales? ¿Quién registra — tú como médico (responsable del tratamiento) o nosotros como proveedor tecnológico (encargado del tratamiento)? </w:t>
      </w:r>
    </w:p>
    <w:p w:rsidR="001F1BB3" w:rsidRDefault="001F1BB3" w:rsidP="001F1BB3">
      <w:pPr>
        <w:jc w:val="both"/>
        <w:rPr>
          <w:lang w:val="es-PE"/>
        </w:rPr>
      </w:pPr>
      <w:r>
        <w:rPr>
          <w:lang w:val="es-PE"/>
        </w:rPr>
        <w:t>He realizado un resumen y veo que nuestra propuesta cumpliría todo lo estipulado en la ley. Sin perjuicio de ello queda abierto a los comentarios de C. Rojas.</w:t>
      </w:r>
    </w:p>
    <w:p w:rsidR="001F1BB3" w:rsidRPr="001F1BB3" w:rsidRDefault="001F1BB3" w:rsidP="001F1BB3">
      <w:pPr>
        <w:jc w:val="both"/>
        <w:rPr>
          <w:lang w:val="es-PE"/>
        </w:rPr>
      </w:pPr>
      <w:r w:rsidRPr="001F1BB3">
        <w:rPr>
          <w:lang w:val="es-PE"/>
        </w:rPr>
        <w:t xml:space="preserve">La Ley Nº 30024, modificada por la Ley Nº 31750, regula la Historia Clínica Electrónica (HCE) en Perú, creando el Registro Nacional de Historias Clínicas Electrónicas (RENHICE). Su objetivo es garantizar la interoperabilidad, estandarización y acceso inmediato a la información del paciente entre establecimientos públicos y privados para mejorar la atención médica. </w:t>
      </w:r>
    </w:p>
    <w:p w:rsidR="001F1BB3" w:rsidRPr="001F1BB3" w:rsidRDefault="001F1BB3" w:rsidP="001F1BB3">
      <w:pPr>
        <w:jc w:val="both"/>
        <w:rPr>
          <w:lang w:val="es-PE"/>
        </w:rPr>
      </w:pPr>
      <w:r w:rsidRPr="001F1BB3">
        <w:rPr>
          <w:lang w:val="es-PE"/>
        </w:rPr>
        <w:t>Aspectos Clave de la Ley de HCE en Perú</w:t>
      </w:r>
      <w:r>
        <w:rPr>
          <w:lang w:val="es-PE"/>
        </w:rPr>
        <w:t>:</w:t>
      </w:r>
    </w:p>
    <w:p w:rsidR="001F1BB3" w:rsidRDefault="001F1BB3" w:rsidP="001F1BB3">
      <w:pPr>
        <w:pStyle w:val="Prrafodelista"/>
        <w:numPr>
          <w:ilvl w:val="0"/>
          <w:numId w:val="9"/>
        </w:numPr>
        <w:jc w:val="both"/>
        <w:rPr>
          <w:lang w:val="es-PE"/>
        </w:rPr>
      </w:pPr>
      <w:r w:rsidRPr="001F1BB3">
        <w:rPr>
          <w:lang w:val="es-PE"/>
        </w:rPr>
        <w:t>Registro Nacional de Historias Clínicas Electrónicas (RENHICE): Infraestructura tecnológica que permite a profesionales de la salud autorizados acceder a la información clínica, asegurando la continuidad de la atención.</w:t>
      </w:r>
    </w:p>
    <w:p w:rsidR="001F1BB3" w:rsidRDefault="001F1BB3" w:rsidP="001F1BB3">
      <w:pPr>
        <w:pStyle w:val="Prrafodelista"/>
        <w:numPr>
          <w:ilvl w:val="0"/>
          <w:numId w:val="9"/>
        </w:numPr>
        <w:jc w:val="both"/>
        <w:rPr>
          <w:lang w:val="es-PE"/>
        </w:rPr>
      </w:pPr>
      <w:r w:rsidRPr="001F1BB3">
        <w:rPr>
          <w:lang w:val="es-PE"/>
        </w:rPr>
        <w:t>Interoperabilidad: Obliga a los centros de salud a compartir datos estandarizados, permitiendo que la HCE sea compartida entre diferentes niveles de atención y establecimientos.</w:t>
      </w:r>
    </w:p>
    <w:p w:rsidR="001F1BB3" w:rsidRDefault="001F1BB3" w:rsidP="001F1BB3">
      <w:pPr>
        <w:pStyle w:val="Prrafodelista"/>
        <w:numPr>
          <w:ilvl w:val="0"/>
          <w:numId w:val="9"/>
        </w:numPr>
        <w:jc w:val="both"/>
        <w:rPr>
          <w:lang w:val="es-PE"/>
        </w:rPr>
      </w:pPr>
      <w:r w:rsidRPr="001F1BB3">
        <w:rPr>
          <w:lang w:val="es-PE"/>
        </w:rPr>
        <w:t>Seguridad y Privacidad: La información está protegida contra usos comerciales o ajenos a la salud. Los pacientes pueden acceder a su historial a través del DNI.</w:t>
      </w:r>
    </w:p>
    <w:p w:rsidR="001F1BB3" w:rsidRPr="001F1BB3" w:rsidRDefault="001F1BB3" w:rsidP="001F1BB3">
      <w:pPr>
        <w:pStyle w:val="Prrafodelista"/>
        <w:numPr>
          <w:ilvl w:val="0"/>
          <w:numId w:val="9"/>
        </w:numPr>
        <w:jc w:val="both"/>
        <w:rPr>
          <w:lang w:val="es-PE"/>
        </w:rPr>
      </w:pPr>
      <w:r w:rsidRPr="001F1BB3">
        <w:rPr>
          <w:lang w:val="es-PE"/>
        </w:rPr>
        <w:t>Obligatoriedad: Todos los establecimientos públicos, privados y mixtos deben implementar progresivamente la HCE.</w:t>
      </w:r>
    </w:p>
    <w:p w:rsidR="001F1BB3" w:rsidRDefault="001F1BB3" w:rsidP="001F1BB3">
      <w:pPr>
        <w:jc w:val="both"/>
        <w:rPr>
          <w:lang w:val="es-PE"/>
        </w:rPr>
      </w:pPr>
      <w:r w:rsidRPr="001F1BB3">
        <w:rPr>
          <w:lang w:val="es-PE"/>
        </w:rPr>
        <w:t>Acceso al paciente: Los pacientes o sus representantes legales tienen derecho a solicitar copias de su información clínica contenida en la HCE</w:t>
      </w:r>
    </w:p>
    <w:p w:rsidR="005B0D9C" w:rsidRDefault="005B0D9C" w:rsidP="001F1BB3">
      <w:pPr>
        <w:jc w:val="both"/>
        <w:rPr>
          <w:lang w:val="es-PE"/>
        </w:rPr>
      </w:pPr>
    </w:p>
    <w:p w:rsidR="005B0D9C" w:rsidRPr="001F1BB3" w:rsidRDefault="005B0D9C" w:rsidP="001F1BB3">
      <w:pPr>
        <w:jc w:val="both"/>
        <w:rPr>
          <w:lang w:val="es-PE"/>
        </w:rPr>
      </w:pPr>
    </w:p>
    <w:p w:rsidR="001F1BB3" w:rsidRDefault="001F1BB3" w:rsidP="001F1BB3">
      <w:pPr>
        <w:pStyle w:val="Prrafodelista"/>
        <w:numPr>
          <w:ilvl w:val="2"/>
          <w:numId w:val="8"/>
        </w:numPr>
        <w:jc w:val="both"/>
        <w:rPr>
          <w:lang w:val="es-PE"/>
        </w:rPr>
      </w:pPr>
      <w:r w:rsidRPr="001F1BB3">
        <w:rPr>
          <w:lang w:val="es-PE"/>
        </w:rPr>
        <w:t xml:space="preserve">Transferencia internacional de datos: ¿Qué mecanismo legal se requiere para transferir datos de salud pediátrica a EE.UU.? ¿Es suficiente el consentimiento explícito o se necesita una determinación formal de nivel adecuado de protección? </w:t>
      </w:r>
    </w:p>
    <w:p w:rsidR="001F1BB3" w:rsidRDefault="001F1BB3" w:rsidP="001F1BB3">
      <w:pPr>
        <w:jc w:val="both"/>
        <w:rPr>
          <w:lang w:val="es-PE"/>
        </w:rPr>
      </w:pPr>
      <w:r>
        <w:rPr>
          <w:lang w:val="es-PE"/>
        </w:rPr>
        <w:t xml:space="preserve">Quedando igual a la espera de los comentarios de C. Rojas; </w:t>
      </w:r>
      <w:r w:rsidR="00E05020">
        <w:rPr>
          <w:lang w:val="es-PE"/>
        </w:rPr>
        <w:t>en mi experiencia como proveedor de salud (seguros y prestadores), para las segundas opiniones o consultas internacionales, solo es necesario el consentimiento explícito. Con esto se puede compartir toda la historia clínica sin restricciones.</w:t>
      </w:r>
    </w:p>
    <w:p w:rsidR="00B24571" w:rsidRDefault="00B24571" w:rsidP="00B24571">
      <w:pPr>
        <w:jc w:val="both"/>
        <w:rPr>
          <w:lang w:val="es-PE"/>
        </w:rPr>
      </w:pPr>
      <w:r>
        <w:rPr>
          <w:lang w:val="es-PE"/>
        </w:rPr>
        <w:t xml:space="preserve">Detalle: </w:t>
      </w:r>
    </w:p>
    <w:p w:rsidR="00B24571" w:rsidRPr="00B24571" w:rsidRDefault="00B24571" w:rsidP="00B24571">
      <w:pPr>
        <w:jc w:val="both"/>
        <w:rPr>
          <w:lang w:val="es-PE"/>
        </w:rPr>
      </w:pPr>
      <w:r w:rsidRPr="00B24571">
        <w:rPr>
          <w:lang w:val="es-PE"/>
        </w:rPr>
        <w:t>Para la transferencia de datos de salud pediátrica a EE. UU. desde el Perú, se requiere un mecanismo que combine el consentimiento explícito con garantías contractuales adicionales, ya que no existe una determinación general de "nivel adecuado de protección" para EE. UU. por parte de la autoridad peruana.</w:t>
      </w:r>
    </w:p>
    <w:p w:rsidR="00B24571" w:rsidRPr="00B24571" w:rsidRDefault="00B24571" w:rsidP="00B24571">
      <w:pPr>
        <w:jc w:val="both"/>
        <w:rPr>
          <w:lang w:val="es-PE"/>
        </w:rPr>
      </w:pPr>
      <w:r>
        <w:rPr>
          <w:lang w:val="es-PE"/>
        </w:rPr>
        <w:t>El Consentimiento Explícito, b</w:t>
      </w:r>
      <w:r w:rsidRPr="00B24571">
        <w:rPr>
          <w:lang w:val="es-PE"/>
        </w:rPr>
        <w:t>ajo la [Ley N° 29733 (Ley de Protección de Datos Personales)</w:t>
      </w:r>
      <w:r w:rsidRPr="00B24571">
        <w:rPr>
          <w:lang w:val="es-PE"/>
        </w:rPr>
        <w:t xml:space="preserve"> </w:t>
      </w:r>
    </w:p>
    <w:p w:rsidR="00B24571" w:rsidRPr="00B24571" w:rsidRDefault="00B24571" w:rsidP="00B24571">
      <w:pPr>
        <w:pStyle w:val="Prrafodelista"/>
        <w:numPr>
          <w:ilvl w:val="0"/>
          <w:numId w:val="11"/>
        </w:numPr>
        <w:jc w:val="both"/>
        <w:rPr>
          <w:lang w:val="es-PE"/>
        </w:rPr>
      </w:pPr>
      <w:r w:rsidRPr="00B24571">
        <w:rPr>
          <w:lang w:val="es-PE"/>
        </w:rPr>
        <w:t>Requisito: El consentimiento debe ser previo, informado, expreso y por escrito.</w:t>
      </w:r>
    </w:p>
    <w:p w:rsidR="00B24571" w:rsidRPr="00B24571" w:rsidRDefault="00B24571" w:rsidP="00B24571">
      <w:pPr>
        <w:pStyle w:val="Prrafodelista"/>
        <w:numPr>
          <w:ilvl w:val="0"/>
          <w:numId w:val="11"/>
        </w:numPr>
        <w:jc w:val="both"/>
        <w:rPr>
          <w:lang w:val="es-PE"/>
        </w:rPr>
      </w:pPr>
      <w:r w:rsidRPr="00B24571">
        <w:rPr>
          <w:lang w:val="es-PE"/>
        </w:rPr>
        <w:t>Pediátricos: Al tratarse de menores de edad, el consentimiento debe ser otorgado por los padres o tutores legales.</w:t>
      </w:r>
    </w:p>
    <w:p w:rsidR="00B24571" w:rsidRPr="00B24571" w:rsidRDefault="00B24571" w:rsidP="00B24571">
      <w:pPr>
        <w:pStyle w:val="Prrafodelista"/>
        <w:numPr>
          <w:ilvl w:val="0"/>
          <w:numId w:val="11"/>
        </w:numPr>
        <w:jc w:val="both"/>
        <w:rPr>
          <w:lang w:val="es-PE"/>
        </w:rPr>
      </w:pPr>
      <w:r w:rsidRPr="00B24571">
        <w:rPr>
          <w:lang w:val="es-PE"/>
        </w:rPr>
        <w:t>¿Es suficiente?: Aunque es una base legal necesaria, la normativa peruana exige que el flujo transfronterizo hacia países sin nivel adecuado (como EE. UU.) se sustente en garantías adicionales para asegurar que los datos no queden de</w:t>
      </w:r>
      <w:r>
        <w:rPr>
          <w:lang w:val="es-PE"/>
        </w:rPr>
        <w:t xml:space="preserve">sprotegidos al salir del país. </w:t>
      </w:r>
      <w:r w:rsidRPr="00B24571">
        <w:rPr>
          <w:lang w:val="es-PE"/>
        </w:rPr>
        <w:t xml:space="preserve"> </w:t>
      </w:r>
    </w:p>
    <w:p w:rsidR="00B24571" w:rsidRPr="00B24571" w:rsidRDefault="00B24571" w:rsidP="00B24571">
      <w:pPr>
        <w:jc w:val="both"/>
        <w:rPr>
          <w:lang w:val="es-PE"/>
        </w:rPr>
      </w:pPr>
      <w:r w:rsidRPr="00B24571">
        <w:rPr>
          <w:lang w:val="es-PE"/>
        </w:rPr>
        <w:t>Determinación de Nivel Adecuado</w:t>
      </w:r>
      <w:r>
        <w:rPr>
          <w:lang w:val="es-PE"/>
        </w:rPr>
        <w:t xml:space="preserve">; </w:t>
      </w:r>
      <w:r w:rsidRPr="00B24571">
        <w:rPr>
          <w:lang w:val="es-PE"/>
        </w:rPr>
        <w:t xml:space="preserve">A diferencia de la Unión Europea, la Autoridad Nacional de Protección de Datos Personales (ANPD) del Perú no ha emitido una lista oficial que declare a EE. UU. como un país con un nivel de protección </w:t>
      </w:r>
      <w:r>
        <w:rPr>
          <w:lang w:val="es-PE"/>
        </w:rPr>
        <w:t xml:space="preserve">adecuado de manera general. </w:t>
      </w:r>
    </w:p>
    <w:p w:rsidR="00B24571" w:rsidRPr="00B24571" w:rsidRDefault="00B24571" w:rsidP="00B24571">
      <w:pPr>
        <w:pStyle w:val="Prrafodelista"/>
        <w:numPr>
          <w:ilvl w:val="0"/>
          <w:numId w:val="11"/>
        </w:numPr>
        <w:jc w:val="both"/>
        <w:rPr>
          <w:lang w:val="es-PE"/>
        </w:rPr>
      </w:pPr>
      <w:r w:rsidRPr="00B24571">
        <w:rPr>
          <w:lang w:val="es-PE"/>
        </w:rPr>
        <w:t>EE. UU. carece de una ley federal integral de privacidad, basándose principalmente en normativas sectoriales como HIPAA para salud.</w:t>
      </w:r>
    </w:p>
    <w:p w:rsidR="00B24571" w:rsidRPr="00B24571" w:rsidRDefault="00B24571" w:rsidP="00B24571">
      <w:pPr>
        <w:pStyle w:val="Prrafodelista"/>
        <w:numPr>
          <w:ilvl w:val="0"/>
          <w:numId w:val="11"/>
        </w:numPr>
        <w:jc w:val="both"/>
        <w:rPr>
          <w:lang w:val="es-PE"/>
        </w:rPr>
      </w:pPr>
      <w:r w:rsidRPr="00B24571">
        <w:rPr>
          <w:lang w:val="es-PE"/>
        </w:rPr>
        <w:t xml:space="preserve">Por ello, no es suficiente esperar una determinación formal de adecuación; el emisor peruano debe "suplir" esa falta de adecuación mediante mecanismos contractuales.  </w:t>
      </w:r>
    </w:p>
    <w:p w:rsidR="00B24571" w:rsidRPr="00B24571" w:rsidRDefault="00B24571" w:rsidP="00B24571">
      <w:pPr>
        <w:jc w:val="both"/>
        <w:rPr>
          <w:lang w:val="es-PE"/>
        </w:rPr>
      </w:pPr>
      <w:r w:rsidRPr="00B24571">
        <w:rPr>
          <w:lang w:val="es-PE"/>
        </w:rPr>
        <w:t>Mecanismos Legales Requeridos (Flujo Transfronterizo)</w:t>
      </w:r>
      <w:r>
        <w:rPr>
          <w:lang w:val="es-PE"/>
        </w:rPr>
        <w:t xml:space="preserve">; Para cumplir con el </w:t>
      </w:r>
      <w:r w:rsidRPr="00B24571">
        <w:rPr>
          <w:lang w:val="es-PE"/>
        </w:rPr>
        <w:t>Reglamento de la Ley 29733, se deben implementar los siguientes pasos:</w:t>
      </w:r>
    </w:p>
    <w:p w:rsidR="00B24571" w:rsidRPr="00B24571" w:rsidRDefault="00B24571" w:rsidP="00B24571">
      <w:pPr>
        <w:pStyle w:val="Prrafodelista"/>
        <w:numPr>
          <w:ilvl w:val="0"/>
          <w:numId w:val="11"/>
        </w:numPr>
        <w:jc w:val="both"/>
        <w:rPr>
          <w:lang w:val="es-PE"/>
        </w:rPr>
      </w:pPr>
      <w:r w:rsidRPr="00B24571">
        <w:rPr>
          <w:lang w:val="es-PE"/>
        </w:rPr>
        <w:t>Cláusulas Contractuales Tipo (SCC): El centro de salud en Perú y la entidad receptora en EE. UU. deben firmar un contrato que obligue a la entidad estadounidense a mantener niveles de seguridad y confidencialidad equivalentes a los peruanos.</w:t>
      </w:r>
    </w:p>
    <w:p w:rsidR="00B24571" w:rsidRPr="00B24571" w:rsidRDefault="00B24571" w:rsidP="00B24571">
      <w:pPr>
        <w:pStyle w:val="Prrafodelista"/>
        <w:numPr>
          <w:ilvl w:val="0"/>
          <w:numId w:val="11"/>
        </w:numPr>
        <w:jc w:val="both"/>
        <w:rPr>
          <w:lang w:val="es-PE"/>
        </w:rPr>
      </w:pPr>
      <w:r w:rsidRPr="00B24571">
        <w:rPr>
          <w:lang w:val="es-PE"/>
        </w:rPr>
        <w:t>Notificación a la ANPD: La transferencia internacional (flujo transfronterizo) debe ser declarada ante la Autoridad Nacional de Protección de Datos Personales al momento de inscribir o actualizar el banco de datos.</w:t>
      </w:r>
    </w:p>
    <w:p w:rsidR="00B24571" w:rsidRPr="00B24571" w:rsidRDefault="00B24571" w:rsidP="00B24571">
      <w:pPr>
        <w:pStyle w:val="Prrafodelista"/>
        <w:numPr>
          <w:ilvl w:val="0"/>
          <w:numId w:val="11"/>
        </w:numPr>
        <w:jc w:val="both"/>
        <w:rPr>
          <w:lang w:val="es-PE"/>
        </w:rPr>
      </w:pPr>
      <w:r w:rsidRPr="00B24571">
        <w:rPr>
          <w:lang w:val="es-PE"/>
        </w:rPr>
        <w:lastRenderedPageBreak/>
        <w:t>Evaluación de Impacto (TIA): Es recomendable realizar una evaluación para confirmar que la legislación de EE. UU. (ej. leyes de vigilancia) no impide que el receptor cumpla con las cláusulas de prote</w:t>
      </w:r>
      <w:r>
        <w:rPr>
          <w:lang w:val="es-PE"/>
        </w:rPr>
        <w:t xml:space="preserve">cción acordadas. </w:t>
      </w:r>
    </w:p>
    <w:p w:rsidR="00B24571" w:rsidRDefault="00B24571" w:rsidP="00B24571">
      <w:pPr>
        <w:jc w:val="both"/>
        <w:rPr>
          <w:lang w:val="es-PE"/>
        </w:rPr>
      </w:pPr>
    </w:p>
    <w:p w:rsidR="005B0D9C" w:rsidRPr="00B24571" w:rsidRDefault="005B0D9C" w:rsidP="00B24571">
      <w:pPr>
        <w:jc w:val="both"/>
        <w:rPr>
          <w:lang w:val="es-PE"/>
        </w:rPr>
      </w:pPr>
    </w:p>
    <w:p w:rsidR="001F1BB3" w:rsidRDefault="001F1BB3" w:rsidP="001F1BB3">
      <w:pPr>
        <w:pStyle w:val="Prrafodelista"/>
        <w:numPr>
          <w:ilvl w:val="2"/>
          <w:numId w:val="8"/>
        </w:numPr>
        <w:jc w:val="both"/>
        <w:rPr>
          <w:lang w:val="es-PE"/>
        </w:rPr>
      </w:pPr>
      <w:r w:rsidRPr="001F1BB3">
        <w:rPr>
          <w:lang w:val="es-PE"/>
        </w:rPr>
        <w:t xml:space="preserve">Consentimiento para menores: ¿Quién puede consentir legalmente el procesamiento de datos de salud de un niño? ¿Solo el tutor legal? ¿Ambos padres? ¿Hay umbrales de edad? </w:t>
      </w:r>
    </w:p>
    <w:p w:rsidR="00E05020" w:rsidRDefault="00E05020" w:rsidP="00E05020">
      <w:pPr>
        <w:jc w:val="both"/>
        <w:rPr>
          <w:lang w:val="es-PE"/>
        </w:rPr>
      </w:pPr>
      <w:r w:rsidRPr="00E05020">
        <w:rPr>
          <w:lang w:val="es-PE"/>
        </w:rPr>
        <w:t>Quedando igual a la espera de los comentarios de C. Rojas; en mi experiencia como proveedor de salud (seguros y prestadores),</w:t>
      </w:r>
      <w:r>
        <w:rPr>
          <w:lang w:val="es-PE"/>
        </w:rPr>
        <w:t xml:space="preserve"> los procedimientos en menores de edad; considerados hasta los 14 años, son autorizados por el responsable legal designado para tal efecto (previamente debe ser verificado).</w:t>
      </w:r>
    </w:p>
    <w:p w:rsidR="005B0D9C" w:rsidRDefault="005B0D9C" w:rsidP="00C01E24">
      <w:pPr>
        <w:jc w:val="both"/>
        <w:rPr>
          <w:lang w:val="es-PE"/>
        </w:rPr>
      </w:pPr>
      <w:r>
        <w:rPr>
          <w:lang w:val="es-PE"/>
        </w:rPr>
        <w:t>Detalle:</w:t>
      </w:r>
    </w:p>
    <w:p w:rsidR="00C01E24" w:rsidRPr="00C01E24" w:rsidRDefault="00C01E24" w:rsidP="00C01E24">
      <w:pPr>
        <w:jc w:val="both"/>
        <w:rPr>
          <w:lang w:val="es-PE"/>
        </w:rPr>
      </w:pPr>
      <w:r w:rsidRPr="00C01E24">
        <w:rPr>
          <w:lang w:val="es-PE"/>
        </w:rPr>
        <w:t>En el Perú, el consentimiento para el tratamiento de datos personales de menores de edad está regido por la Ley N° 29733 y su Reglamento (aprobado por Decret</w:t>
      </w:r>
      <w:r w:rsidR="005B0D9C">
        <w:rPr>
          <w:lang w:val="es-PE"/>
        </w:rPr>
        <w:t>o Supremo N° 003-2013-JUS).</w:t>
      </w:r>
    </w:p>
    <w:p w:rsidR="00C01E24" w:rsidRPr="00C01E24" w:rsidRDefault="00C01E24" w:rsidP="00C01E24">
      <w:pPr>
        <w:jc w:val="both"/>
        <w:rPr>
          <w:lang w:val="es-PE"/>
        </w:rPr>
      </w:pPr>
      <w:r w:rsidRPr="00C01E24">
        <w:rPr>
          <w:lang w:val="es-PE"/>
        </w:rPr>
        <w:t xml:space="preserve">La normativa distingue la capacidad de consentir según la edad del menor y </w:t>
      </w:r>
      <w:r w:rsidR="005B0D9C">
        <w:rPr>
          <w:lang w:val="es-PE"/>
        </w:rPr>
        <w:t xml:space="preserve">la naturaleza de los datos: </w:t>
      </w:r>
    </w:p>
    <w:p w:rsidR="00C01E24" w:rsidRPr="00C01E24" w:rsidRDefault="00C01E24" w:rsidP="00C01E24">
      <w:pPr>
        <w:jc w:val="both"/>
        <w:rPr>
          <w:lang w:val="es-PE"/>
        </w:rPr>
      </w:pPr>
      <w:r w:rsidRPr="00C01E24">
        <w:rPr>
          <w:lang w:val="es-PE"/>
        </w:rPr>
        <w:t>1. ¿Quién puede consentir legalmente?</w:t>
      </w:r>
    </w:p>
    <w:p w:rsidR="00C01E24" w:rsidRPr="005B0D9C" w:rsidRDefault="00C01E24" w:rsidP="005B0D9C">
      <w:pPr>
        <w:pStyle w:val="Prrafodelista"/>
        <w:numPr>
          <w:ilvl w:val="0"/>
          <w:numId w:val="11"/>
        </w:numPr>
        <w:jc w:val="both"/>
        <w:rPr>
          <w:lang w:val="es-PE"/>
        </w:rPr>
      </w:pPr>
      <w:r w:rsidRPr="005B0D9C">
        <w:rPr>
          <w:lang w:val="es-PE"/>
        </w:rPr>
        <w:t>Menores de 14 años: El consentimiento debe ser otorgado obligatoriamente por sus representantes legales. Generalmente, estos son los padres en ejercicio de la patria potestad o, en su defecto, el tutor legal designado judicialmente.</w:t>
      </w:r>
    </w:p>
    <w:p w:rsidR="00C01E24" w:rsidRPr="005B0D9C" w:rsidRDefault="00C01E24" w:rsidP="00E155E7">
      <w:pPr>
        <w:pStyle w:val="Prrafodelista"/>
        <w:numPr>
          <w:ilvl w:val="0"/>
          <w:numId w:val="11"/>
        </w:numPr>
        <w:jc w:val="both"/>
        <w:rPr>
          <w:lang w:val="es-PE"/>
        </w:rPr>
      </w:pPr>
      <w:r w:rsidRPr="005B0D9C">
        <w:rPr>
          <w:lang w:val="es-PE"/>
        </w:rPr>
        <w:t>Mayores de 14 años: Tienen capacidad legal para consentir el tratamiento de sus propios datos personales, siempre que la información solicitada y el lenguaje utilizado sean comprensible</w:t>
      </w:r>
      <w:r w:rsidR="005B0D9C" w:rsidRPr="005B0D9C">
        <w:rPr>
          <w:lang w:val="es-PE"/>
        </w:rPr>
        <w:t xml:space="preserve">s para su edad. </w:t>
      </w:r>
    </w:p>
    <w:p w:rsidR="00C01E24" w:rsidRPr="00C01E24" w:rsidRDefault="00C01E24" w:rsidP="00C01E24">
      <w:pPr>
        <w:jc w:val="both"/>
        <w:rPr>
          <w:lang w:val="es-PE"/>
        </w:rPr>
      </w:pPr>
      <w:r w:rsidRPr="00C01E24">
        <w:rPr>
          <w:lang w:val="es-PE"/>
        </w:rPr>
        <w:t>2. ¿Bastan ambos padres o solo uno?</w:t>
      </w:r>
    </w:p>
    <w:p w:rsidR="00C01E24" w:rsidRPr="005B0D9C" w:rsidRDefault="00C01E24" w:rsidP="005B0D9C">
      <w:pPr>
        <w:pStyle w:val="Prrafodelista"/>
        <w:numPr>
          <w:ilvl w:val="0"/>
          <w:numId w:val="11"/>
        </w:numPr>
        <w:jc w:val="both"/>
        <w:rPr>
          <w:lang w:val="es-PE"/>
        </w:rPr>
      </w:pPr>
      <w:r w:rsidRPr="005B0D9C">
        <w:rPr>
          <w:lang w:val="es-PE"/>
        </w:rPr>
        <w:t>En situaciones de patria potestad compartida, se presume que cualquiera de los padres actúa con el consentimiento del otro para actos ordinarios (como una consulta médica de rutina).</w:t>
      </w:r>
    </w:p>
    <w:p w:rsidR="00C01E24" w:rsidRPr="005B0D9C" w:rsidRDefault="00C01E24" w:rsidP="005B0D9C">
      <w:pPr>
        <w:pStyle w:val="Prrafodelista"/>
        <w:numPr>
          <w:ilvl w:val="0"/>
          <w:numId w:val="11"/>
        </w:numPr>
        <w:jc w:val="both"/>
        <w:rPr>
          <w:lang w:val="es-PE"/>
        </w:rPr>
      </w:pPr>
      <w:r w:rsidRPr="005B0D9C">
        <w:rPr>
          <w:lang w:val="es-PE"/>
        </w:rPr>
        <w:t>Sin embargo, para el tratamiento de datos sensibles (como los de salud pediátrica) y especialmente para transferencias internacionales, las instituciones suelen requerir la firma de ambos padres o del que ostente la tenencia legal exclusiva, para evitar contin</w:t>
      </w:r>
      <w:r w:rsidR="005B0D9C">
        <w:rPr>
          <w:lang w:val="es-PE"/>
        </w:rPr>
        <w:t xml:space="preserve">gencias legales futuras. </w:t>
      </w:r>
    </w:p>
    <w:p w:rsidR="00C01E24" w:rsidRPr="00C01E24" w:rsidRDefault="00C01E24" w:rsidP="00C01E24">
      <w:pPr>
        <w:jc w:val="both"/>
        <w:rPr>
          <w:lang w:val="es-PE"/>
        </w:rPr>
      </w:pPr>
      <w:r w:rsidRPr="00C01E24">
        <w:rPr>
          <w:lang w:val="es-PE"/>
        </w:rPr>
        <w:t>3. El umbral de los "Datos Sensibles"</w:t>
      </w:r>
    </w:p>
    <w:p w:rsidR="00C01E24" w:rsidRPr="00C01E24" w:rsidRDefault="00C01E24" w:rsidP="00C01E24">
      <w:pPr>
        <w:jc w:val="both"/>
        <w:rPr>
          <w:lang w:val="es-PE"/>
        </w:rPr>
      </w:pPr>
      <w:r w:rsidRPr="00C01E24">
        <w:rPr>
          <w:lang w:val="es-PE"/>
        </w:rPr>
        <w:t>Existe una excepción crítica al umbral de los 14 años:</w:t>
      </w:r>
    </w:p>
    <w:p w:rsidR="00C01E24" w:rsidRPr="005B0D9C" w:rsidRDefault="00C01E24" w:rsidP="005B0D9C">
      <w:pPr>
        <w:pStyle w:val="Prrafodelista"/>
        <w:numPr>
          <w:ilvl w:val="0"/>
          <w:numId w:val="11"/>
        </w:numPr>
        <w:jc w:val="both"/>
        <w:rPr>
          <w:lang w:val="es-PE"/>
        </w:rPr>
      </w:pPr>
      <w:r w:rsidRPr="005B0D9C">
        <w:rPr>
          <w:lang w:val="es-PE"/>
        </w:rPr>
        <w:t>Si el tratamiento involucra datos que por su naturaleza requieren la asistencia de los padres (como intervenciones quirúrgicas o tratamientos complejos), la mayoría de edad "sanitaria" o de consentimiento puede elevarse o requerir asistencia parental adicional, independientemente de la ley de protección de datos.</w:t>
      </w:r>
    </w:p>
    <w:p w:rsidR="00C01E24" w:rsidRPr="005B0D9C" w:rsidRDefault="00C01E24" w:rsidP="005B0D9C">
      <w:pPr>
        <w:pStyle w:val="Prrafodelista"/>
        <w:numPr>
          <w:ilvl w:val="0"/>
          <w:numId w:val="11"/>
        </w:numPr>
        <w:jc w:val="both"/>
        <w:rPr>
          <w:lang w:val="es-PE"/>
        </w:rPr>
      </w:pPr>
      <w:r w:rsidRPr="005B0D9C">
        <w:rPr>
          <w:lang w:val="es-PE"/>
        </w:rPr>
        <w:lastRenderedPageBreak/>
        <w:t>Para flujos transfronterizos (como el envío de datos a EE. UU.), es estándar que el responsable del banco de datos exija la autorización de los representantes legales sin importar si el menor tiene más de 14 años, debido al alto riesgo que implica la salida de información sensible de</w:t>
      </w:r>
      <w:r w:rsidR="005B0D9C">
        <w:rPr>
          <w:lang w:val="es-PE"/>
        </w:rPr>
        <w:t>l territorio nacional.</w:t>
      </w:r>
    </w:p>
    <w:p w:rsidR="00C01E24" w:rsidRPr="00C01E24" w:rsidRDefault="00C01E24" w:rsidP="00C01E24">
      <w:pPr>
        <w:jc w:val="both"/>
        <w:rPr>
          <w:lang w:val="es-PE"/>
        </w:rPr>
      </w:pPr>
      <w:r w:rsidRPr="00C01E24">
        <w:rPr>
          <w:lang w:val="es-PE"/>
        </w:rPr>
        <w:t xml:space="preserve">Importante: El consentimiento otorgado por los representantes legales puede ser revocado en cualquier momento, siguiendo el procedimiento de los Derechos ARCO ante la entidad que custodia los datos. [15] </w:t>
      </w:r>
    </w:p>
    <w:p w:rsidR="00C01E24" w:rsidRDefault="00C01E24" w:rsidP="00E05020">
      <w:pPr>
        <w:jc w:val="both"/>
        <w:rPr>
          <w:lang w:val="es-PE"/>
        </w:rPr>
      </w:pPr>
    </w:p>
    <w:p w:rsidR="005B0D9C" w:rsidRDefault="005B0D9C" w:rsidP="00E05020">
      <w:pPr>
        <w:jc w:val="both"/>
        <w:rPr>
          <w:lang w:val="es-PE"/>
        </w:rPr>
      </w:pPr>
    </w:p>
    <w:p w:rsidR="00E05020" w:rsidRDefault="001F1BB3" w:rsidP="001F1BB3">
      <w:pPr>
        <w:pStyle w:val="Prrafodelista"/>
        <w:numPr>
          <w:ilvl w:val="2"/>
          <w:numId w:val="8"/>
        </w:numPr>
        <w:jc w:val="both"/>
        <w:rPr>
          <w:lang w:val="es-PE"/>
        </w:rPr>
      </w:pPr>
      <w:r w:rsidRPr="001F1BB3">
        <w:rPr>
          <w:lang w:val="es-PE"/>
        </w:rPr>
        <w:t>Retención de datos vs. derecho de supresión: Si un padre solicita que se eliminen los datos de su hijo, ¿eso entra en conflicto con los requisitos de retención de registros médicos?</w:t>
      </w:r>
    </w:p>
    <w:p w:rsidR="008F12DD" w:rsidRPr="00E05020" w:rsidRDefault="00E05020" w:rsidP="00E05020">
      <w:pPr>
        <w:jc w:val="both"/>
        <w:rPr>
          <w:lang w:val="es-PE"/>
        </w:rPr>
      </w:pPr>
      <w:r>
        <w:rPr>
          <w:lang w:val="es-PE"/>
        </w:rPr>
        <w:t xml:space="preserve">Quedando igual a la espera de los comentarios de C. Rojas; en mi experiencia como proveedor de salud (seguros y prestadores), </w:t>
      </w:r>
      <w:r>
        <w:rPr>
          <w:lang w:val="es-PE"/>
        </w:rPr>
        <w:t>siendo que somos los guardianes de la información y esta es de valor legal nacional (</w:t>
      </w:r>
      <w:r w:rsidRPr="00E05020">
        <w:rPr>
          <w:lang w:val="es-PE"/>
        </w:rPr>
        <w:t>Norma Técnica de Salud (NTS) N° 139-MINSA/2018/DGAIN y el marco de la Ley N° 30024.</w:t>
      </w:r>
      <w:r>
        <w:rPr>
          <w:lang w:val="es-PE"/>
        </w:rPr>
        <w:t>), solo puede ser eliminada cuando se superen los años establecidos por ley, 05 años contados desde la última fecha de atención.</w:t>
      </w:r>
    </w:p>
    <w:p w:rsidR="008F12DD" w:rsidRDefault="005B0D9C" w:rsidP="005B0D9C">
      <w:pPr>
        <w:jc w:val="both"/>
        <w:rPr>
          <w:lang w:val="es-PE"/>
        </w:rPr>
      </w:pPr>
      <w:r>
        <w:rPr>
          <w:lang w:val="es-PE"/>
        </w:rPr>
        <w:t>Detalle:</w:t>
      </w:r>
    </w:p>
    <w:p w:rsidR="005B0D9C" w:rsidRPr="005B0D9C" w:rsidRDefault="005B0D9C" w:rsidP="005B0D9C">
      <w:pPr>
        <w:jc w:val="both"/>
        <w:rPr>
          <w:lang w:val="es-PE"/>
        </w:rPr>
      </w:pPr>
      <w:r>
        <w:rPr>
          <w:lang w:val="es-PE"/>
        </w:rPr>
        <w:t>E</w:t>
      </w:r>
      <w:r w:rsidRPr="005B0D9C">
        <w:rPr>
          <w:lang w:val="es-PE"/>
        </w:rPr>
        <w:t>xiste un conflicto, pero en el Perú prevalece la retención de los registros médicos sobre el dere</w:t>
      </w:r>
      <w:r>
        <w:rPr>
          <w:lang w:val="es-PE"/>
        </w:rPr>
        <w:t>cho de supresión (cancelación). Esto</w:t>
      </w:r>
      <w:r w:rsidRPr="005B0D9C">
        <w:rPr>
          <w:lang w:val="es-PE"/>
        </w:rPr>
        <w:t xml:space="preserve"> resuelve legalmente:</w:t>
      </w:r>
    </w:p>
    <w:p w:rsidR="005B0D9C" w:rsidRPr="005B0D9C" w:rsidRDefault="005B0D9C" w:rsidP="005B0D9C">
      <w:pPr>
        <w:jc w:val="both"/>
        <w:rPr>
          <w:lang w:val="es-PE"/>
        </w:rPr>
      </w:pPr>
      <w:r w:rsidRPr="005B0D9C">
        <w:rPr>
          <w:lang w:val="es-PE"/>
        </w:rPr>
        <w:t>1. La excepción al Derecho de Supresión</w:t>
      </w:r>
    </w:p>
    <w:p w:rsidR="005B0D9C" w:rsidRPr="005B0D9C" w:rsidRDefault="005B0D9C" w:rsidP="005B0D9C">
      <w:pPr>
        <w:jc w:val="both"/>
        <w:rPr>
          <w:lang w:val="es-PE"/>
        </w:rPr>
      </w:pPr>
      <w:r w:rsidRPr="005B0D9C">
        <w:rPr>
          <w:lang w:val="es-PE"/>
        </w:rPr>
        <w:t>Según la Ley N° 29733 (Protección de Datos Personales), el derecho de supresión no procede cuando:</w:t>
      </w:r>
    </w:p>
    <w:p w:rsidR="005B0D9C" w:rsidRPr="005B0D9C" w:rsidRDefault="005B0D9C" w:rsidP="005B0D9C">
      <w:pPr>
        <w:pStyle w:val="Prrafodelista"/>
        <w:numPr>
          <w:ilvl w:val="0"/>
          <w:numId w:val="11"/>
        </w:numPr>
        <w:jc w:val="both"/>
        <w:rPr>
          <w:lang w:val="es-PE"/>
        </w:rPr>
      </w:pPr>
      <w:r w:rsidRPr="005B0D9C">
        <w:rPr>
          <w:lang w:val="es-PE"/>
        </w:rPr>
        <w:t>Exista una obligación legal de conservar los datos.</w:t>
      </w:r>
    </w:p>
    <w:p w:rsidR="005B0D9C" w:rsidRPr="005B0D9C" w:rsidRDefault="005B0D9C" w:rsidP="005B0D9C">
      <w:pPr>
        <w:pStyle w:val="Prrafodelista"/>
        <w:numPr>
          <w:ilvl w:val="0"/>
          <w:numId w:val="11"/>
        </w:numPr>
        <w:jc w:val="both"/>
        <w:rPr>
          <w:lang w:val="es-PE"/>
        </w:rPr>
      </w:pPr>
      <w:r w:rsidRPr="005B0D9C">
        <w:rPr>
          <w:lang w:val="es-PE"/>
        </w:rPr>
        <w:t>Los datos sean necesarios para la atención de salud o por razones de interés público en el ámbito de la salud.</w:t>
      </w:r>
    </w:p>
    <w:p w:rsidR="005B0D9C" w:rsidRPr="005B0D9C" w:rsidRDefault="005B0D9C" w:rsidP="005B0D9C">
      <w:pPr>
        <w:jc w:val="both"/>
        <w:rPr>
          <w:lang w:val="es-PE"/>
        </w:rPr>
      </w:pPr>
      <w:r w:rsidRPr="005B0D9C">
        <w:rPr>
          <w:lang w:val="es-PE"/>
        </w:rPr>
        <w:t>2. La obligación de la Ley de Salud</w:t>
      </w:r>
    </w:p>
    <w:p w:rsidR="005B0D9C" w:rsidRPr="005B0D9C" w:rsidRDefault="005B0D9C" w:rsidP="005B0D9C">
      <w:pPr>
        <w:jc w:val="both"/>
        <w:rPr>
          <w:lang w:val="es-PE"/>
        </w:rPr>
      </w:pPr>
      <w:r w:rsidRPr="005B0D9C">
        <w:rPr>
          <w:lang w:val="es-PE"/>
        </w:rPr>
        <w:t>La Ley General de Salud y la NTS N° 139-MINSA/2018/DGAIN obligan a las instituciones a custodiar la historia clínica por un mínimo de 5 años.</w:t>
      </w:r>
    </w:p>
    <w:p w:rsidR="005B0D9C" w:rsidRPr="005B0D9C" w:rsidRDefault="005B0D9C" w:rsidP="005B0D9C">
      <w:pPr>
        <w:pStyle w:val="Prrafodelista"/>
        <w:numPr>
          <w:ilvl w:val="0"/>
          <w:numId w:val="11"/>
        </w:numPr>
        <w:jc w:val="both"/>
        <w:rPr>
          <w:lang w:val="es-PE"/>
        </w:rPr>
      </w:pPr>
      <w:r w:rsidRPr="005B0D9C">
        <w:rPr>
          <w:lang w:val="es-PE"/>
        </w:rPr>
        <w:t>Un médico o clínica no puede eliminar una historia clínica pediátrica solo porque el padre lo pida, ya que incurriría en una falta administrativa grave y afectaría la continuidad del cuidado del menor.</w:t>
      </w:r>
    </w:p>
    <w:p w:rsidR="005B0D9C" w:rsidRPr="005B0D9C" w:rsidRDefault="005B0D9C" w:rsidP="005B0D9C">
      <w:pPr>
        <w:jc w:val="both"/>
        <w:rPr>
          <w:lang w:val="es-PE"/>
        </w:rPr>
      </w:pPr>
      <w:r w:rsidRPr="005B0D9C">
        <w:rPr>
          <w:lang w:val="es-PE"/>
        </w:rPr>
        <w:t>3. ¿Qué datos SÍ se pueden suprimir?</w:t>
      </w:r>
    </w:p>
    <w:p w:rsidR="005B0D9C" w:rsidRPr="005B0D9C" w:rsidRDefault="005B0D9C" w:rsidP="005B0D9C">
      <w:pPr>
        <w:jc w:val="both"/>
        <w:rPr>
          <w:lang w:val="es-PE"/>
        </w:rPr>
      </w:pPr>
      <w:r w:rsidRPr="005B0D9C">
        <w:rPr>
          <w:lang w:val="es-PE"/>
        </w:rPr>
        <w:t>El padre puede solicitar la eliminación de datos que no formen parte del acto médico, tales como:</w:t>
      </w:r>
    </w:p>
    <w:p w:rsidR="005B0D9C" w:rsidRPr="005B0D9C" w:rsidRDefault="005B0D9C" w:rsidP="005B0D9C">
      <w:pPr>
        <w:pStyle w:val="Prrafodelista"/>
        <w:numPr>
          <w:ilvl w:val="0"/>
          <w:numId w:val="11"/>
        </w:numPr>
        <w:jc w:val="both"/>
        <w:rPr>
          <w:lang w:val="es-PE"/>
        </w:rPr>
      </w:pPr>
      <w:r w:rsidRPr="005B0D9C">
        <w:rPr>
          <w:lang w:val="es-PE"/>
        </w:rPr>
        <w:t>Información con fines de marketing o publicidad de la clínica.</w:t>
      </w:r>
    </w:p>
    <w:p w:rsidR="005B0D9C" w:rsidRPr="005B0D9C" w:rsidRDefault="005B0D9C" w:rsidP="005B0D9C">
      <w:pPr>
        <w:pStyle w:val="Prrafodelista"/>
        <w:numPr>
          <w:ilvl w:val="0"/>
          <w:numId w:val="11"/>
        </w:numPr>
        <w:jc w:val="both"/>
        <w:rPr>
          <w:lang w:val="es-PE"/>
        </w:rPr>
      </w:pPr>
      <w:r w:rsidRPr="005B0D9C">
        <w:rPr>
          <w:lang w:val="es-PE"/>
        </w:rPr>
        <w:t>Suscripciones a boletines informativos.</w:t>
      </w:r>
    </w:p>
    <w:p w:rsidR="005B0D9C" w:rsidRPr="005B0D9C" w:rsidRDefault="005B0D9C" w:rsidP="005B0D9C">
      <w:pPr>
        <w:pStyle w:val="Prrafodelista"/>
        <w:numPr>
          <w:ilvl w:val="0"/>
          <w:numId w:val="11"/>
        </w:numPr>
        <w:jc w:val="both"/>
        <w:rPr>
          <w:lang w:val="es-PE"/>
        </w:rPr>
      </w:pPr>
      <w:r w:rsidRPr="005B0D9C">
        <w:rPr>
          <w:lang w:val="es-PE"/>
        </w:rPr>
        <w:t>Datos de contacto que ya no son vigentes (actualización).</w:t>
      </w:r>
    </w:p>
    <w:p w:rsidR="005B0D9C" w:rsidRPr="005B0D9C" w:rsidRDefault="005B0D9C" w:rsidP="005B0D9C">
      <w:pPr>
        <w:jc w:val="both"/>
        <w:rPr>
          <w:lang w:val="es-PE"/>
        </w:rPr>
      </w:pPr>
      <w:r w:rsidRPr="005B0D9C">
        <w:rPr>
          <w:lang w:val="es-PE"/>
        </w:rPr>
        <w:lastRenderedPageBreak/>
        <w:t>4. La alternativa: Bloqueo de Datos</w:t>
      </w:r>
    </w:p>
    <w:p w:rsidR="005B0D9C" w:rsidRPr="005B0D9C" w:rsidRDefault="005B0D9C" w:rsidP="005B0D9C">
      <w:pPr>
        <w:jc w:val="both"/>
        <w:rPr>
          <w:lang w:val="es-PE"/>
        </w:rPr>
      </w:pPr>
      <w:r w:rsidRPr="005B0D9C">
        <w:rPr>
          <w:lang w:val="es-PE"/>
        </w:rPr>
        <w:t xml:space="preserve">Si el padre no quiere que los datos se sigan </w:t>
      </w:r>
      <w:proofErr w:type="gramStart"/>
      <w:r w:rsidRPr="005B0D9C">
        <w:rPr>
          <w:lang w:val="es-PE"/>
        </w:rPr>
        <w:t>usando</w:t>
      </w:r>
      <w:proofErr w:type="gramEnd"/>
      <w:r w:rsidRPr="005B0D9C">
        <w:rPr>
          <w:lang w:val="es-PE"/>
        </w:rPr>
        <w:t xml:space="preserve"> pero la ley prohíbe borrarlos, la entidad debe aplicar el "bloqueo":</w:t>
      </w:r>
    </w:p>
    <w:p w:rsidR="005B0D9C" w:rsidRPr="005B0D9C" w:rsidRDefault="005B0D9C" w:rsidP="005B0D9C">
      <w:pPr>
        <w:pStyle w:val="Prrafodelista"/>
        <w:numPr>
          <w:ilvl w:val="0"/>
          <w:numId w:val="11"/>
        </w:numPr>
        <w:jc w:val="both"/>
        <w:rPr>
          <w:lang w:val="es-PE"/>
        </w:rPr>
      </w:pPr>
      <w:r w:rsidRPr="005B0D9C">
        <w:rPr>
          <w:lang w:val="es-PE"/>
        </w:rPr>
        <w:t>Los datos se guardan físicamente (o en el servidor) para cumplir con el plazo legal de retención.</w:t>
      </w:r>
    </w:p>
    <w:p w:rsidR="005B0D9C" w:rsidRPr="005B0D9C" w:rsidRDefault="005B0D9C" w:rsidP="005B0D9C">
      <w:pPr>
        <w:pStyle w:val="Prrafodelista"/>
        <w:numPr>
          <w:ilvl w:val="0"/>
          <w:numId w:val="11"/>
        </w:numPr>
        <w:jc w:val="both"/>
        <w:rPr>
          <w:lang w:val="es-PE"/>
        </w:rPr>
      </w:pPr>
      <w:r w:rsidRPr="005B0D9C">
        <w:rPr>
          <w:lang w:val="es-PE"/>
        </w:rPr>
        <w:t>Se impide cualquier otro tratamiento o visualización que no sea para fines estrictamente legales o médicos de emergencia.</w:t>
      </w:r>
    </w:p>
    <w:p w:rsidR="004B5FF0" w:rsidRPr="008F12DD" w:rsidRDefault="004B5FF0" w:rsidP="00014244">
      <w:pPr>
        <w:rPr>
          <w:lang w:val="es-PE"/>
        </w:rPr>
      </w:pPr>
    </w:p>
    <w:sectPr w:rsidR="004B5FF0" w:rsidRPr="008F12D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254" w:rsidRDefault="009B4254" w:rsidP="00014244">
      <w:pPr>
        <w:spacing w:after="0" w:line="240" w:lineRule="auto"/>
      </w:pPr>
      <w:r>
        <w:separator/>
      </w:r>
    </w:p>
  </w:endnote>
  <w:endnote w:type="continuationSeparator" w:id="0">
    <w:p w:rsidR="009B4254" w:rsidRDefault="009B4254" w:rsidP="00014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Source Sans Pro">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254" w:rsidRDefault="009B4254" w:rsidP="00014244">
      <w:pPr>
        <w:spacing w:after="0" w:line="240" w:lineRule="auto"/>
      </w:pPr>
      <w:r>
        <w:separator/>
      </w:r>
    </w:p>
  </w:footnote>
  <w:footnote w:type="continuationSeparator" w:id="0">
    <w:p w:rsidR="009B4254" w:rsidRDefault="009B4254" w:rsidP="00014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4244" w:rsidRDefault="00014244">
    <w:pPr>
      <w:pStyle w:val="Encabezado"/>
    </w:pPr>
    <w:r>
      <w:rPr>
        <w:noProof/>
        <w:lang w:val="es-PE" w:eastAsia="es-PE"/>
      </w:rPr>
      <w:drawing>
        <wp:inline distT="0" distB="0" distL="0" distR="0" wp14:anchorId="7E384B5A" wp14:editId="50AFA784">
          <wp:extent cx="981075" cy="700038"/>
          <wp:effectExtent l="0" t="0" r="0" b="508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762" cy="743341"/>
                  </a:xfrm>
                  <a:prstGeom prst="rect">
                    <a:avLst/>
                  </a:prstGeom>
                  <a:noFill/>
                  <a:ln>
                    <a:noFill/>
                  </a:ln>
                </pic:spPr>
              </pic:pic>
            </a:graphicData>
          </a:graphic>
        </wp:inline>
      </w:drawing>
    </w:r>
  </w:p>
  <w:p w:rsidR="00014244" w:rsidRDefault="0001424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301AE"/>
    <w:multiLevelType w:val="hybridMultilevel"/>
    <w:tmpl w:val="2DA8D0A6"/>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BE74969"/>
    <w:multiLevelType w:val="hybridMultilevel"/>
    <w:tmpl w:val="ECD0ADE4"/>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E0454FA"/>
    <w:multiLevelType w:val="hybridMultilevel"/>
    <w:tmpl w:val="83340B36"/>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D66FDE"/>
    <w:multiLevelType w:val="multilevel"/>
    <w:tmpl w:val="48D43F92"/>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16B32DA"/>
    <w:multiLevelType w:val="hybridMultilevel"/>
    <w:tmpl w:val="13F621B6"/>
    <w:lvl w:ilvl="0" w:tplc="0409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6A42AD8"/>
    <w:multiLevelType w:val="hybridMultilevel"/>
    <w:tmpl w:val="C5E0B596"/>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4B94FF6"/>
    <w:multiLevelType w:val="hybridMultilevel"/>
    <w:tmpl w:val="CD4EB474"/>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3BDA50E3"/>
    <w:multiLevelType w:val="hybridMultilevel"/>
    <w:tmpl w:val="AFCA7A22"/>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ED06342"/>
    <w:multiLevelType w:val="hybridMultilevel"/>
    <w:tmpl w:val="6F5EC0E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4AE91E29"/>
    <w:multiLevelType w:val="hybridMultilevel"/>
    <w:tmpl w:val="993E4732"/>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0" w15:restartNumberingAfterBreak="0">
    <w:nsid w:val="606E2D71"/>
    <w:multiLevelType w:val="hybridMultilevel"/>
    <w:tmpl w:val="8C3EC7BC"/>
    <w:lvl w:ilvl="0" w:tplc="0409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69A6033"/>
    <w:multiLevelType w:val="hybridMultilevel"/>
    <w:tmpl w:val="A788BCDE"/>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FFF53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9DD6A24"/>
    <w:multiLevelType w:val="hybridMultilevel"/>
    <w:tmpl w:val="536000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7AF725B4"/>
    <w:multiLevelType w:val="hybridMultilevel"/>
    <w:tmpl w:val="31EA2D10"/>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7B1B0D87"/>
    <w:multiLevelType w:val="hybridMultilevel"/>
    <w:tmpl w:val="4536BAD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6" w15:restartNumberingAfterBreak="0">
    <w:nsid w:val="7D446689"/>
    <w:multiLevelType w:val="hybridMultilevel"/>
    <w:tmpl w:val="D7AEEA6A"/>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7FDA1923"/>
    <w:multiLevelType w:val="hybridMultilevel"/>
    <w:tmpl w:val="37FE715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7FE01439"/>
    <w:multiLevelType w:val="hybridMultilevel"/>
    <w:tmpl w:val="F37EC1CC"/>
    <w:lvl w:ilvl="0" w:tplc="A860E250">
      <w:numFmt w:val="bullet"/>
      <w:lvlText w:val=""/>
      <w:lvlJc w:val="left"/>
      <w:pPr>
        <w:ind w:left="36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7"/>
  </w:num>
  <w:num w:numId="4">
    <w:abstractNumId w:val="13"/>
  </w:num>
  <w:num w:numId="5">
    <w:abstractNumId w:val="6"/>
  </w:num>
  <w:num w:numId="6">
    <w:abstractNumId w:val="8"/>
  </w:num>
  <w:num w:numId="7">
    <w:abstractNumId w:val="15"/>
  </w:num>
  <w:num w:numId="8">
    <w:abstractNumId w:val="12"/>
  </w:num>
  <w:num w:numId="9">
    <w:abstractNumId w:val="10"/>
  </w:num>
  <w:num w:numId="10">
    <w:abstractNumId w:val="4"/>
  </w:num>
  <w:num w:numId="11">
    <w:abstractNumId w:val="9"/>
  </w:num>
  <w:num w:numId="12">
    <w:abstractNumId w:val="11"/>
  </w:num>
  <w:num w:numId="13">
    <w:abstractNumId w:val="2"/>
  </w:num>
  <w:num w:numId="14">
    <w:abstractNumId w:val="7"/>
  </w:num>
  <w:num w:numId="15">
    <w:abstractNumId w:val="16"/>
  </w:num>
  <w:num w:numId="16">
    <w:abstractNumId w:val="1"/>
  </w:num>
  <w:num w:numId="17">
    <w:abstractNumId w:val="18"/>
  </w:num>
  <w:num w:numId="18">
    <w:abstractNumId w:val="14"/>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12DD"/>
    <w:rsid w:val="00014244"/>
    <w:rsid w:val="00014EB2"/>
    <w:rsid w:val="000A28B0"/>
    <w:rsid w:val="00133DA2"/>
    <w:rsid w:val="0019696B"/>
    <w:rsid w:val="001F1BB3"/>
    <w:rsid w:val="004B5FF0"/>
    <w:rsid w:val="00540892"/>
    <w:rsid w:val="005B0D9C"/>
    <w:rsid w:val="008F12DD"/>
    <w:rsid w:val="008F4B2B"/>
    <w:rsid w:val="009B4254"/>
    <w:rsid w:val="00B24571"/>
    <w:rsid w:val="00C01E24"/>
    <w:rsid w:val="00DB7762"/>
    <w:rsid w:val="00E05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AA95A"/>
  <w15:chartTrackingRefBased/>
  <w15:docId w15:val="{D9604DDC-5A63-4914-986A-F2881F4B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12DD"/>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F12DD"/>
    <w:pPr>
      <w:ind w:left="720"/>
      <w:contextualSpacing/>
    </w:pPr>
  </w:style>
  <w:style w:type="paragraph" w:styleId="Encabezado">
    <w:name w:val="header"/>
    <w:basedOn w:val="Normal"/>
    <w:link w:val="EncabezadoCar"/>
    <w:uiPriority w:val="99"/>
    <w:unhideWhenUsed/>
    <w:rsid w:val="00014244"/>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014244"/>
  </w:style>
  <w:style w:type="paragraph" w:styleId="Piedepgina">
    <w:name w:val="footer"/>
    <w:basedOn w:val="Normal"/>
    <w:link w:val="PiedepginaCar"/>
    <w:uiPriority w:val="99"/>
    <w:unhideWhenUsed/>
    <w:rsid w:val="00014244"/>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014244"/>
  </w:style>
  <w:style w:type="paragraph" w:styleId="NormalWeb">
    <w:name w:val="Normal (Web)"/>
    <w:basedOn w:val="Normal"/>
    <w:uiPriority w:val="99"/>
    <w:semiHidden/>
    <w:unhideWhenUsed/>
    <w:rsid w:val="00014244"/>
    <w:pPr>
      <w:spacing w:before="100" w:beforeAutospacing="1" w:after="100" w:afterAutospacing="1" w:line="240" w:lineRule="auto"/>
    </w:pPr>
    <w:rPr>
      <w:rFonts w:ascii="Times New Roman" w:eastAsiaTheme="minorEastAsia"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4303">
      <w:bodyDiv w:val="1"/>
      <w:marLeft w:val="0"/>
      <w:marRight w:val="0"/>
      <w:marTop w:val="0"/>
      <w:marBottom w:val="0"/>
      <w:divBdr>
        <w:top w:val="none" w:sz="0" w:space="0" w:color="auto"/>
        <w:left w:val="none" w:sz="0" w:space="0" w:color="auto"/>
        <w:bottom w:val="none" w:sz="0" w:space="0" w:color="auto"/>
        <w:right w:val="none" w:sz="0" w:space="0" w:color="auto"/>
      </w:divBdr>
      <w:divsChild>
        <w:div w:id="1842112637">
          <w:marLeft w:val="0"/>
          <w:marRight w:val="0"/>
          <w:marTop w:val="240"/>
          <w:marBottom w:val="240"/>
          <w:divBdr>
            <w:top w:val="none" w:sz="0" w:space="0" w:color="auto"/>
            <w:left w:val="none" w:sz="0" w:space="0" w:color="auto"/>
            <w:bottom w:val="none" w:sz="0" w:space="0" w:color="auto"/>
            <w:right w:val="none" w:sz="0" w:space="0" w:color="auto"/>
          </w:divBdr>
        </w:div>
        <w:div w:id="908460766">
          <w:marLeft w:val="0"/>
          <w:marRight w:val="0"/>
          <w:marTop w:val="240"/>
          <w:marBottom w:val="240"/>
          <w:divBdr>
            <w:top w:val="none" w:sz="0" w:space="0" w:color="auto"/>
            <w:left w:val="none" w:sz="0" w:space="0" w:color="auto"/>
            <w:bottom w:val="none" w:sz="0" w:space="0" w:color="auto"/>
            <w:right w:val="none" w:sz="0" w:space="0" w:color="auto"/>
          </w:divBdr>
        </w:div>
        <w:div w:id="463499320">
          <w:marLeft w:val="0"/>
          <w:marRight w:val="0"/>
          <w:marTop w:val="0"/>
          <w:marBottom w:val="0"/>
          <w:divBdr>
            <w:top w:val="none" w:sz="0" w:space="0" w:color="auto"/>
            <w:left w:val="none" w:sz="0" w:space="0" w:color="auto"/>
            <w:bottom w:val="none" w:sz="0" w:space="0" w:color="auto"/>
            <w:right w:val="none" w:sz="0" w:space="0" w:color="auto"/>
          </w:divBdr>
        </w:div>
        <w:div w:id="2126194794">
          <w:marLeft w:val="0"/>
          <w:marRight w:val="0"/>
          <w:marTop w:val="0"/>
          <w:marBottom w:val="0"/>
          <w:divBdr>
            <w:top w:val="none" w:sz="0" w:space="0" w:color="auto"/>
            <w:left w:val="none" w:sz="0" w:space="0" w:color="auto"/>
            <w:bottom w:val="none" w:sz="0" w:space="0" w:color="auto"/>
            <w:right w:val="none" w:sz="0" w:space="0" w:color="auto"/>
          </w:divBdr>
        </w:div>
        <w:div w:id="1872691763">
          <w:marLeft w:val="0"/>
          <w:marRight w:val="0"/>
          <w:marTop w:val="240"/>
          <w:marBottom w:val="240"/>
          <w:divBdr>
            <w:top w:val="none" w:sz="0" w:space="0" w:color="auto"/>
            <w:left w:val="none" w:sz="0" w:space="0" w:color="auto"/>
            <w:bottom w:val="none" w:sz="0" w:space="0" w:color="auto"/>
            <w:right w:val="none" w:sz="0" w:space="0" w:color="auto"/>
          </w:divBdr>
        </w:div>
        <w:div w:id="136656340">
          <w:marLeft w:val="0"/>
          <w:marRight w:val="0"/>
          <w:marTop w:val="0"/>
          <w:marBottom w:val="0"/>
          <w:divBdr>
            <w:top w:val="none" w:sz="0" w:space="0" w:color="auto"/>
            <w:left w:val="none" w:sz="0" w:space="0" w:color="auto"/>
            <w:bottom w:val="none" w:sz="0" w:space="0" w:color="auto"/>
            <w:right w:val="none" w:sz="0" w:space="0" w:color="auto"/>
          </w:divBdr>
        </w:div>
        <w:div w:id="1531651036">
          <w:marLeft w:val="0"/>
          <w:marRight w:val="0"/>
          <w:marTop w:val="240"/>
          <w:marBottom w:val="240"/>
          <w:divBdr>
            <w:top w:val="none" w:sz="0" w:space="0" w:color="auto"/>
            <w:left w:val="none" w:sz="0" w:space="0" w:color="auto"/>
            <w:bottom w:val="none" w:sz="0" w:space="0" w:color="auto"/>
            <w:right w:val="none" w:sz="0" w:space="0" w:color="auto"/>
          </w:divBdr>
        </w:div>
        <w:div w:id="1019161866">
          <w:marLeft w:val="0"/>
          <w:marRight w:val="0"/>
          <w:marTop w:val="0"/>
          <w:marBottom w:val="0"/>
          <w:divBdr>
            <w:top w:val="none" w:sz="0" w:space="0" w:color="auto"/>
            <w:left w:val="none" w:sz="0" w:space="0" w:color="auto"/>
            <w:bottom w:val="none" w:sz="0" w:space="0" w:color="auto"/>
            <w:right w:val="none" w:sz="0" w:space="0" w:color="auto"/>
          </w:divBdr>
          <w:divsChild>
            <w:div w:id="1308240775">
              <w:marLeft w:val="0"/>
              <w:marRight w:val="0"/>
              <w:marTop w:val="0"/>
              <w:marBottom w:val="0"/>
              <w:divBdr>
                <w:top w:val="none" w:sz="0" w:space="0" w:color="auto"/>
                <w:left w:val="none" w:sz="0" w:space="0" w:color="auto"/>
                <w:bottom w:val="none" w:sz="0" w:space="0" w:color="auto"/>
                <w:right w:val="none" w:sz="0" w:space="0" w:color="auto"/>
              </w:divBdr>
            </w:div>
            <w:div w:id="1882981067">
              <w:marLeft w:val="0"/>
              <w:marRight w:val="0"/>
              <w:marTop w:val="0"/>
              <w:marBottom w:val="0"/>
              <w:divBdr>
                <w:top w:val="none" w:sz="0" w:space="0" w:color="auto"/>
                <w:left w:val="none" w:sz="0" w:space="0" w:color="auto"/>
                <w:bottom w:val="none" w:sz="0" w:space="0" w:color="auto"/>
                <w:right w:val="none" w:sz="0" w:space="0" w:color="auto"/>
              </w:divBdr>
            </w:div>
            <w:div w:id="938416783">
              <w:marLeft w:val="0"/>
              <w:marRight w:val="0"/>
              <w:marTop w:val="0"/>
              <w:marBottom w:val="0"/>
              <w:divBdr>
                <w:top w:val="none" w:sz="0" w:space="0" w:color="auto"/>
                <w:left w:val="none" w:sz="0" w:space="0" w:color="auto"/>
                <w:bottom w:val="none" w:sz="0" w:space="0" w:color="auto"/>
                <w:right w:val="none" w:sz="0" w:space="0" w:color="auto"/>
              </w:divBdr>
            </w:div>
            <w:div w:id="1948344502">
              <w:marLeft w:val="0"/>
              <w:marRight w:val="0"/>
              <w:marTop w:val="0"/>
              <w:marBottom w:val="0"/>
              <w:divBdr>
                <w:top w:val="none" w:sz="0" w:space="0" w:color="auto"/>
                <w:left w:val="none" w:sz="0" w:space="0" w:color="auto"/>
                <w:bottom w:val="none" w:sz="0" w:space="0" w:color="auto"/>
                <w:right w:val="none" w:sz="0" w:space="0" w:color="auto"/>
              </w:divBdr>
            </w:div>
            <w:div w:id="1169756132">
              <w:marLeft w:val="0"/>
              <w:marRight w:val="0"/>
              <w:marTop w:val="0"/>
              <w:marBottom w:val="0"/>
              <w:divBdr>
                <w:top w:val="none" w:sz="0" w:space="0" w:color="auto"/>
                <w:left w:val="none" w:sz="0" w:space="0" w:color="auto"/>
                <w:bottom w:val="none" w:sz="0" w:space="0" w:color="auto"/>
                <w:right w:val="none" w:sz="0" w:space="0" w:color="auto"/>
              </w:divBdr>
            </w:div>
            <w:div w:id="590165221">
              <w:marLeft w:val="0"/>
              <w:marRight w:val="0"/>
              <w:marTop w:val="0"/>
              <w:marBottom w:val="0"/>
              <w:divBdr>
                <w:top w:val="none" w:sz="0" w:space="0" w:color="auto"/>
                <w:left w:val="none" w:sz="0" w:space="0" w:color="auto"/>
                <w:bottom w:val="none" w:sz="0" w:space="0" w:color="auto"/>
                <w:right w:val="none" w:sz="0" w:space="0" w:color="auto"/>
              </w:divBdr>
            </w:div>
            <w:div w:id="1089350157">
              <w:marLeft w:val="0"/>
              <w:marRight w:val="0"/>
              <w:marTop w:val="0"/>
              <w:marBottom w:val="0"/>
              <w:divBdr>
                <w:top w:val="none" w:sz="0" w:space="0" w:color="auto"/>
                <w:left w:val="none" w:sz="0" w:space="0" w:color="auto"/>
                <w:bottom w:val="none" w:sz="0" w:space="0" w:color="auto"/>
                <w:right w:val="none" w:sz="0" w:space="0" w:color="auto"/>
              </w:divBdr>
            </w:div>
            <w:div w:id="1094203027">
              <w:marLeft w:val="0"/>
              <w:marRight w:val="0"/>
              <w:marTop w:val="0"/>
              <w:marBottom w:val="0"/>
              <w:divBdr>
                <w:top w:val="none" w:sz="0" w:space="0" w:color="auto"/>
                <w:left w:val="none" w:sz="0" w:space="0" w:color="auto"/>
                <w:bottom w:val="none" w:sz="0" w:space="0" w:color="auto"/>
                <w:right w:val="none" w:sz="0" w:space="0" w:color="auto"/>
              </w:divBdr>
            </w:div>
            <w:div w:id="1077170490">
              <w:marLeft w:val="0"/>
              <w:marRight w:val="0"/>
              <w:marTop w:val="0"/>
              <w:marBottom w:val="0"/>
              <w:divBdr>
                <w:top w:val="none" w:sz="0" w:space="0" w:color="auto"/>
                <w:left w:val="none" w:sz="0" w:space="0" w:color="auto"/>
                <w:bottom w:val="none" w:sz="0" w:space="0" w:color="auto"/>
                <w:right w:val="none" w:sz="0" w:space="0" w:color="auto"/>
              </w:divBdr>
            </w:div>
            <w:div w:id="1202283227">
              <w:marLeft w:val="0"/>
              <w:marRight w:val="0"/>
              <w:marTop w:val="0"/>
              <w:marBottom w:val="0"/>
              <w:divBdr>
                <w:top w:val="none" w:sz="0" w:space="0" w:color="auto"/>
                <w:left w:val="none" w:sz="0" w:space="0" w:color="auto"/>
                <w:bottom w:val="none" w:sz="0" w:space="0" w:color="auto"/>
                <w:right w:val="none" w:sz="0" w:space="0" w:color="auto"/>
              </w:divBdr>
            </w:div>
            <w:div w:id="493883541">
              <w:marLeft w:val="0"/>
              <w:marRight w:val="0"/>
              <w:marTop w:val="0"/>
              <w:marBottom w:val="0"/>
              <w:divBdr>
                <w:top w:val="none" w:sz="0" w:space="0" w:color="auto"/>
                <w:left w:val="none" w:sz="0" w:space="0" w:color="auto"/>
                <w:bottom w:val="none" w:sz="0" w:space="0" w:color="auto"/>
                <w:right w:val="none" w:sz="0" w:space="0" w:color="auto"/>
              </w:divBdr>
            </w:div>
            <w:div w:id="1081564722">
              <w:marLeft w:val="0"/>
              <w:marRight w:val="0"/>
              <w:marTop w:val="0"/>
              <w:marBottom w:val="0"/>
              <w:divBdr>
                <w:top w:val="none" w:sz="0" w:space="0" w:color="auto"/>
                <w:left w:val="none" w:sz="0" w:space="0" w:color="auto"/>
                <w:bottom w:val="none" w:sz="0" w:space="0" w:color="auto"/>
                <w:right w:val="none" w:sz="0" w:space="0" w:color="auto"/>
              </w:divBdr>
            </w:div>
            <w:div w:id="1185825960">
              <w:marLeft w:val="0"/>
              <w:marRight w:val="0"/>
              <w:marTop w:val="0"/>
              <w:marBottom w:val="0"/>
              <w:divBdr>
                <w:top w:val="none" w:sz="0" w:space="0" w:color="auto"/>
                <w:left w:val="none" w:sz="0" w:space="0" w:color="auto"/>
                <w:bottom w:val="none" w:sz="0" w:space="0" w:color="auto"/>
                <w:right w:val="none" w:sz="0" w:space="0" w:color="auto"/>
              </w:divBdr>
            </w:div>
            <w:div w:id="1868329637">
              <w:marLeft w:val="0"/>
              <w:marRight w:val="0"/>
              <w:marTop w:val="0"/>
              <w:marBottom w:val="0"/>
              <w:divBdr>
                <w:top w:val="none" w:sz="0" w:space="0" w:color="auto"/>
                <w:left w:val="none" w:sz="0" w:space="0" w:color="auto"/>
                <w:bottom w:val="none" w:sz="0" w:space="0" w:color="auto"/>
                <w:right w:val="none" w:sz="0" w:space="0" w:color="auto"/>
              </w:divBdr>
            </w:div>
            <w:div w:id="138976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6159">
      <w:bodyDiv w:val="1"/>
      <w:marLeft w:val="0"/>
      <w:marRight w:val="0"/>
      <w:marTop w:val="0"/>
      <w:marBottom w:val="0"/>
      <w:divBdr>
        <w:top w:val="none" w:sz="0" w:space="0" w:color="auto"/>
        <w:left w:val="none" w:sz="0" w:space="0" w:color="auto"/>
        <w:bottom w:val="none" w:sz="0" w:space="0" w:color="auto"/>
        <w:right w:val="none" w:sz="0" w:space="0" w:color="auto"/>
      </w:divBdr>
      <w:divsChild>
        <w:div w:id="2035228841">
          <w:marLeft w:val="0"/>
          <w:marRight w:val="0"/>
          <w:marTop w:val="0"/>
          <w:marBottom w:val="0"/>
          <w:divBdr>
            <w:top w:val="none" w:sz="0" w:space="0" w:color="auto"/>
            <w:left w:val="none" w:sz="0" w:space="0" w:color="auto"/>
            <w:bottom w:val="none" w:sz="0" w:space="0" w:color="auto"/>
            <w:right w:val="none" w:sz="0" w:space="0" w:color="auto"/>
          </w:divBdr>
          <w:divsChild>
            <w:div w:id="1043671910">
              <w:marLeft w:val="0"/>
              <w:marRight w:val="0"/>
              <w:marTop w:val="0"/>
              <w:marBottom w:val="0"/>
              <w:divBdr>
                <w:top w:val="none" w:sz="0" w:space="0" w:color="auto"/>
                <w:left w:val="none" w:sz="0" w:space="0" w:color="auto"/>
                <w:bottom w:val="none" w:sz="0" w:space="0" w:color="auto"/>
                <w:right w:val="none" w:sz="0" w:space="0" w:color="auto"/>
              </w:divBdr>
            </w:div>
          </w:divsChild>
        </w:div>
        <w:div w:id="35587412">
          <w:marLeft w:val="0"/>
          <w:marRight w:val="0"/>
          <w:marTop w:val="0"/>
          <w:marBottom w:val="0"/>
          <w:divBdr>
            <w:top w:val="none" w:sz="0" w:space="0" w:color="auto"/>
            <w:left w:val="none" w:sz="0" w:space="0" w:color="auto"/>
            <w:bottom w:val="none" w:sz="0" w:space="0" w:color="auto"/>
            <w:right w:val="none" w:sz="0" w:space="0" w:color="auto"/>
          </w:divBdr>
        </w:div>
      </w:divsChild>
    </w:div>
    <w:div w:id="223681127">
      <w:bodyDiv w:val="1"/>
      <w:marLeft w:val="0"/>
      <w:marRight w:val="0"/>
      <w:marTop w:val="0"/>
      <w:marBottom w:val="0"/>
      <w:divBdr>
        <w:top w:val="none" w:sz="0" w:space="0" w:color="auto"/>
        <w:left w:val="none" w:sz="0" w:space="0" w:color="auto"/>
        <w:bottom w:val="none" w:sz="0" w:space="0" w:color="auto"/>
        <w:right w:val="none" w:sz="0" w:space="0" w:color="auto"/>
      </w:divBdr>
      <w:divsChild>
        <w:div w:id="1319723782">
          <w:marLeft w:val="0"/>
          <w:marRight w:val="0"/>
          <w:marTop w:val="0"/>
          <w:marBottom w:val="0"/>
          <w:divBdr>
            <w:top w:val="none" w:sz="0" w:space="0" w:color="auto"/>
            <w:left w:val="none" w:sz="0" w:space="0" w:color="auto"/>
            <w:bottom w:val="none" w:sz="0" w:space="0" w:color="auto"/>
            <w:right w:val="none" w:sz="0" w:space="0" w:color="auto"/>
          </w:divBdr>
          <w:divsChild>
            <w:div w:id="192380592">
              <w:marLeft w:val="0"/>
              <w:marRight w:val="0"/>
              <w:marTop w:val="0"/>
              <w:marBottom w:val="0"/>
              <w:divBdr>
                <w:top w:val="none" w:sz="0" w:space="0" w:color="auto"/>
                <w:left w:val="none" w:sz="0" w:space="0" w:color="auto"/>
                <w:bottom w:val="none" w:sz="0" w:space="0" w:color="auto"/>
                <w:right w:val="none" w:sz="0" w:space="0" w:color="auto"/>
              </w:divBdr>
            </w:div>
          </w:divsChild>
        </w:div>
        <w:div w:id="193884431">
          <w:marLeft w:val="0"/>
          <w:marRight w:val="0"/>
          <w:marTop w:val="0"/>
          <w:marBottom w:val="0"/>
          <w:divBdr>
            <w:top w:val="none" w:sz="0" w:space="0" w:color="auto"/>
            <w:left w:val="none" w:sz="0" w:space="0" w:color="auto"/>
            <w:bottom w:val="none" w:sz="0" w:space="0" w:color="auto"/>
            <w:right w:val="none" w:sz="0" w:space="0" w:color="auto"/>
          </w:divBdr>
        </w:div>
      </w:divsChild>
    </w:div>
    <w:div w:id="931626951">
      <w:bodyDiv w:val="1"/>
      <w:marLeft w:val="0"/>
      <w:marRight w:val="0"/>
      <w:marTop w:val="0"/>
      <w:marBottom w:val="0"/>
      <w:divBdr>
        <w:top w:val="none" w:sz="0" w:space="0" w:color="auto"/>
        <w:left w:val="none" w:sz="0" w:space="0" w:color="auto"/>
        <w:bottom w:val="none" w:sz="0" w:space="0" w:color="auto"/>
        <w:right w:val="none" w:sz="0" w:space="0" w:color="auto"/>
      </w:divBdr>
    </w:div>
    <w:div w:id="1152329645">
      <w:bodyDiv w:val="1"/>
      <w:marLeft w:val="0"/>
      <w:marRight w:val="0"/>
      <w:marTop w:val="0"/>
      <w:marBottom w:val="0"/>
      <w:divBdr>
        <w:top w:val="none" w:sz="0" w:space="0" w:color="auto"/>
        <w:left w:val="none" w:sz="0" w:space="0" w:color="auto"/>
        <w:bottom w:val="none" w:sz="0" w:space="0" w:color="auto"/>
        <w:right w:val="none" w:sz="0" w:space="0" w:color="auto"/>
      </w:divBdr>
      <w:divsChild>
        <w:div w:id="728458158">
          <w:marLeft w:val="0"/>
          <w:marRight w:val="0"/>
          <w:marTop w:val="240"/>
          <w:marBottom w:val="240"/>
          <w:divBdr>
            <w:top w:val="none" w:sz="0" w:space="0" w:color="auto"/>
            <w:left w:val="none" w:sz="0" w:space="0" w:color="auto"/>
            <w:bottom w:val="none" w:sz="0" w:space="0" w:color="auto"/>
            <w:right w:val="none" w:sz="0" w:space="0" w:color="auto"/>
          </w:divBdr>
        </w:div>
        <w:div w:id="601031462">
          <w:marLeft w:val="0"/>
          <w:marRight w:val="0"/>
          <w:marTop w:val="240"/>
          <w:marBottom w:val="240"/>
          <w:divBdr>
            <w:top w:val="none" w:sz="0" w:space="0" w:color="auto"/>
            <w:left w:val="none" w:sz="0" w:space="0" w:color="auto"/>
            <w:bottom w:val="none" w:sz="0" w:space="0" w:color="auto"/>
            <w:right w:val="none" w:sz="0" w:space="0" w:color="auto"/>
          </w:divBdr>
        </w:div>
        <w:div w:id="1026443194">
          <w:marLeft w:val="0"/>
          <w:marRight w:val="0"/>
          <w:marTop w:val="0"/>
          <w:marBottom w:val="0"/>
          <w:divBdr>
            <w:top w:val="none" w:sz="0" w:space="0" w:color="auto"/>
            <w:left w:val="none" w:sz="0" w:space="0" w:color="auto"/>
            <w:bottom w:val="none" w:sz="0" w:space="0" w:color="auto"/>
            <w:right w:val="none" w:sz="0" w:space="0" w:color="auto"/>
          </w:divBdr>
        </w:div>
        <w:div w:id="1453549597">
          <w:marLeft w:val="0"/>
          <w:marRight w:val="0"/>
          <w:marTop w:val="240"/>
          <w:marBottom w:val="240"/>
          <w:divBdr>
            <w:top w:val="none" w:sz="0" w:space="0" w:color="auto"/>
            <w:left w:val="none" w:sz="0" w:space="0" w:color="auto"/>
            <w:bottom w:val="none" w:sz="0" w:space="0" w:color="auto"/>
            <w:right w:val="none" w:sz="0" w:space="0" w:color="auto"/>
          </w:divBdr>
        </w:div>
        <w:div w:id="758986701">
          <w:marLeft w:val="0"/>
          <w:marRight w:val="0"/>
          <w:marTop w:val="0"/>
          <w:marBottom w:val="0"/>
          <w:divBdr>
            <w:top w:val="none" w:sz="0" w:space="0" w:color="auto"/>
            <w:left w:val="none" w:sz="0" w:space="0" w:color="auto"/>
            <w:bottom w:val="none" w:sz="0" w:space="0" w:color="auto"/>
            <w:right w:val="none" w:sz="0" w:space="0" w:color="auto"/>
          </w:divBdr>
        </w:div>
        <w:div w:id="1574268445">
          <w:marLeft w:val="0"/>
          <w:marRight w:val="0"/>
          <w:marTop w:val="240"/>
          <w:marBottom w:val="240"/>
          <w:divBdr>
            <w:top w:val="none" w:sz="0" w:space="0" w:color="auto"/>
            <w:left w:val="none" w:sz="0" w:space="0" w:color="auto"/>
            <w:bottom w:val="none" w:sz="0" w:space="0" w:color="auto"/>
            <w:right w:val="none" w:sz="0" w:space="0" w:color="auto"/>
          </w:divBdr>
        </w:div>
        <w:div w:id="510336982">
          <w:marLeft w:val="0"/>
          <w:marRight w:val="0"/>
          <w:marTop w:val="0"/>
          <w:marBottom w:val="0"/>
          <w:divBdr>
            <w:top w:val="none" w:sz="0" w:space="0" w:color="auto"/>
            <w:left w:val="none" w:sz="0" w:space="0" w:color="auto"/>
            <w:bottom w:val="none" w:sz="0" w:space="0" w:color="auto"/>
            <w:right w:val="none" w:sz="0" w:space="0" w:color="auto"/>
          </w:divBdr>
        </w:div>
        <w:div w:id="1439719208">
          <w:marLeft w:val="0"/>
          <w:marRight w:val="0"/>
          <w:marTop w:val="240"/>
          <w:marBottom w:val="240"/>
          <w:divBdr>
            <w:top w:val="none" w:sz="0" w:space="0" w:color="auto"/>
            <w:left w:val="none" w:sz="0" w:space="0" w:color="auto"/>
            <w:bottom w:val="none" w:sz="0" w:space="0" w:color="auto"/>
            <w:right w:val="none" w:sz="0" w:space="0" w:color="auto"/>
          </w:divBdr>
        </w:div>
        <w:div w:id="1813668142">
          <w:marLeft w:val="0"/>
          <w:marRight w:val="0"/>
          <w:marTop w:val="0"/>
          <w:marBottom w:val="0"/>
          <w:divBdr>
            <w:top w:val="none" w:sz="0" w:space="0" w:color="auto"/>
            <w:left w:val="none" w:sz="0" w:space="0" w:color="auto"/>
            <w:bottom w:val="none" w:sz="0" w:space="0" w:color="auto"/>
            <w:right w:val="none" w:sz="0" w:space="0" w:color="auto"/>
          </w:divBdr>
          <w:divsChild>
            <w:div w:id="372576981">
              <w:marLeft w:val="0"/>
              <w:marRight w:val="0"/>
              <w:marTop w:val="0"/>
              <w:marBottom w:val="0"/>
              <w:divBdr>
                <w:top w:val="none" w:sz="0" w:space="0" w:color="auto"/>
                <w:left w:val="none" w:sz="0" w:space="0" w:color="auto"/>
                <w:bottom w:val="none" w:sz="0" w:space="0" w:color="auto"/>
                <w:right w:val="none" w:sz="0" w:space="0" w:color="auto"/>
              </w:divBdr>
            </w:div>
            <w:div w:id="229660177">
              <w:marLeft w:val="0"/>
              <w:marRight w:val="0"/>
              <w:marTop w:val="0"/>
              <w:marBottom w:val="0"/>
              <w:divBdr>
                <w:top w:val="none" w:sz="0" w:space="0" w:color="auto"/>
                <w:left w:val="none" w:sz="0" w:space="0" w:color="auto"/>
                <w:bottom w:val="none" w:sz="0" w:space="0" w:color="auto"/>
                <w:right w:val="none" w:sz="0" w:space="0" w:color="auto"/>
              </w:divBdr>
            </w:div>
            <w:div w:id="1925645370">
              <w:marLeft w:val="0"/>
              <w:marRight w:val="0"/>
              <w:marTop w:val="0"/>
              <w:marBottom w:val="0"/>
              <w:divBdr>
                <w:top w:val="none" w:sz="0" w:space="0" w:color="auto"/>
                <w:left w:val="none" w:sz="0" w:space="0" w:color="auto"/>
                <w:bottom w:val="none" w:sz="0" w:space="0" w:color="auto"/>
                <w:right w:val="none" w:sz="0" w:space="0" w:color="auto"/>
              </w:divBdr>
            </w:div>
            <w:div w:id="748045218">
              <w:marLeft w:val="0"/>
              <w:marRight w:val="0"/>
              <w:marTop w:val="0"/>
              <w:marBottom w:val="0"/>
              <w:divBdr>
                <w:top w:val="none" w:sz="0" w:space="0" w:color="auto"/>
                <w:left w:val="none" w:sz="0" w:space="0" w:color="auto"/>
                <w:bottom w:val="none" w:sz="0" w:space="0" w:color="auto"/>
                <w:right w:val="none" w:sz="0" w:space="0" w:color="auto"/>
              </w:divBdr>
            </w:div>
            <w:div w:id="994451987">
              <w:marLeft w:val="0"/>
              <w:marRight w:val="0"/>
              <w:marTop w:val="0"/>
              <w:marBottom w:val="0"/>
              <w:divBdr>
                <w:top w:val="none" w:sz="0" w:space="0" w:color="auto"/>
                <w:left w:val="none" w:sz="0" w:space="0" w:color="auto"/>
                <w:bottom w:val="none" w:sz="0" w:space="0" w:color="auto"/>
                <w:right w:val="none" w:sz="0" w:space="0" w:color="auto"/>
              </w:divBdr>
            </w:div>
            <w:div w:id="977807603">
              <w:marLeft w:val="0"/>
              <w:marRight w:val="0"/>
              <w:marTop w:val="0"/>
              <w:marBottom w:val="0"/>
              <w:divBdr>
                <w:top w:val="none" w:sz="0" w:space="0" w:color="auto"/>
                <w:left w:val="none" w:sz="0" w:space="0" w:color="auto"/>
                <w:bottom w:val="none" w:sz="0" w:space="0" w:color="auto"/>
                <w:right w:val="none" w:sz="0" w:space="0" w:color="auto"/>
              </w:divBdr>
            </w:div>
            <w:div w:id="215438090">
              <w:marLeft w:val="0"/>
              <w:marRight w:val="0"/>
              <w:marTop w:val="0"/>
              <w:marBottom w:val="0"/>
              <w:divBdr>
                <w:top w:val="none" w:sz="0" w:space="0" w:color="auto"/>
                <w:left w:val="none" w:sz="0" w:space="0" w:color="auto"/>
                <w:bottom w:val="none" w:sz="0" w:space="0" w:color="auto"/>
                <w:right w:val="none" w:sz="0" w:space="0" w:color="auto"/>
              </w:divBdr>
            </w:div>
            <w:div w:id="1100570399">
              <w:marLeft w:val="0"/>
              <w:marRight w:val="0"/>
              <w:marTop w:val="0"/>
              <w:marBottom w:val="0"/>
              <w:divBdr>
                <w:top w:val="none" w:sz="0" w:space="0" w:color="auto"/>
                <w:left w:val="none" w:sz="0" w:space="0" w:color="auto"/>
                <w:bottom w:val="none" w:sz="0" w:space="0" w:color="auto"/>
                <w:right w:val="none" w:sz="0" w:space="0" w:color="auto"/>
              </w:divBdr>
            </w:div>
            <w:div w:id="1128202340">
              <w:marLeft w:val="0"/>
              <w:marRight w:val="0"/>
              <w:marTop w:val="0"/>
              <w:marBottom w:val="0"/>
              <w:divBdr>
                <w:top w:val="none" w:sz="0" w:space="0" w:color="auto"/>
                <w:left w:val="none" w:sz="0" w:space="0" w:color="auto"/>
                <w:bottom w:val="none" w:sz="0" w:space="0" w:color="auto"/>
                <w:right w:val="none" w:sz="0" w:space="0" w:color="auto"/>
              </w:divBdr>
            </w:div>
            <w:div w:id="2140486298">
              <w:marLeft w:val="0"/>
              <w:marRight w:val="0"/>
              <w:marTop w:val="0"/>
              <w:marBottom w:val="0"/>
              <w:divBdr>
                <w:top w:val="none" w:sz="0" w:space="0" w:color="auto"/>
                <w:left w:val="none" w:sz="0" w:space="0" w:color="auto"/>
                <w:bottom w:val="none" w:sz="0" w:space="0" w:color="auto"/>
                <w:right w:val="none" w:sz="0" w:space="0" w:color="auto"/>
              </w:divBdr>
            </w:div>
            <w:div w:id="1127550287">
              <w:marLeft w:val="0"/>
              <w:marRight w:val="0"/>
              <w:marTop w:val="0"/>
              <w:marBottom w:val="0"/>
              <w:divBdr>
                <w:top w:val="none" w:sz="0" w:space="0" w:color="auto"/>
                <w:left w:val="none" w:sz="0" w:space="0" w:color="auto"/>
                <w:bottom w:val="none" w:sz="0" w:space="0" w:color="auto"/>
                <w:right w:val="none" w:sz="0" w:space="0" w:color="auto"/>
              </w:divBdr>
            </w:div>
            <w:div w:id="7556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368402">
      <w:bodyDiv w:val="1"/>
      <w:marLeft w:val="0"/>
      <w:marRight w:val="0"/>
      <w:marTop w:val="0"/>
      <w:marBottom w:val="0"/>
      <w:divBdr>
        <w:top w:val="none" w:sz="0" w:space="0" w:color="auto"/>
        <w:left w:val="none" w:sz="0" w:space="0" w:color="auto"/>
        <w:bottom w:val="none" w:sz="0" w:space="0" w:color="auto"/>
        <w:right w:val="none" w:sz="0" w:space="0" w:color="auto"/>
      </w:divBdr>
      <w:divsChild>
        <w:div w:id="1596748048">
          <w:marLeft w:val="0"/>
          <w:marRight w:val="0"/>
          <w:marTop w:val="240"/>
          <w:marBottom w:val="240"/>
          <w:divBdr>
            <w:top w:val="none" w:sz="0" w:space="0" w:color="auto"/>
            <w:left w:val="none" w:sz="0" w:space="0" w:color="auto"/>
            <w:bottom w:val="none" w:sz="0" w:space="0" w:color="auto"/>
            <w:right w:val="none" w:sz="0" w:space="0" w:color="auto"/>
          </w:divBdr>
        </w:div>
        <w:div w:id="449134188">
          <w:marLeft w:val="0"/>
          <w:marRight w:val="0"/>
          <w:marTop w:val="240"/>
          <w:marBottom w:val="240"/>
          <w:divBdr>
            <w:top w:val="none" w:sz="0" w:space="0" w:color="auto"/>
            <w:left w:val="none" w:sz="0" w:space="0" w:color="auto"/>
            <w:bottom w:val="none" w:sz="0" w:space="0" w:color="auto"/>
            <w:right w:val="none" w:sz="0" w:space="0" w:color="auto"/>
          </w:divBdr>
        </w:div>
        <w:div w:id="1156339083">
          <w:marLeft w:val="0"/>
          <w:marRight w:val="0"/>
          <w:marTop w:val="240"/>
          <w:marBottom w:val="240"/>
          <w:divBdr>
            <w:top w:val="none" w:sz="0" w:space="0" w:color="auto"/>
            <w:left w:val="none" w:sz="0" w:space="0" w:color="auto"/>
            <w:bottom w:val="none" w:sz="0" w:space="0" w:color="auto"/>
            <w:right w:val="none" w:sz="0" w:space="0" w:color="auto"/>
          </w:divBdr>
        </w:div>
        <w:div w:id="773089412">
          <w:marLeft w:val="0"/>
          <w:marRight w:val="0"/>
          <w:marTop w:val="0"/>
          <w:marBottom w:val="0"/>
          <w:divBdr>
            <w:top w:val="none" w:sz="0" w:space="0" w:color="auto"/>
            <w:left w:val="none" w:sz="0" w:space="0" w:color="auto"/>
            <w:bottom w:val="none" w:sz="0" w:space="0" w:color="auto"/>
            <w:right w:val="none" w:sz="0" w:space="0" w:color="auto"/>
          </w:divBdr>
        </w:div>
        <w:div w:id="800077980">
          <w:marLeft w:val="0"/>
          <w:marRight w:val="0"/>
          <w:marTop w:val="240"/>
          <w:marBottom w:val="240"/>
          <w:divBdr>
            <w:top w:val="none" w:sz="0" w:space="0" w:color="auto"/>
            <w:left w:val="none" w:sz="0" w:space="0" w:color="auto"/>
            <w:bottom w:val="none" w:sz="0" w:space="0" w:color="auto"/>
            <w:right w:val="none" w:sz="0" w:space="0" w:color="auto"/>
          </w:divBdr>
        </w:div>
        <w:div w:id="319701410">
          <w:marLeft w:val="0"/>
          <w:marRight w:val="0"/>
          <w:marTop w:val="0"/>
          <w:marBottom w:val="0"/>
          <w:divBdr>
            <w:top w:val="none" w:sz="0" w:space="0" w:color="auto"/>
            <w:left w:val="none" w:sz="0" w:space="0" w:color="auto"/>
            <w:bottom w:val="none" w:sz="0" w:space="0" w:color="auto"/>
            <w:right w:val="none" w:sz="0" w:space="0" w:color="auto"/>
          </w:divBdr>
        </w:div>
        <w:div w:id="2117554748">
          <w:marLeft w:val="0"/>
          <w:marRight w:val="0"/>
          <w:marTop w:val="240"/>
          <w:marBottom w:val="240"/>
          <w:divBdr>
            <w:top w:val="none" w:sz="0" w:space="0" w:color="auto"/>
            <w:left w:val="none" w:sz="0" w:space="0" w:color="auto"/>
            <w:bottom w:val="none" w:sz="0" w:space="0" w:color="auto"/>
            <w:right w:val="none" w:sz="0" w:space="0" w:color="auto"/>
          </w:divBdr>
        </w:div>
        <w:div w:id="1299259414">
          <w:marLeft w:val="0"/>
          <w:marRight w:val="0"/>
          <w:marTop w:val="0"/>
          <w:marBottom w:val="0"/>
          <w:divBdr>
            <w:top w:val="none" w:sz="0" w:space="0" w:color="auto"/>
            <w:left w:val="none" w:sz="0" w:space="0" w:color="auto"/>
            <w:bottom w:val="none" w:sz="0" w:space="0" w:color="auto"/>
            <w:right w:val="none" w:sz="0" w:space="0" w:color="auto"/>
          </w:divBdr>
        </w:div>
        <w:div w:id="2087216717">
          <w:marLeft w:val="0"/>
          <w:marRight w:val="0"/>
          <w:marTop w:val="240"/>
          <w:marBottom w:val="240"/>
          <w:divBdr>
            <w:top w:val="none" w:sz="0" w:space="0" w:color="auto"/>
            <w:left w:val="none" w:sz="0" w:space="0" w:color="auto"/>
            <w:bottom w:val="none" w:sz="0" w:space="0" w:color="auto"/>
            <w:right w:val="none" w:sz="0" w:space="0" w:color="auto"/>
          </w:divBdr>
        </w:div>
        <w:div w:id="1428844162">
          <w:marLeft w:val="0"/>
          <w:marRight w:val="0"/>
          <w:marTop w:val="0"/>
          <w:marBottom w:val="0"/>
          <w:divBdr>
            <w:top w:val="none" w:sz="0" w:space="0" w:color="auto"/>
            <w:left w:val="none" w:sz="0" w:space="0" w:color="auto"/>
            <w:bottom w:val="none" w:sz="0" w:space="0" w:color="auto"/>
            <w:right w:val="none" w:sz="0" w:space="0" w:color="auto"/>
          </w:divBdr>
        </w:div>
        <w:div w:id="327484782">
          <w:marLeft w:val="0"/>
          <w:marRight w:val="0"/>
          <w:marTop w:val="240"/>
          <w:marBottom w:val="240"/>
          <w:divBdr>
            <w:top w:val="none" w:sz="0" w:space="0" w:color="auto"/>
            <w:left w:val="none" w:sz="0" w:space="0" w:color="auto"/>
            <w:bottom w:val="none" w:sz="0" w:space="0" w:color="auto"/>
            <w:right w:val="none" w:sz="0" w:space="0" w:color="auto"/>
          </w:divBdr>
        </w:div>
        <w:div w:id="1371881308">
          <w:marLeft w:val="0"/>
          <w:marRight w:val="0"/>
          <w:marTop w:val="0"/>
          <w:marBottom w:val="0"/>
          <w:divBdr>
            <w:top w:val="none" w:sz="0" w:space="0" w:color="auto"/>
            <w:left w:val="none" w:sz="0" w:space="0" w:color="auto"/>
            <w:bottom w:val="none" w:sz="0" w:space="0" w:color="auto"/>
            <w:right w:val="none" w:sz="0" w:space="0" w:color="auto"/>
          </w:divBdr>
        </w:div>
      </w:divsChild>
    </w:div>
    <w:div w:id="1755468441">
      <w:bodyDiv w:val="1"/>
      <w:marLeft w:val="0"/>
      <w:marRight w:val="0"/>
      <w:marTop w:val="0"/>
      <w:marBottom w:val="0"/>
      <w:divBdr>
        <w:top w:val="none" w:sz="0" w:space="0" w:color="auto"/>
        <w:left w:val="none" w:sz="0" w:space="0" w:color="auto"/>
        <w:bottom w:val="none" w:sz="0" w:space="0" w:color="auto"/>
        <w:right w:val="none" w:sz="0" w:space="0" w:color="auto"/>
      </w:divBdr>
      <w:divsChild>
        <w:div w:id="923757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8FB87-E58C-4073-8C2C-3120FC1A1E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1492</Words>
  <Characters>8209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tyr manb</dc:creator>
  <cp:keywords/>
  <dc:description/>
  <cp:lastModifiedBy>tyr manb</cp:lastModifiedBy>
  <cp:revision>5</cp:revision>
  <dcterms:created xsi:type="dcterms:W3CDTF">2026-03-23T17:33:00Z</dcterms:created>
  <dcterms:modified xsi:type="dcterms:W3CDTF">2026-03-23T18:13:00Z</dcterms:modified>
</cp:coreProperties>
</file>