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C1F8" w14:textId="77777777" w:rsidR="00406447" w:rsidRPr="00406447" w:rsidRDefault="00406447" w:rsidP="00406447">
      <w:r w:rsidRPr="00406447">
        <w:t xml:space="preserve">Hay acuerdos entre Estados Unidos y </w:t>
      </w:r>
      <w:proofErr w:type="spellStart"/>
      <w:r w:rsidRPr="00406447">
        <w:t>perú</w:t>
      </w:r>
      <w:proofErr w:type="spellEnd"/>
      <w:r w:rsidRPr="00406447">
        <w:t xml:space="preserve"> sobre registro de IP como inteligencias artificiales</w:t>
      </w:r>
    </w:p>
    <w:p w14:paraId="63E12893" w14:textId="77777777" w:rsidR="00406447" w:rsidRPr="00406447" w:rsidRDefault="00406447" w:rsidP="00406447">
      <w:r w:rsidRPr="00406447">
        <w:t>Acuerdos Perú-</w:t>
      </w:r>
      <w:proofErr w:type="gramStart"/>
      <w:r w:rsidRPr="00406447">
        <w:t>EEUU</w:t>
      </w:r>
      <w:proofErr w:type="gramEnd"/>
      <w:r w:rsidRPr="00406447">
        <w:t xml:space="preserve"> y Registro de IP por IA</w:t>
      </w:r>
    </w:p>
    <w:p w14:paraId="4FDE754E" w14:textId="77777777" w:rsidR="00406447" w:rsidRPr="00406447" w:rsidRDefault="00406447" w:rsidP="00406447">
      <w:r w:rsidRPr="00406447">
        <w:t>No existen acuerdos bilaterales específicos entre </w:t>
      </w:r>
      <w:r w:rsidRPr="00406447">
        <w:rPr>
          <w:b/>
          <w:bCs/>
        </w:rPr>
        <w:t>Perú y Estados Unidos</w:t>
      </w:r>
      <w:r w:rsidRPr="00406447">
        <w:t> que permitan el registro de propiedad intelectual (IP) donde la </w:t>
      </w:r>
      <w:r w:rsidRPr="00406447">
        <w:rPr>
          <w:b/>
          <w:bCs/>
        </w:rPr>
        <w:t>Inteligencia Artificial (IA)</w:t>
      </w:r>
      <w:r w:rsidRPr="00406447">
        <w:t> sea reconocida como autora o inventora independiente. Por el contrario, el marco normativo de ambos países y los tratados que los vinculan, como el </w:t>
      </w:r>
      <w:r w:rsidRPr="00406447">
        <w:rPr>
          <w:b/>
          <w:bCs/>
        </w:rPr>
        <w:t>Acuerdo de Promoción Comercial (TLC)</w:t>
      </w:r>
      <w:r w:rsidRPr="00406447">
        <w:t>, mantienen el principio de </w:t>
      </w:r>
      <w:r w:rsidRPr="00406447">
        <w:rPr>
          <w:b/>
          <w:bCs/>
        </w:rPr>
        <w:t>autoría humana</w:t>
      </w:r>
      <w:r w:rsidRPr="00406447">
        <w:t> como requisito esencial para la protección.</w:t>
      </w:r>
    </w:p>
    <w:p w14:paraId="24470C60" w14:textId="77777777" w:rsidR="00406447" w:rsidRPr="00406447" w:rsidRDefault="00406447" w:rsidP="00406447">
      <w:r w:rsidRPr="00406447">
        <w:t>A continuación, detallo los puntos clave sobre la situación actual de estos acuerdos y la normativa aplicable:</w:t>
      </w:r>
    </w:p>
    <w:p w14:paraId="54B28CF3" w14:textId="77777777" w:rsidR="00406447" w:rsidRPr="00406447" w:rsidRDefault="00406447" w:rsidP="00406447">
      <w:pPr>
        <w:rPr>
          <w:b/>
          <w:bCs/>
        </w:rPr>
      </w:pPr>
      <w:r w:rsidRPr="00406447">
        <w:rPr>
          <w:b/>
          <w:bCs/>
        </w:rPr>
        <w:t>1. Marco del TLC Perú-Estados Unidos</w:t>
      </w:r>
    </w:p>
    <w:p w14:paraId="60D62A74" w14:textId="77777777" w:rsidR="00406447" w:rsidRPr="00406447" w:rsidRDefault="00406447" w:rsidP="00406447">
      <w:r w:rsidRPr="00406447">
        <w:t>El </w:t>
      </w:r>
      <w:hyperlink r:id="rId5" w:history="1">
        <w:r w:rsidRPr="00406447">
          <w:rPr>
            <w:rStyle w:val="Hipervnculo"/>
          </w:rPr>
          <w:t>Capítulo 16 del Acuerdo de Promoción Comercial</w:t>
        </w:r>
      </w:hyperlink>
      <w:r w:rsidRPr="00406447">
        <w:t> regula los derechos de propiedad intelectual entre ambos Estados. Si bien este tratado establece estándares de protección para derechos de autor, patentes y marcas, no contiene disposiciones que reconozcan a sistemas de IA como sujetos de derecho.</w:t>
      </w:r>
    </w:p>
    <w:p w14:paraId="13279EBA" w14:textId="77777777" w:rsidR="00406447" w:rsidRPr="00406447" w:rsidRDefault="00406447" w:rsidP="00406447">
      <w:pPr>
        <w:numPr>
          <w:ilvl w:val="0"/>
          <w:numId w:val="1"/>
        </w:numPr>
      </w:pPr>
      <w:r w:rsidRPr="00406447">
        <w:rPr>
          <w:b/>
          <w:bCs/>
        </w:rPr>
        <w:t>Armonización:</w:t>
      </w:r>
      <w:r w:rsidRPr="00406447">
        <w:t> El acuerdo busca que Perú cumpla con estándares internacionales como el </w:t>
      </w:r>
      <w:r w:rsidRPr="00406447">
        <w:rPr>
          <w:b/>
          <w:bCs/>
        </w:rPr>
        <w:t>Convenio de Berna</w:t>
      </w:r>
      <w:r w:rsidRPr="00406447">
        <w:t> y el </w:t>
      </w:r>
      <w:r w:rsidRPr="00406447">
        <w:rPr>
          <w:b/>
          <w:bCs/>
        </w:rPr>
        <w:t>Acuerdo sobre los ADPIC</w:t>
      </w:r>
      <w:r w:rsidRPr="00406447">
        <w:t>, los cuales han sido interpretados históricamente bajo el presupuesto de que la creación emana de una persona natural.</w:t>
      </w:r>
    </w:p>
    <w:p w14:paraId="7200FF56" w14:textId="77777777" w:rsidR="00406447" w:rsidRPr="00406447" w:rsidRDefault="00406447" w:rsidP="00406447">
      <w:pPr>
        <w:rPr>
          <w:b/>
          <w:bCs/>
        </w:rPr>
      </w:pPr>
      <w:r w:rsidRPr="00406447">
        <w:rPr>
          <w:b/>
          <w:bCs/>
        </w:rPr>
        <w:t>2. Exigencia de Autoría Humana en Perú</w:t>
      </w:r>
    </w:p>
    <w:p w14:paraId="2B50882B" w14:textId="77777777" w:rsidR="00406447" w:rsidRPr="00406447" w:rsidRDefault="00406447" w:rsidP="00406447">
      <w:r w:rsidRPr="00406447">
        <w:t>La legislación peruana es explícita al respecto. El </w:t>
      </w:r>
      <w:hyperlink r:id="rId6" w:history="1">
        <w:r w:rsidRPr="00406447">
          <w:rPr>
            <w:rStyle w:val="Hipervnculo"/>
          </w:rPr>
          <w:t>Decreto Legislativo 822 (Ley sobre el Derecho de Autor)</w:t>
        </w:r>
      </w:hyperlink>
      <w:r w:rsidRPr="00406447">
        <w:t> define al </w:t>
      </w:r>
      <w:r w:rsidRPr="00406447">
        <w:rPr>
          <w:b/>
          <w:bCs/>
        </w:rPr>
        <w:t>Autor</w:t>
      </w:r>
      <w:r w:rsidRPr="00406447">
        <w:t> como la "persona natural que realiza la creación intelectual". Recientemente, la </w:t>
      </w:r>
      <w:hyperlink r:id="rId7" w:history="1">
        <w:r w:rsidRPr="00406447">
          <w:rPr>
            <w:rStyle w:val="Hipervnculo"/>
          </w:rPr>
          <w:t>Ley 32314 (2025)</w:t>
        </w:r>
      </w:hyperlink>
      <w:r w:rsidRPr="00406447">
        <w:t>, que modifica el Código Penal en materia de IA, refuerza esta postura al referirse a obras de </w:t>
      </w:r>
      <w:r w:rsidRPr="00406447">
        <w:rPr>
          <w:b/>
          <w:bCs/>
        </w:rPr>
        <w:t>"autoría humana"</w:t>
      </w:r>
      <w:r w:rsidRPr="00406447">
        <w:t> cuando tipifica delitos contra los derechos de autor que involucren tecnologías de IA.</w:t>
      </w:r>
    </w:p>
    <w:p w14:paraId="4B84B243" w14:textId="77777777" w:rsidR="00406447" w:rsidRPr="00406447" w:rsidRDefault="00406447" w:rsidP="00406447">
      <w:pPr>
        <w:numPr>
          <w:ilvl w:val="0"/>
          <w:numId w:val="2"/>
        </w:numPr>
      </w:pPr>
      <w:r w:rsidRPr="00406447">
        <w:rPr>
          <w:b/>
          <w:bCs/>
        </w:rPr>
        <w:t>Indecopi:</w:t>
      </w:r>
      <w:r w:rsidRPr="00406447">
        <w:t> La autoridad peruana mantiene el criterio de que los sistemas de IA son herramientas. Una obra generada </w:t>
      </w:r>
      <w:r w:rsidRPr="00406447">
        <w:rPr>
          <w:i/>
          <w:iCs/>
        </w:rPr>
        <w:t>exclusivamente</w:t>
      </w:r>
      <w:r w:rsidRPr="00406447">
        <w:t> por una IA, sin una intervención humana creativa y determinante, no es susceptible de registro como derecho de autor en el Perú.</w:t>
      </w:r>
    </w:p>
    <w:p w14:paraId="3CB7899C" w14:textId="77777777" w:rsidR="00406447" w:rsidRPr="00406447" w:rsidRDefault="00406447" w:rsidP="00406447">
      <w:pPr>
        <w:rPr>
          <w:b/>
          <w:bCs/>
        </w:rPr>
      </w:pPr>
      <w:r w:rsidRPr="00406447">
        <w:rPr>
          <w:b/>
          <w:bCs/>
        </w:rPr>
        <w:t>3. Posición de Estados Unidos (USPTO y USCO)</w:t>
      </w:r>
    </w:p>
    <w:p w14:paraId="6826F445" w14:textId="77777777" w:rsidR="00406447" w:rsidRPr="00406447" w:rsidRDefault="00406447" w:rsidP="00406447">
      <w:r w:rsidRPr="00406447">
        <w:t>Aunque no hay un acuerdo "de registro" conjunto, la posición de la </w:t>
      </w:r>
      <w:r w:rsidRPr="00406447">
        <w:rPr>
          <w:b/>
          <w:bCs/>
        </w:rPr>
        <w:t>Oficina de Patentes y Marcas de EE. UU. (USPTO)</w:t>
      </w:r>
      <w:r w:rsidRPr="00406447">
        <w:t> y la </w:t>
      </w:r>
      <w:r w:rsidRPr="00406447">
        <w:rPr>
          <w:b/>
          <w:bCs/>
        </w:rPr>
        <w:t>Oficina del Derecho de Autor (USCO)</w:t>
      </w:r>
      <w:r w:rsidRPr="00406447">
        <w:t> coincide con la peruana:</w:t>
      </w:r>
    </w:p>
    <w:p w14:paraId="3975E9A9" w14:textId="77777777" w:rsidR="00406447" w:rsidRPr="00406447" w:rsidRDefault="00406447" w:rsidP="00406447">
      <w:pPr>
        <w:numPr>
          <w:ilvl w:val="0"/>
          <w:numId w:val="3"/>
        </w:numPr>
      </w:pPr>
      <w:r w:rsidRPr="00406447">
        <w:rPr>
          <w:b/>
          <w:bCs/>
        </w:rPr>
        <w:lastRenderedPageBreak/>
        <w:t>Patentes:</w:t>
      </w:r>
      <w:r w:rsidRPr="00406447">
        <w:t xml:space="preserve"> La USPTO ha determinado que solo las personas naturales pueden ser </w:t>
      </w:r>
      <w:proofErr w:type="gramStart"/>
      <w:r w:rsidRPr="00406447">
        <w:t>nombradas como</w:t>
      </w:r>
      <w:proofErr w:type="gramEnd"/>
      <w:r w:rsidRPr="00406447">
        <w:t xml:space="preserve"> inventores.</w:t>
      </w:r>
    </w:p>
    <w:p w14:paraId="7B91D620" w14:textId="77777777" w:rsidR="00406447" w:rsidRPr="00406447" w:rsidRDefault="00406447" w:rsidP="00406447">
      <w:pPr>
        <w:numPr>
          <w:ilvl w:val="0"/>
          <w:numId w:val="3"/>
        </w:numPr>
      </w:pPr>
      <w:r w:rsidRPr="00406447">
        <w:rPr>
          <w:b/>
          <w:bCs/>
        </w:rPr>
        <w:t>Derechos de Autor:</w:t>
      </w:r>
      <w:r w:rsidRPr="00406447">
        <w:t> La USCO rechaza el registro de obras generadas por IA si no existe una "autoría humana significativa".</w:t>
      </w:r>
    </w:p>
    <w:p w14:paraId="24D092BF" w14:textId="77777777" w:rsidR="00406447" w:rsidRPr="00406447" w:rsidRDefault="00406447" w:rsidP="00406447">
      <w:pPr>
        <w:rPr>
          <w:b/>
          <w:bCs/>
        </w:rPr>
      </w:pPr>
      <w:r w:rsidRPr="00406447">
        <w:rPr>
          <w:b/>
          <w:bCs/>
        </w:rPr>
        <w:t>4. Normativa Reciente sobre IA en Perú</w:t>
      </w:r>
    </w:p>
    <w:p w14:paraId="709A6C72" w14:textId="77777777" w:rsidR="00406447" w:rsidRPr="00406447" w:rsidRDefault="00406447" w:rsidP="00406447">
      <w:r w:rsidRPr="00406447">
        <w:t>Perú ha avanzado en la regulación operativa de la IA a través de la </w:t>
      </w:r>
      <w:r w:rsidRPr="00406447">
        <w:rPr>
          <w:b/>
          <w:bCs/>
        </w:rPr>
        <w:t>Ley 31814</w:t>
      </w:r>
      <w:r w:rsidRPr="00406447">
        <w:t> y su </w:t>
      </w:r>
      <w:hyperlink r:id="rId8" w:history="1">
        <w:r w:rsidRPr="00406447">
          <w:rPr>
            <w:rStyle w:val="Hipervnculo"/>
          </w:rPr>
          <w:t>Reglamento (D.S. 115-2025-PCM)</w:t>
        </w:r>
      </w:hyperlink>
      <w:r w:rsidRPr="00406447">
        <w:t>. Estos documentos establecen que:</w:t>
      </w:r>
    </w:p>
    <w:p w14:paraId="6F3F410E" w14:textId="77777777" w:rsidR="00406447" w:rsidRPr="00406447" w:rsidRDefault="00406447" w:rsidP="00406447">
      <w:pPr>
        <w:numPr>
          <w:ilvl w:val="0"/>
          <w:numId w:val="4"/>
        </w:numPr>
      </w:pPr>
      <w:r w:rsidRPr="00406447">
        <w:t>El </w:t>
      </w:r>
      <w:r w:rsidRPr="00406447">
        <w:rPr>
          <w:b/>
          <w:bCs/>
        </w:rPr>
        <w:t>Indecopi</w:t>
      </w:r>
      <w:r w:rsidRPr="00406447">
        <w:t> es una de las entidades competentes para conocer denuncias de personas afectadas por sistemas de IA en el ámbito de la propiedad intelectual.</w:t>
      </w:r>
    </w:p>
    <w:p w14:paraId="68AFA8CD" w14:textId="77777777" w:rsidR="00406447" w:rsidRPr="00406447" w:rsidRDefault="00406447" w:rsidP="00406447">
      <w:pPr>
        <w:numPr>
          <w:ilvl w:val="0"/>
          <w:numId w:val="4"/>
        </w:numPr>
      </w:pPr>
      <w:r w:rsidRPr="00406447">
        <w:t>Se promueve el uso ético y transparente de la IA, pero no se altera la estructura de la propiedad industrial o el derecho de autor para otorgar personería jurídica o derechos de exclusiva a los algoritmos.</w:t>
      </w:r>
    </w:p>
    <w:p w14:paraId="35EB9DE9" w14:textId="77777777" w:rsidR="00406447" w:rsidRPr="00406447" w:rsidRDefault="00406447" w:rsidP="00406447">
      <w:pPr>
        <w:rPr>
          <w:b/>
          <w:bCs/>
        </w:rPr>
      </w:pPr>
      <w:r w:rsidRPr="00406447">
        <w:rPr>
          <w:b/>
          <w:bCs/>
        </w:rPr>
        <w:t>5. Jurisprudencia en Patentes</w:t>
      </w:r>
    </w:p>
    <w:p w14:paraId="2B15BA87" w14:textId="77777777" w:rsidR="00406447" w:rsidRPr="00406447" w:rsidRDefault="00406447" w:rsidP="00406447">
      <w:r w:rsidRPr="00406447">
        <w:t>En la práctica administrativa del Indecopi, reflejada en resoluciones como la de la </w:t>
      </w:r>
      <w:hyperlink r:id="rId9" w:history="1">
        <w:r w:rsidRPr="00406447">
          <w:rPr>
            <w:rStyle w:val="Hipervnculo"/>
          </w:rPr>
          <w:t>Burbuja Artificial Neonatal</w:t>
        </w:r>
      </w:hyperlink>
      <w:r w:rsidRPr="00406447">
        <w:t>, se observa que la evaluación de patentes se centra en el </w:t>
      </w:r>
      <w:r w:rsidRPr="00406447">
        <w:rPr>
          <w:b/>
          <w:bCs/>
        </w:rPr>
        <w:t>nivel inventivo</w:t>
      </w:r>
      <w:r w:rsidRPr="00406447">
        <w:t> y la </w:t>
      </w:r>
      <w:r w:rsidRPr="00406447">
        <w:rPr>
          <w:b/>
          <w:bCs/>
        </w:rPr>
        <w:t>novedad</w:t>
      </w:r>
      <w:r w:rsidRPr="00406447">
        <w:t> aportada por inventores humanos, utilizando la IA o sistemas computacionales solo como soporte técnico, no como sujetos reclamantes del derecho.</w:t>
      </w:r>
    </w:p>
    <w:p w14:paraId="7BA1A06F" w14:textId="77777777" w:rsidR="00406447" w:rsidRPr="00406447" w:rsidRDefault="00406447" w:rsidP="00406447">
      <w:pPr>
        <w:rPr>
          <w:b/>
          <w:bCs/>
        </w:rPr>
      </w:pPr>
      <w:r w:rsidRPr="00406447">
        <w:rPr>
          <w:b/>
          <w:bCs/>
        </w:rPr>
        <w:t>Conclusiones</w:t>
      </w:r>
    </w:p>
    <w:p w14:paraId="0294C8E6" w14:textId="77777777" w:rsidR="00406447" w:rsidRPr="00406447" w:rsidRDefault="00406447" w:rsidP="00406447">
      <w:pPr>
        <w:numPr>
          <w:ilvl w:val="0"/>
          <w:numId w:val="5"/>
        </w:numPr>
      </w:pPr>
      <w:r w:rsidRPr="00406447">
        <w:rPr>
          <w:b/>
          <w:bCs/>
        </w:rPr>
        <w:t>Inexistencia de Reconocimiento:</w:t>
      </w:r>
      <w:r w:rsidRPr="00406447">
        <w:t> No hay tratados que permitan registrar a una IA como autora en Perú o EE. UU. Ambos países exigen la intervención de una persona natural.</w:t>
      </w:r>
    </w:p>
    <w:p w14:paraId="20EBDBB9" w14:textId="77777777" w:rsidR="00406447" w:rsidRPr="00406447" w:rsidRDefault="00406447" w:rsidP="00406447">
      <w:pPr>
        <w:numPr>
          <w:ilvl w:val="0"/>
          <w:numId w:val="5"/>
        </w:numPr>
      </w:pPr>
      <w:r w:rsidRPr="00406447">
        <w:rPr>
          <w:b/>
          <w:bCs/>
        </w:rPr>
        <w:t>IA como Herramienta:</w:t>
      </w:r>
      <w:r w:rsidRPr="00406447">
        <w:t> El consenso jurisprudencial y normativo es tratar a la IA como un instrumento técnico. El titular de la IP será siempre el humano que demuestre control creativo o inventivo sobre el resultado.</w:t>
      </w:r>
    </w:p>
    <w:p w14:paraId="13591C95" w14:textId="77777777" w:rsidR="00406447" w:rsidRPr="00406447" w:rsidRDefault="00406447" w:rsidP="00406447">
      <w:pPr>
        <w:numPr>
          <w:ilvl w:val="0"/>
          <w:numId w:val="5"/>
        </w:numPr>
      </w:pPr>
      <w:r w:rsidRPr="00406447">
        <w:rPr>
          <w:b/>
          <w:bCs/>
        </w:rPr>
        <w:t>Cooperación Técnica:</w:t>
      </w:r>
      <w:r w:rsidRPr="00406447">
        <w:t> La relación entre ambos países se limita al intercambio de mejores prácticas y observancia de derechos de IP tradicionales bajo el TLC, sin que esto implique una mutación en el concepto de "autor".</w:t>
      </w:r>
    </w:p>
    <w:p w14:paraId="5CAA3879" w14:textId="77777777" w:rsidR="00406447" w:rsidRPr="00406447" w:rsidRDefault="00406447" w:rsidP="00406447">
      <w:r w:rsidRPr="00406447">
        <w:t>se puede registrar en IA en Peru?</w:t>
      </w:r>
    </w:p>
    <w:p w14:paraId="09456A94" w14:textId="77777777" w:rsidR="00406447" w:rsidRPr="00406447" w:rsidRDefault="00406447" w:rsidP="00406447">
      <w:r w:rsidRPr="00406447">
        <w:t>Registro de IA en Perú: Software y Patentes</w:t>
      </w:r>
    </w:p>
    <w:p w14:paraId="47166377" w14:textId="77777777" w:rsidR="00406447" w:rsidRPr="00406447" w:rsidRDefault="00406447" w:rsidP="00406447">
      <w:r w:rsidRPr="00406447">
        <w:t>En Perú, el registro de una Inteligencia Artificial es posible, pero depende de </w:t>
      </w:r>
      <w:r w:rsidRPr="00406447">
        <w:rPr>
          <w:b/>
          <w:bCs/>
        </w:rPr>
        <w:t>qué elemento específico</w:t>
      </w:r>
      <w:r w:rsidRPr="00406447">
        <w:t xml:space="preserve"> se desee proteger. No se registra la "IA" como un ente </w:t>
      </w:r>
      <w:r w:rsidRPr="00406447">
        <w:lastRenderedPageBreak/>
        <w:t>unitario, sino que se descompone en sus elementos protegibles bajo la normativa del </w:t>
      </w:r>
      <w:r w:rsidRPr="00406447">
        <w:rPr>
          <w:b/>
          <w:bCs/>
        </w:rPr>
        <w:t>Indecopi</w:t>
      </w:r>
      <w:r w:rsidRPr="00406447">
        <w:t>.</w:t>
      </w:r>
    </w:p>
    <w:p w14:paraId="40F2B2CF" w14:textId="77777777" w:rsidR="00406447" w:rsidRPr="00406447" w:rsidRDefault="00406447" w:rsidP="00406447">
      <w:r w:rsidRPr="00406447">
        <w:t>A continuación, detallo las tres vías principales de protección según el marco legal vigente:</w:t>
      </w:r>
    </w:p>
    <w:p w14:paraId="39C27C3A" w14:textId="77777777" w:rsidR="00406447" w:rsidRPr="00406447" w:rsidRDefault="00406447" w:rsidP="00406447">
      <w:pPr>
        <w:rPr>
          <w:b/>
          <w:bCs/>
        </w:rPr>
      </w:pPr>
      <w:r w:rsidRPr="00406447">
        <w:rPr>
          <w:b/>
          <w:bCs/>
        </w:rPr>
        <w:t>1. Registro como Software (Derecho de Autor)</w:t>
      </w:r>
    </w:p>
    <w:p w14:paraId="75248C6B" w14:textId="77777777" w:rsidR="00406447" w:rsidRPr="00406447" w:rsidRDefault="00406447" w:rsidP="00406447">
      <w:r w:rsidRPr="00406447">
        <w:t>Esta es la vía más común. El </w:t>
      </w:r>
      <w:r w:rsidRPr="00406447">
        <w:rPr>
          <w:b/>
          <w:bCs/>
        </w:rPr>
        <w:t>código fuente</w:t>
      </w:r>
      <w:r w:rsidRPr="00406447">
        <w:t> y el </w:t>
      </w:r>
      <w:r w:rsidRPr="00406447">
        <w:rPr>
          <w:b/>
          <w:bCs/>
        </w:rPr>
        <w:t>código objeto</w:t>
      </w:r>
      <w:r w:rsidRPr="00406447">
        <w:t> de la IA se protegen como una </w:t>
      </w:r>
      <w:r w:rsidRPr="00406447">
        <w:rPr>
          <w:b/>
          <w:bCs/>
        </w:rPr>
        <w:t>obra literaria</w:t>
      </w:r>
      <w:r w:rsidRPr="00406447">
        <w:t>.</w:t>
      </w:r>
    </w:p>
    <w:p w14:paraId="162BCC6D" w14:textId="77777777" w:rsidR="00406447" w:rsidRPr="00406447" w:rsidRDefault="00406447" w:rsidP="00406447">
      <w:pPr>
        <w:numPr>
          <w:ilvl w:val="0"/>
          <w:numId w:val="6"/>
        </w:numPr>
      </w:pPr>
      <w:r w:rsidRPr="00406447">
        <w:rPr>
          <w:b/>
          <w:bCs/>
        </w:rPr>
        <w:t>Base Legal:</w:t>
      </w:r>
      <w:r w:rsidRPr="00406447">
        <w:t> El </w:t>
      </w:r>
      <w:hyperlink r:id="rId10" w:history="1">
        <w:r w:rsidRPr="00406447">
          <w:rPr>
            <w:rStyle w:val="Hipervnculo"/>
          </w:rPr>
          <w:t>Artículo 69 del Decreto Legislativo 822</w:t>
        </w:r>
      </w:hyperlink>
      <w:r w:rsidRPr="00406447">
        <w:t> establece que los programas de ordenador (software) gozan de protección sin necesidad de registro, aunque se recomienda hacerlo ante la Dirección de Derecho de Autor del Indecopi para tener una prueba de autoría.</w:t>
      </w:r>
    </w:p>
    <w:p w14:paraId="294E2646" w14:textId="77777777" w:rsidR="00406447" w:rsidRPr="00406447" w:rsidRDefault="00406447" w:rsidP="00406447">
      <w:pPr>
        <w:numPr>
          <w:ilvl w:val="0"/>
          <w:numId w:val="6"/>
        </w:numPr>
      </w:pPr>
      <w:r w:rsidRPr="00406447">
        <w:rPr>
          <w:b/>
          <w:bCs/>
        </w:rPr>
        <w:t>Qué se protege:</w:t>
      </w:r>
      <w:r w:rsidRPr="00406447">
        <w:t> El conjunto de instrucciones, la documentación técnica y los manuales de uso.</w:t>
      </w:r>
    </w:p>
    <w:p w14:paraId="361F1982" w14:textId="77777777" w:rsidR="00406447" w:rsidRPr="00406447" w:rsidRDefault="00406447" w:rsidP="00406447">
      <w:pPr>
        <w:numPr>
          <w:ilvl w:val="0"/>
          <w:numId w:val="6"/>
        </w:numPr>
      </w:pPr>
      <w:r w:rsidRPr="00406447">
        <w:rPr>
          <w:b/>
          <w:bCs/>
        </w:rPr>
        <w:t>Limitación:</w:t>
      </w:r>
      <w:r w:rsidRPr="00406447">
        <w:t> Se protege la </w:t>
      </w:r>
      <w:r w:rsidRPr="00406447">
        <w:rPr>
          <w:b/>
          <w:bCs/>
        </w:rPr>
        <w:t>expresión</w:t>
      </w:r>
      <w:r w:rsidRPr="00406447">
        <w:t> del código, pero no la idea algorítmica o el método matemático en sí mismo.</w:t>
      </w:r>
    </w:p>
    <w:p w14:paraId="62224E0A" w14:textId="77777777" w:rsidR="00406447" w:rsidRPr="00406447" w:rsidRDefault="00406447" w:rsidP="00406447">
      <w:pPr>
        <w:rPr>
          <w:b/>
          <w:bCs/>
        </w:rPr>
      </w:pPr>
      <w:r w:rsidRPr="00406447">
        <w:rPr>
          <w:b/>
          <w:bCs/>
        </w:rPr>
        <w:t>2. Patente de Invención (Propiedad Industrial)</w:t>
      </w:r>
    </w:p>
    <w:p w14:paraId="5918D037" w14:textId="77777777" w:rsidR="00406447" w:rsidRPr="00406447" w:rsidRDefault="00406447" w:rsidP="00406447">
      <w:r w:rsidRPr="00406447">
        <w:t>Si la IA resuelve un problema técnico mediante una interacción nueva entre el software y el hardware, podría protegerse como una </w:t>
      </w:r>
      <w:r w:rsidRPr="00406447">
        <w:rPr>
          <w:b/>
          <w:bCs/>
        </w:rPr>
        <w:t>Invención Implementada por Computadora (IIC)</w:t>
      </w:r>
      <w:r w:rsidRPr="00406447">
        <w:t>.</w:t>
      </w:r>
    </w:p>
    <w:p w14:paraId="27F8AE1E" w14:textId="77777777" w:rsidR="00406447" w:rsidRPr="00406447" w:rsidRDefault="00406447" w:rsidP="00406447">
      <w:pPr>
        <w:numPr>
          <w:ilvl w:val="0"/>
          <w:numId w:val="7"/>
        </w:numPr>
      </w:pPr>
      <w:r w:rsidRPr="00406447">
        <w:rPr>
          <w:b/>
          <w:bCs/>
        </w:rPr>
        <w:t>Base Legal:</w:t>
      </w:r>
      <w:r w:rsidRPr="00406447">
        <w:t> Según el </w:t>
      </w:r>
      <w:hyperlink r:id="rId11" w:history="1">
        <w:r w:rsidRPr="00406447">
          <w:rPr>
            <w:rStyle w:val="Hipervnculo"/>
          </w:rPr>
          <w:t>Decreto Legislativo 1075</w:t>
        </w:r>
      </w:hyperlink>
      <w:r w:rsidRPr="00406447">
        <w:t> y la Decisión 486 de la CAN, los programas de ordenador "como tales" no son patentables.</w:t>
      </w:r>
    </w:p>
    <w:p w14:paraId="0A3C6A1A" w14:textId="77777777" w:rsidR="00406447" w:rsidRPr="00406447" w:rsidRDefault="00406447" w:rsidP="00406447">
      <w:pPr>
        <w:numPr>
          <w:ilvl w:val="0"/>
          <w:numId w:val="7"/>
        </w:numPr>
      </w:pPr>
      <w:r w:rsidRPr="00406447">
        <w:rPr>
          <w:b/>
          <w:bCs/>
        </w:rPr>
        <w:t>Requisito de Patentabilidad:</w:t>
      </w:r>
      <w:r w:rsidRPr="00406447">
        <w:t> Para que un algoritmo de IA sea patentable, debe producir un </w:t>
      </w:r>
      <w:r w:rsidRPr="00406447">
        <w:rPr>
          <w:b/>
          <w:bCs/>
        </w:rPr>
        <w:t>efecto técnico</w:t>
      </w:r>
      <w:r w:rsidRPr="00406447">
        <w:t> que vaya más allá de la simple ejecución de un programa (por ejemplo, un sistema de IA que optimiza el consumo de energía en una red eléctrica industrial o mejora el procesamiento de imágenes médicas). Debe cumplir con: </w:t>
      </w:r>
      <w:r w:rsidRPr="00406447">
        <w:rPr>
          <w:b/>
          <w:bCs/>
        </w:rPr>
        <w:t>novedad</w:t>
      </w:r>
      <w:r w:rsidRPr="00406447">
        <w:t>, </w:t>
      </w:r>
      <w:r w:rsidRPr="00406447">
        <w:rPr>
          <w:b/>
          <w:bCs/>
        </w:rPr>
        <w:t>nivel inventivo</w:t>
      </w:r>
      <w:r w:rsidRPr="00406447">
        <w:t> y </w:t>
      </w:r>
      <w:r w:rsidRPr="00406447">
        <w:rPr>
          <w:b/>
          <w:bCs/>
        </w:rPr>
        <w:t>aplicación industrial</w:t>
      </w:r>
      <w:r w:rsidRPr="00406447">
        <w:t>.</w:t>
      </w:r>
    </w:p>
    <w:p w14:paraId="4ABF1992" w14:textId="77777777" w:rsidR="00406447" w:rsidRPr="00406447" w:rsidRDefault="00406447" w:rsidP="00406447">
      <w:pPr>
        <w:rPr>
          <w:b/>
          <w:bCs/>
        </w:rPr>
      </w:pPr>
      <w:r w:rsidRPr="00406447">
        <w:rPr>
          <w:b/>
          <w:bCs/>
        </w:rPr>
        <w:t>3. Registro de las Obras "creadas con" IA</w:t>
      </w:r>
    </w:p>
    <w:p w14:paraId="2044E3BD" w14:textId="77777777" w:rsidR="00406447" w:rsidRPr="00406447" w:rsidRDefault="00406447" w:rsidP="00406447">
      <w:r w:rsidRPr="00406447">
        <w:t>Existe una distinción crítica entre registrar la IA (el código) y registrar lo que la IA produce (imágenes, textos, música).</w:t>
      </w:r>
    </w:p>
    <w:p w14:paraId="0DE17A24" w14:textId="77777777" w:rsidR="00406447" w:rsidRPr="00406447" w:rsidRDefault="00406447" w:rsidP="00406447">
      <w:pPr>
        <w:numPr>
          <w:ilvl w:val="0"/>
          <w:numId w:val="8"/>
        </w:numPr>
      </w:pPr>
      <w:r w:rsidRPr="00406447">
        <w:rPr>
          <w:b/>
          <w:bCs/>
        </w:rPr>
        <w:t>Autoría Humana:</w:t>
      </w:r>
      <w:r w:rsidRPr="00406447">
        <w:t> La normativa peruana, reforzada por la reciente </w:t>
      </w:r>
      <w:hyperlink r:id="rId12" w:history="1">
        <w:r w:rsidRPr="00406447">
          <w:rPr>
            <w:rStyle w:val="Hipervnculo"/>
          </w:rPr>
          <w:t>Ley 32314</w:t>
        </w:r>
      </w:hyperlink>
      <w:r w:rsidRPr="00406447">
        <w:t>, exige que la obra sea de </w:t>
      </w:r>
      <w:r w:rsidRPr="00406447">
        <w:rPr>
          <w:b/>
          <w:bCs/>
        </w:rPr>
        <w:t>"autoría humana"</w:t>
      </w:r>
      <w:r w:rsidRPr="00406447">
        <w:t> para recibir protección por derecho de autor.</w:t>
      </w:r>
    </w:p>
    <w:p w14:paraId="1E177E90" w14:textId="77777777" w:rsidR="00406447" w:rsidRPr="00406447" w:rsidRDefault="00406447" w:rsidP="00406447">
      <w:pPr>
        <w:numPr>
          <w:ilvl w:val="0"/>
          <w:numId w:val="8"/>
        </w:numPr>
      </w:pPr>
      <w:r w:rsidRPr="00406447">
        <w:rPr>
          <w:b/>
          <w:bCs/>
        </w:rPr>
        <w:lastRenderedPageBreak/>
        <w:t>Imposibilidad de registro para la IA:</w:t>
      </w:r>
      <w:r w:rsidRPr="00406447">
        <w:t> No puedes registrar a la IA como autora. Si el resultado es generado </w:t>
      </w:r>
      <w:r w:rsidRPr="00406447">
        <w:rPr>
          <w:i/>
          <w:iCs/>
        </w:rPr>
        <w:t>íntegramente</w:t>
      </w:r>
      <w:r w:rsidRPr="00406447">
        <w:t> por la IA sin una intervención creativa humana determinante, el Indecopi denegará el registro por falta de originalidad humana. Solo se puede registrar si el humano utiliza la IA como una herramienta (similar a un pincel o un software de edición) y mantiene el control creativo.</w:t>
      </w:r>
    </w:p>
    <w:p w14:paraId="065F18BB" w14:textId="77777777" w:rsidR="00406447" w:rsidRPr="00406447" w:rsidRDefault="00406447" w:rsidP="00406447">
      <w:pPr>
        <w:rPr>
          <w:b/>
          <w:bCs/>
        </w:rPr>
      </w:pPr>
      <w:r w:rsidRPr="00406447">
        <w:rPr>
          <w:b/>
          <w:bCs/>
        </w:rPr>
        <w:t>4. Nuevas Obligaciones (Ley 31814 y Reglamento)</w:t>
      </w:r>
    </w:p>
    <w:p w14:paraId="09447D2D" w14:textId="77777777" w:rsidR="00406447" w:rsidRPr="00406447" w:rsidRDefault="00406447" w:rsidP="00406447">
      <w:r w:rsidRPr="00406447">
        <w:t>El reciente </w:t>
      </w:r>
      <w:hyperlink r:id="rId13" w:history="1">
        <w:r w:rsidRPr="00406447">
          <w:rPr>
            <w:rStyle w:val="Hipervnculo"/>
          </w:rPr>
          <w:t>Reglamento de la Ley de IA (D.S. 115-2025-PCM)</w:t>
        </w:r>
      </w:hyperlink>
      <w:r w:rsidRPr="00406447">
        <w:t> impone nuevas reglas de transparencia para quienes desarrollan o implementan IA en Perú:</w:t>
      </w:r>
    </w:p>
    <w:p w14:paraId="2382E684" w14:textId="77777777" w:rsidR="00406447" w:rsidRPr="00406447" w:rsidRDefault="00406447" w:rsidP="00406447">
      <w:pPr>
        <w:numPr>
          <w:ilvl w:val="0"/>
          <w:numId w:val="9"/>
        </w:numPr>
      </w:pPr>
      <w:r w:rsidRPr="00406447">
        <w:rPr>
          <w:b/>
          <w:bCs/>
        </w:rPr>
        <w:t>Respeto al Derecho de Autor:</w:t>
      </w:r>
      <w:r w:rsidRPr="00406447">
        <w:t> Es obligatorio que el desarrollo de la IA respete los derechos de autor de terceros (por ejemplo, en el entrenamiento de modelos con datos protegidos).</w:t>
      </w:r>
    </w:p>
    <w:p w14:paraId="6FD20E26" w14:textId="77777777" w:rsidR="00406447" w:rsidRPr="00406447" w:rsidRDefault="00406447" w:rsidP="00406447">
      <w:pPr>
        <w:numPr>
          <w:ilvl w:val="0"/>
          <w:numId w:val="9"/>
        </w:numPr>
      </w:pPr>
      <w:r w:rsidRPr="00406447">
        <w:rPr>
          <w:b/>
          <w:bCs/>
        </w:rPr>
        <w:t>Transparencia Algorítmica:</w:t>
      </w:r>
      <w:r w:rsidRPr="00406447">
        <w:t> Los desarrolladores de sistemas de "alto riesgo" deben informar a los usuarios sobre las funcionalidades y el tipo de decisiones que toma la IA, respetando siempre el </w:t>
      </w:r>
      <w:r w:rsidRPr="00406447">
        <w:rPr>
          <w:b/>
          <w:bCs/>
        </w:rPr>
        <w:t>secreto industrial</w:t>
      </w:r>
      <w:r w:rsidRPr="00406447">
        <w:t>.</w:t>
      </w:r>
    </w:p>
    <w:p w14:paraId="6875AA7C" w14:textId="77777777" w:rsidR="00406447" w:rsidRPr="00406447" w:rsidRDefault="00406447" w:rsidP="00406447">
      <w:pPr>
        <w:rPr>
          <w:b/>
          <w:bCs/>
        </w:rPr>
      </w:pPr>
      <w:r w:rsidRPr="00406447">
        <w:rPr>
          <w:b/>
          <w:bCs/>
        </w:rPr>
        <w:t>Conclusión</w:t>
      </w:r>
    </w:p>
    <w:p w14:paraId="051A396F" w14:textId="77777777" w:rsidR="00406447" w:rsidRPr="00406447" w:rsidRDefault="00406447" w:rsidP="00406447">
      <w:pPr>
        <w:numPr>
          <w:ilvl w:val="0"/>
          <w:numId w:val="10"/>
        </w:numPr>
      </w:pPr>
      <w:r w:rsidRPr="00406447">
        <w:rPr>
          <w:b/>
          <w:bCs/>
        </w:rPr>
        <w:t>Se puede registrar:</w:t>
      </w:r>
      <w:r w:rsidRPr="00406447">
        <w:t> El código fuente (como software) y las invenciones técnicas relacionadas (como patentes IIC).</w:t>
      </w:r>
    </w:p>
    <w:p w14:paraId="5A19F764" w14:textId="77777777" w:rsidR="00406447" w:rsidRPr="00406447" w:rsidRDefault="00406447" w:rsidP="00406447">
      <w:pPr>
        <w:numPr>
          <w:ilvl w:val="0"/>
          <w:numId w:val="10"/>
        </w:numPr>
      </w:pPr>
      <w:r w:rsidRPr="00406447">
        <w:rPr>
          <w:b/>
          <w:bCs/>
        </w:rPr>
        <w:t>No se puede registrar:</w:t>
      </w:r>
      <w:r w:rsidRPr="00406447">
        <w:t> La IA como "persona" o "autora" de obras. Los resultados generados 100% por IA pertenecen, por ahora, al dominio público o carecen de protección por derecho de autor en Perú.</w:t>
      </w:r>
    </w:p>
    <w:p w14:paraId="3134ADA4" w14:textId="77777777" w:rsidR="00406447" w:rsidRPr="00406447" w:rsidRDefault="00406447" w:rsidP="00406447">
      <w:r w:rsidRPr="00406447">
        <w:pict w14:anchorId="538F398D">
          <v:rect id="_x0000_i1031" style="width:0;height:0" o:hralign="center" o:hrstd="t" o:hr="t" fillcolor="#a0a0a0" stroked="f"/>
        </w:pict>
      </w:r>
    </w:p>
    <w:p w14:paraId="4CF63F26" w14:textId="77777777" w:rsidR="00406447" w:rsidRPr="00406447" w:rsidRDefault="00406447" w:rsidP="00406447">
      <w:r w:rsidRPr="00406447">
        <w:rPr>
          <w:b/>
          <w:bCs/>
        </w:rPr>
        <w:t>Síntesis de criterios:</w:t>
      </w:r>
    </w:p>
    <w:p w14:paraId="1DE17517" w14:textId="77777777" w:rsidR="00406447" w:rsidRPr="00406447" w:rsidRDefault="00406447" w:rsidP="00406447">
      <w:pPr>
        <w:numPr>
          <w:ilvl w:val="0"/>
          <w:numId w:val="11"/>
        </w:numPr>
      </w:pPr>
      <w:r w:rsidRPr="00406447">
        <w:t>La protección recae en el </w:t>
      </w:r>
      <w:r w:rsidRPr="00406447">
        <w:rPr>
          <w:b/>
          <w:bCs/>
        </w:rPr>
        <w:t>humano</w:t>
      </w:r>
      <w:r w:rsidRPr="00406447">
        <w:t> (programador o inventor).</w:t>
      </w:r>
    </w:p>
    <w:p w14:paraId="6D55B67D" w14:textId="77777777" w:rsidR="00406447" w:rsidRPr="00406447" w:rsidRDefault="00406447" w:rsidP="00406447">
      <w:pPr>
        <w:numPr>
          <w:ilvl w:val="0"/>
          <w:numId w:val="11"/>
        </w:numPr>
      </w:pPr>
      <w:r w:rsidRPr="00406447">
        <w:t>El </w:t>
      </w:r>
      <w:r w:rsidRPr="00406447">
        <w:rPr>
          <w:b/>
          <w:bCs/>
        </w:rPr>
        <w:t>Indecopi</w:t>
      </w:r>
      <w:r w:rsidRPr="00406447">
        <w:t> es la autoridad única para ambos registros (Derecho de Autor para software y Dirección de Invenciones para patentes).</w:t>
      </w:r>
    </w:p>
    <w:p w14:paraId="0C46D006" w14:textId="77777777" w:rsidR="00406447" w:rsidRPr="00406447" w:rsidRDefault="00406447" w:rsidP="00406447">
      <w:pPr>
        <w:numPr>
          <w:ilvl w:val="0"/>
          <w:numId w:val="11"/>
        </w:numPr>
      </w:pPr>
      <w:r w:rsidRPr="00406447">
        <w:t>La </w:t>
      </w:r>
      <w:r w:rsidRPr="00406447">
        <w:rPr>
          <w:b/>
          <w:bCs/>
        </w:rPr>
        <w:t>Ley 32314</w:t>
      </w:r>
      <w:r w:rsidRPr="00406447">
        <w:t> del 2025 ha blindado el concepto de "autoría humana" en el Código Penal para evitar el uso indebido de IA en la suplantación de creaciones intelectuales.</w:t>
      </w:r>
    </w:p>
    <w:p w14:paraId="2B12F0B8" w14:textId="77777777" w:rsidR="00694BA7" w:rsidRDefault="00694BA7"/>
    <w:sectPr w:rsidR="00694B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5F8"/>
    <w:multiLevelType w:val="multilevel"/>
    <w:tmpl w:val="0052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80BA5"/>
    <w:multiLevelType w:val="multilevel"/>
    <w:tmpl w:val="BA08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C3784"/>
    <w:multiLevelType w:val="multilevel"/>
    <w:tmpl w:val="EBA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054CC2"/>
    <w:multiLevelType w:val="multilevel"/>
    <w:tmpl w:val="C3BC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255D89"/>
    <w:multiLevelType w:val="multilevel"/>
    <w:tmpl w:val="590E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D00A79"/>
    <w:multiLevelType w:val="multilevel"/>
    <w:tmpl w:val="D584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9A2D6A"/>
    <w:multiLevelType w:val="multilevel"/>
    <w:tmpl w:val="CA1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143782"/>
    <w:multiLevelType w:val="multilevel"/>
    <w:tmpl w:val="5A3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E9388F"/>
    <w:multiLevelType w:val="multilevel"/>
    <w:tmpl w:val="29FC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0D1CA9"/>
    <w:multiLevelType w:val="multilevel"/>
    <w:tmpl w:val="81D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323787"/>
    <w:multiLevelType w:val="multilevel"/>
    <w:tmpl w:val="E01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9466550">
    <w:abstractNumId w:val="5"/>
  </w:num>
  <w:num w:numId="2" w16cid:durableId="149564979">
    <w:abstractNumId w:val="9"/>
  </w:num>
  <w:num w:numId="3" w16cid:durableId="1130513552">
    <w:abstractNumId w:val="4"/>
  </w:num>
  <w:num w:numId="4" w16cid:durableId="1512378120">
    <w:abstractNumId w:val="3"/>
  </w:num>
  <w:num w:numId="5" w16cid:durableId="1421679621">
    <w:abstractNumId w:val="10"/>
  </w:num>
  <w:num w:numId="6" w16cid:durableId="1685473905">
    <w:abstractNumId w:val="6"/>
  </w:num>
  <w:num w:numId="7" w16cid:durableId="1136068215">
    <w:abstractNumId w:val="1"/>
  </w:num>
  <w:num w:numId="8" w16cid:durableId="507064683">
    <w:abstractNumId w:val="8"/>
  </w:num>
  <w:num w:numId="9" w16cid:durableId="270671019">
    <w:abstractNumId w:val="0"/>
  </w:num>
  <w:num w:numId="10" w16cid:durableId="1601789856">
    <w:abstractNumId w:val="2"/>
  </w:num>
  <w:num w:numId="11" w16cid:durableId="2908706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47"/>
    <w:rsid w:val="00406447"/>
    <w:rsid w:val="00694BA7"/>
    <w:rsid w:val="00DA1635"/>
    <w:rsid w:val="00DB2B9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FEF2"/>
  <w15:chartTrackingRefBased/>
  <w15:docId w15:val="{8A4B8310-A57A-4B83-9C35-51F4B6C6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6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6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64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64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64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64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64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64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64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64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64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64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64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64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64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64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64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6447"/>
    <w:rPr>
      <w:rFonts w:eastAsiaTheme="majorEastAsia" w:cstheme="majorBidi"/>
      <w:color w:val="272727" w:themeColor="text1" w:themeTint="D8"/>
    </w:rPr>
  </w:style>
  <w:style w:type="paragraph" w:styleId="Ttulo">
    <w:name w:val="Title"/>
    <w:basedOn w:val="Normal"/>
    <w:next w:val="Normal"/>
    <w:link w:val="TtuloCar"/>
    <w:uiPriority w:val="10"/>
    <w:qFormat/>
    <w:rsid w:val="00406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64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64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64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6447"/>
    <w:pPr>
      <w:spacing w:before="160"/>
      <w:jc w:val="center"/>
    </w:pPr>
    <w:rPr>
      <w:i/>
      <w:iCs/>
      <w:color w:val="404040" w:themeColor="text1" w:themeTint="BF"/>
    </w:rPr>
  </w:style>
  <w:style w:type="character" w:customStyle="1" w:styleId="CitaCar">
    <w:name w:val="Cita Car"/>
    <w:basedOn w:val="Fuentedeprrafopredeter"/>
    <w:link w:val="Cita"/>
    <w:uiPriority w:val="29"/>
    <w:rsid w:val="00406447"/>
    <w:rPr>
      <w:i/>
      <w:iCs/>
      <w:color w:val="404040" w:themeColor="text1" w:themeTint="BF"/>
    </w:rPr>
  </w:style>
  <w:style w:type="paragraph" w:styleId="Prrafodelista">
    <w:name w:val="List Paragraph"/>
    <w:basedOn w:val="Normal"/>
    <w:uiPriority w:val="34"/>
    <w:qFormat/>
    <w:rsid w:val="00406447"/>
    <w:pPr>
      <w:ind w:left="720"/>
      <w:contextualSpacing/>
    </w:pPr>
  </w:style>
  <w:style w:type="character" w:styleId="nfasisintenso">
    <w:name w:val="Intense Emphasis"/>
    <w:basedOn w:val="Fuentedeprrafopredeter"/>
    <w:uiPriority w:val="21"/>
    <w:qFormat/>
    <w:rsid w:val="00406447"/>
    <w:rPr>
      <w:i/>
      <w:iCs/>
      <w:color w:val="0F4761" w:themeColor="accent1" w:themeShade="BF"/>
    </w:rPr>
  </w:style>
  <w:style w:type="paragraph" w:styleId="Citadestacada">
    <w:name w:val="Intense Quote"/>
    <w:basedOn w:val="Normal"/>
    <w:next w:val="Normal"/>
    <w:link w:val="CitadestacadaCar"/>
    <w:uiPriority w:val="30"/>
    <w:qFormat/>
    <w:rsid w:val="00406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6447"/>
    <w:rPr>
      <w:i/>
      <w:iCs/>
      <w:color w:val="0F4761" w:themeColor="accent1" w:themeShade="BF"/>
    </w:rPr>
  </w:style>
  <w:style w:type="character" w:styleId="Referenciaintensa">
    <w:name w:val="Intense Reference"/>
    <w:basedOn w:val="Fuentedeprrafopredeter"/>
    <w:uiPriority w:val="32"/>
    <w:qFormat/>
    <w:rsid w:val="00406447"/>
    <w:rPr>
      <w:b/>
      <w:bCs/>
      <w:smallCaps/>
      <w:color w:val="0F4761" w:themeColor="accent1" w:themeShade="BF"/>
      <w:spacing w:val="5"/>
    </w:rPr>
  </w:style>
  <w:style w:type="character" w:styleId="Hipervnculo">
    <w:name w:val="Hyperlink"/>
    <w:basedOn w:val="Fuentedeprrafopredeter"/>
    <w:uiPriority w:val="99"/>
    <w:unhideWhenUsed/>
    <w:rsid w:val="00406447"/>
    <w:rPr>
      <w:color w:val="467886" w:themeColor="hyperlink"/>
      <w:u w:val="single"/>
    </w:rPr>
  </w:style>
  <w:style w:type="character" w:styleId="Mencinsinresolver">
    <w:name w:val="Unresolved Mention"/>
    <w:basedOn w:val="Fuentedeprrafopredeter"/>
    <w:uiPriority w:val="99"/>
    <w:semiHidden/>
    <w:unhideWhenUsed/>
    <w:rsid w:val="00406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gnar.ai/api/norms/norm-at-thread/279772b5-83c9-4a10-a9bd-17eb92a692c2/995E8" TargetMode="External"/><Relationship Id="rId13" Type="http://schemas.openxmlformats.org/officeDocument/2006/relationships/hyperlink" Target="https://www.magnar.ai/api/norms/norm-at-thread/279772b5-83c9-4a10-a9bd-17eb92a692c2/995E8" TargetMode="External"/><Relationship Id="rId3" Type="http://schemas.openxmlformats.org/officeDocument/2006/relationships/settings" Target="settings.xml"/><Relationship Id="rId7" Type="http://schemas.openxmlformats.org/officeDocument/2006/relationships/hyperlink" Target="https://www.magnar.ai/api/norms/norm-at-thread/279772b5-83c9-4a10-a9bd-17eb92a692c2/11A3C" TargetMode="External"/><Relationship Id="rId12" Type="http://schemas.openxmlformats.org/officeDocument/2006/relationships/hyperlink" Target="https://www.magnar.ai/api/norms/norm-at-thread/279772b5-83c9-4a10-a9bd-17eb92a692c2/11A3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gnar.ai/api/norms/norm-at-thread/279772b5-83c9-4a10-a9bd-17eb92a692c2/99FD7" TargetMode="External"/><Relationship Id="rId11" Type="http://schemas.openxmlformats.org/officeDocument/2006/relationships/hyperlink" Target="https://www.magnar.ai/api/norms/norm-at-thread/279772b5-83c9-4a10-a9bd-17eb92a692c2/E2EEE" TargetMode="External"/><Relationship Id="rId5" Type="http://schemas.openxmlformats.org/officeDocument/2006/relationships/hyperlink" Target="https://www.magnar.ai/api/norms/norm-at-thread/279772b5-83c9-4a10-a9bd-17eb92a692c2/D3081" TargetMode="External"/><Relationship Id="rId15" Type="http://schemas.openxmlformats.org/officeDocument/2006/relationships/theme" Target="theme/theme1.xml"/><Relationship Id="rId10" Type="http://schemas.openxmlformats.org/officeDocument/2006/relationships/hyperlink" Target="https://www.magnar.ai/api/norms/norm-at-thread/279772b5-83c9-4a10-a9bd-17eb92a692c2/7F94E" TargetMode="External"/><Relationship Id="rId4" Type="http://schemas.openxmlformats.org/officeDocument/2006/relationships/webSettings" Target="webSettings.xml"/><Relationship Id="rId9" Type="http://schemas.openxmlformats.org/officeDocument/2006/relationships/hyperlink" Target="https://www.magnar.ai/api/documents/document-at-thread/279772b5-83c9-4a10-a9bd-17eb92a692c2/0B4B3"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1344</Words>
  <Characters>7395</Characters>
  <Application>Microsoft Office Word</Application>
  <DocSecurity>0</DocSecurity>
  <Lines>61</Lines>
  <Paragraphs>17</Paragraphs>
  <ScaleCrop>false</ScaleCrop>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Estudio Muñiz</dc:creator>
  <cp:keywords/>
  <dc:description/>
  <cp:lastModifiedBy>Estudio Muñiz</cp:lastModifiedBy>
  <cp:revision>1</cp:revision>
  <dcterms:created xsi:type="dcterms:W3CDTF">2026-03-29T15:34:00Z</dcterms:created>
  <dcterms:modified xsi:type="dcterms:W3CDTF">2026-03-29T15:35:00Z</dcterms:modified>
</cp:coreProperties>
</file>