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ED201" w14:textId="77777777" w:rsidR="00D05200" w:rsidRPr="00D05200" w:rsidRDefault="00D05200" w:rsidP="00D05200">
      <w:proofErr w:type="gramStart"/>
      <w:r w:rsidRPr="00D05200">
        <w:t xml:space="preserve">Existen acuerdos entre estados unidos y </w:t>
      </w:r>
      <w:proofErr w:type="spellStart"/>
      <w:r w:rsidRPr="00D05200">
        <w:t>peru</w:t>
      </w:r>
      <w:proofErr w:type="spellEnd"/>
      <w:r w:rsidRPr="00D05200">
        <w:t xml:space="preserve"> para evitar doble tributación?</w:t>
      </w:r>
      <w:proofErr w:type="gramEnd"/>
    </w:p>
    <w:p w14:paraId="0E1B5C90" w14:textId="77777777" w:rsidR="00D05200" w:rsidRPr="00D05200" w:rsidRDefault="00D05200" w:rsidP="00D05200">
      <w:r w:rsidRPr="00D05200">
        <w:t>Convenio Doble Imposición Perú-</w:t>
      </w:r>
      <w:proofErr w:type="gramStart"/>
      <w:r w:rsidRPr="00D05200">
        <w:t>EEUU</w:t>
      </w:r>
      <w:proofErr w:type="gramEnd"/>
    </w:p>
    <w:p w14:paraId="4ABABEE1" w14:textId="77777777" w:rsidR="00D05200" w:rsidRPr="00D05200" w:rsidRDefault="00D05200" w:rsidP="00D05200">
      <w:r w:rsidRPr="00D05200">
        <w:t>No, </w:t>
      </w:r>
      <w:r w:rsidRPr="00D05200">
        <w:rPr>
          <w:b/>
          <w:bCs/>
        </w:rPr>
        <w:t>no existe actualmente un Convenio para Evitar la Doble Imposición (CDI)</w:t>
      </w:r>
      <w:r w:rsidRPr="00D05200">
        <w:t> vigente entre Perú y los Estados Unidos. Aunque Perú tiene una red de convenios con otros países (como Chile, Canadá, Brasil, Corea del Sur, entre otros), la relación tributaria con EE. UU. se rige principalmente por la legislación interna de cada país y un acuerdo de intercambio de información.</w:t>
      </w:r>
    </w:p>
    <w:p w14:paraId="79398AE9" w14:textId="77777777" w:rsidR="00D05200" w:rsidRPr="00D05200" w:rsidRDefault="00D05200" w:rsidP="00D05200">
      <w:r w:rsidRPr="00D05200">
        <w:t>A continuación, detallo cómo funciona la tributación entre ambos países ante la falta de este tratado:</w:t>
      </w:r>
    </w:p>
    <w:p w14:paraId="2F93104B" w14:textId="77777777" w:rsidR="00D05200" w:rsidRPr="00D05200" w:rsidRDefault="00D05200" w:rsidP="00D05200">
      <w:pPr>
        <w:rPr>
          <w:b/>
          <w:bCs/>
        </w:rPr>
      </w:pPr>
      <w:r w:rsidRPr="00D05200">
        <w:rPr>
          <w:b/>
          <w:bCs/>
        </w:rPr>
        <w:t>1. Aplicación del Crédito por Impuestos Pagados (Tax Credit)</w:t>
      </w:r>
    </w:p>
    <w:p w14:paraId="37E4ECA1" w14:textId="77777777" w:rsidR="00D05200" w:rsidRPr="00D05200" w:rsidRDefault="00D05200" w:rsidP="00D05200">
      <w:r w:rsidRPr="00D05200">
        <w:t>Debido a que no hay un CDI, los contribuyentes domiciliados en Perú que perciben rentas de fuente estadounidense (como dividendos, intereses o servicios) deben aplicar las reglas generales de la </w:t>
      </w:r>
      <w:hyperlink r:id="rId5" w:history="1">
        <w:r w:rsidRPr="00D05200">
          <w:rPr>
            <w:rStyle w:val="Hipervnculo"/>
          </w:rPr>
          <w:t>Ley del Impuesto a la Renta (LIR)</w:t>
        </w:r>
      </w:hyperlink>
      <w:r w:rsidRPr="00D05200">
        <w:t>:</w:t>
      </w:r>
    </w:p>
    <w:p w14:paraId="6456BF18" w14:textId="77777777" w:rsidR="00D05200" w:rsidRPr="00D05200" w:rsidRDefault="00D05200" w:rsidP="00D05200">
      <w:pPr>
        <w:numPr>
          <w:ilvl w:val="0"/>
          <w:numId w:val="1"/>
        </w:numPr>
      </w:pPr>
      <w:r w:rsidRPr="00D05200">
        <w:rPr>
          <w:b/>
          <w:bCs/>
        </w:rPr>
        <w:t>Crédito Directo:</w:t>
      </w:r>
      <w:r w:rsidRPr="00D05200">
        <w:t> El </w:t>
      </w:r>
      <w:hyperlink r:id="rId6" w:history="1">
        <w:r w:rsidRPr="00D05200">
          <w:rPr>
            <w:rStyle w:val="Hipervnculo"/>
          </w:rPr>
          <w:t>Artículo 88, inciso e) de la LIR</w:t>
        </w:r>
      </w:hyperlink>
      <w:r w:rsidRPr="00D05200">
        <w:t> permite deducir del impuesto peruano los impuestos pagados en el extranjero por rentas de fuente extranjera.</w:t>
      </w:r>
    </w:p>
    <w:p w14:paraId="6EEDD70E" w14:textId="77777777" w:rsidR="00D05200" w:rsidRPr="00D05200" w:rsidRDefault="00D05200" w:rsidP="00D05200">
      <w:pPr>
        <w:numPr>
          <w:ilvl w:val="0"/>
          <w:numId w:val="1"/>
        </w:numPr>
      </w:pPr>
      <w:r w:rsidRPr="00D05200">
        <w:rPr>
          <w:b/>
          <w:bCs/>
        </w:rPr>
        <w:t>Límite de la Tasa Media:</w:t>
      </w:r>
      <w:r w:rsidRPr="00D05200">
        <w:t> El crédito no es ilimitado. Solo se puede deducir hasta el monto que resulte de aplicar la </w:t>
      </w:r>
      <w:r w:rsidRPr="00D05200">
        <w:rPr>
          <w:b/>
          <w:bCs/>
        </w:rPr>
        <w:t>"tasa media"</w:t>
      </w:r>
      <w:r w:rsidRPr="00D05200">
        <w:t> del contribuyente en Perú a las rentas obtenidas en el exterior. Cualquier exceso pagado en EE. UU. sobre este límite no puede ser recuperado ni compensado en ejercicios futuros </w:t>
      </w:r>
      <w:hyperlink r:id="rId7" w:history="1">
        <w:r w:rsidRPr="00D05200">
          <w:rPr>
            <w:rStyle w:val="Hipervnculo"/>
          </w:rPr>
          <w:t>Informe 024-2017-SUNAT</w:t>
        </w:r>
      </w:hyperlink>
      <w:r w:rsidRPr="00D05200">
        <w:t>.</w:t>
      </w:r>
    </w:p>
    <w:p w14:paraId="35601E09" w14:textId="77777777" w:rsidR="00D05200" w:rsidRPr="00D05200" w:rsidRDefault="00D05200" w:rsidP="00D05200">
      <w:pPr>
        <w:numPr>
          <w:ilvl w:val="0"/>
          <w:numId w:val="1"/>
        </w:numPr>
      </w:pPr>
      <w:r w:rsidRPr="00D05200">
        <w:rPr>
          <w:b/>
          <w:bCs/>
        </w:rPr>
        <w:t>Acreditación:</w:t>
      </w:r>
      <w:r w:rsidRPr="00D05200">
        <w:t> Es indispensable contar con el certificado de pago o retención expedido por el IRS (</w:t>
      </w:r>
      <w:proofErr w:type="spellStart"/>
      <w:r w:rsidRPr="00D05200">
        <w:t>Internal</w:t>
      </w:r>
      <w:proofErr w:type="spellEnd"/>
      <w:r w:rsidRPr="00D05200">
        <w:t xml:space="preserve"> </w:t>
      </w:r>
      <w:proofErr w:type="spellStart"/>
      <w:r w:rsidRPr="00D05200">
        <w:t>Revenue</w:t>
      </w:r>
      <w:proofErr w:type="spellEnd"/>
      <w:r w:rsidRPr="00D05200">
        <w:t xml:space="preserve"> Service) de EE. UU. para sustentar el crédito ante la SUNAT.</w:t>
      </w:r>
    </w:p>
    <w:p w14:paraId="436D131D" w14:textId="77777777" w:rsidR="00D05200" w:rsidRPr="00D05200" w:rsidRDefault="00D05200" w:rsidP="00D05200">
      <w:pPr>
        <w:rPr>
          <w:b/>
          <w:bCs/>
        </w:rPr>
      </w:pPr>
      <w:r w:rsidRPr="00D05200">
        <w:rPr>
          <w:b/>
          <w:bCs/>
        </w:rPr>
        <w:t>2. Convenio de Intercambio de Información</w:t>
      </w:r>
    </w:p>
    <w:p w14:paraId="4A832331" w14:textId="77777777" w:rsidR="00D05200" w:rsidRPr="00D05200" w:rsidRDefault="00D05200" w:rsidP="00D05200">
      <w:r w:rsidRPr="00D05200">
        <w:t>Lo que sí existe y está vigente es el </w:t>
      </w:r>
      <w:r w:rsidRPr="00D05200">
        <w:rPr>
          <w:b/>
          <w:bCs/>
        </w:rPr>
        <w:t>Convenio para el Intercambio de Información Tributaria</w:t>
      </w:r>
      <w:r w:rsidRPr="00D05200">
        <w:t>, aprobado mediante el </w:t>
      </w:r>
      <w:hyperlink r:id="rId8" w:history="1">
        <w:r w:rsidRPr="00D05200">
          <w:rPr>
            <w:rStyle w:val="Hipervnculo"/>
          </w:rPr>
          <w:t>Decreto Ley 25665</w:t>
        </w:r>
      </w:hyperlink>
      <w:r w:rsidRPr="00D05200">
        <w:t>.</w:t>
      </w:r>
    </w:p>
    <w:p w14:paraId="23E9D89B" w14:textId="77777777" w:rsidR="00D05200" w:rsidRPr="00D05200" w:rsidRDefault="00D05200" w:rsidP="00D05200">
      <w:pPr>
        <w:numPr>
          <w:ilvl w:val="0"/>
          <w:numId w:val="2"/>
        </w:numPr>
      </w:pPr>
      <w:r w:rsidRPr="00D05200">
        <w:t>Este acuerdo permite que la SUNAT y el IRS compartan información relevante para la administración y recaudación de impuestos, combatir la evasión y el fraude fiscal.</w:t>
      </w:r>
    </w:p>
    <w:p w14:paraId="5D2788ED" w14:textId="77777777" w:rsidR="00D05200" w:rsidRPr="00D05200" w:rsidRDefault="00D05200" w:rsidP="00D05200">
      <w:pPr>
        <w:numPr>
          <w:ilvl w:val="0"/>
          <w:numId w:val="2"/>
        </w:numPr>
      </w:pPr>
      <w:r w:rsidRPr="00D05200">
        <w:t>No otorga beneficios de reducción de tasas de retención (como sí lo haría un CDI), sino que es una herramienta de fiscalización.</w:t>
      </w:r>
    </w:p>
    <w:p w14:paraId="50BCC509" w14:textId="77777777" w:rsidR="00D05200" w:rsidRPr="00D05200" w:rsidRDefault="00D05200" w:rsidP="00D05200">
      <w:pPr>
        <w:rPr>
          <w:b/>
          <w:bCs/>
          <w:lang w:val="en-US"/>
        </w:rPr>
      </w:pPr>
      <w:r w:rsidRPr="00D05200">
        <w:rPr>
          <w:b/>
          <w:bCs/>
          <w:lang w:val="en-US"/>
        </w:rPr>
        <w:t>3. Situación de FATCA (Foreign Account Tax Compliance Act)</w:t>
      </w:r>
    </w:p>
    <w:p w14:paraId="74DFDB69" w14:textId="77777777" w:rsidR="00D05200" w:rsidRPr="00D05200" w:rsidRDefault="00D05200" w:rsidP="00D05200">
      <w:r w:rsidRPr="00D05200">
        <w:lastRenderedPageBreak/>
        <w:t>Respecto a la ley estadounidense FATCA, que busca identificar cuentas de ciudadanos o residentes de EE. UU. en el extranjero:</w:t>
      </w:r>
    </w:p>
    <w:p w14:paraId="4AF12F9F" w14:textId="77777777" w:rsidR="00D05200" w:rsidRPr="00D05200" w:rsidRDefault="00D05200" w:rsidP="00D05200">
      <w:pPr>
        <w:numPr>
          <w:ilvl w:val="0"/>
          <w:numId w:val="3"/>
        </w:numPr>
      </w:pPr>
      <w:r w:rsidRPr="00D05200">
        <w:t>Perú </w:t>
      </w:r>
      <w:r w:rsidRPr="00D05200">
        <w:rPr>
          <w:b/>
          <w:bCs/>
        </w:rPr>
        <w:t>no ha firmado un Acuerdo Intergubernamental (IGA)</w:t>
      </w:r>
      <w:r w:rsidRPr="00D05200">
        <w:t> formal con EE. UU. para la implementación automática y obligatoria de FATCA.</w:t>
      </w:r>
    </w:p>
    <w:p w14:paraId="21BCD6EE" w14:textId="77777777" w:rsidR="00D05200" w:rsidRPr="00D05200" w:rsidRDefault="00D05200" w:rsidP="00D05200">
      <w:pPr>
        <w:numPr>
          <w:ilvl w:val="0"/>
          <w:numId w:val="3"/>
        </w:numPr>
      </w:pPr>
      <w:r w:rsidRPr="00D05200">
        <w:t>Sin embargo, el sistema financiero peruano y la SUNAT han adecuado normas para el </w:t>
      </w:r>
      <w:r w:rsidRPr="00D05200">
        <w:rPr>
          <w:b/>
          <w:bCs/>
        </w:rPr>
        <w:t>Intercambio Automático de Información Financiera</w:t>
      </w:r>
      <w:r w:rsidRPr="00D05200">
        <w:t>, como el </w:t>
      </w:r>
      <w:hyperlink r:id="rId9" w:history="1">
        <w:r w:rsidRPr="00D05200">
          <w:rPr>
            <w:rStyle w:val="Hipervnculo"/>
          </w:rPr>
          <w:t>Decreto Supremo 256-2018-EF</w:t>
        </w:r>
      </w:hyperlink>
      <w:r w:rsidRPr="00D05200">
        <w:t>, que permite reportar saldos y rendimientos de cuentas de no domiciliados siguiendo estándares internacionales.</w:t>
      </w:r>
    </w:p>
    <w:p w14:paraId="648E3F13" w14:textId="77777777" w:rsidR="00D05200" w:rsidRPr="00D05200" w:rsidRDefault="00D05200" w:rsidP="00D05200">
      <w:pPr>
        <w:rPr>
          <w:b/>
          <w:bCs/>
        </w:rPr>
      </w:pPr>
      <w:r w:rsidRPr="00D05200">
        <w:rPr>
          <w:b/>
          <w:bCs/>
        </w:rPr>
        <w:t>4. El TLC Perú-EE. UU.</w:t>
      </w:r>
    </w:p>
    <w:p w14:paraId="4016BB35" w14:textId="77777777" w:rsidR="00D05200" w:rsidRPr="00D05200" w:rsidRDefault="00D05200" w:rsidP="00D05200">
      <w:r w:rsidRPr="00D05200">
        <w:t>El </w:t>
      </w:r>
      <w:r w:rsidRPr="00D05200">
        <w:rPr>
          <w:b/>
          <w:bCs/>
        </w:rPr>
        <w:t>Acuerdo de Promoción Comercial (TLC)</w:t>
      </w:r>
      <w:r w:rsidRPr="00D05200">
        <w:t> vigente desde 2009 no es un tratado tributario. El </w:t>
      </w:r>
      <w:hyperlink r:id="rId10" w:history="1">
        <w:r w:rsidRPr="00D05200">
          <w:rPr>
            <w:rStyle w:val="Hipervnculo"/>
          </w:rPr>
          <w:t>Capítulo de Inversión (Cap. 10)</w:t>
        </w:r>
      </w:hyperlink>
      <w:r w:rsidRPr="00D05200">
        <w:t> protege a los inversionistas de medidas expropiatorias, pero el tratado suele reservar la potestad tributaria a las leyes internas de cada Estado. El TLC no reduce las tasas de retención del Impuesto a la Renta.</w:t>
      </w:r>
    </w:p>
    <w:p w14:paraId="4318AB08" w14:textId="77777777" w:rsidR="00D05200" w:rsidRPr="00D05200" w:rsidRDefault="00D05200" w:rsidP="00D05200">
      <w:pPr>
        <w:rPr>
          <w:b/>
          <w:bCs/>
        </w:rPr>
      </w:pPr>
      <w:r w:rsidRPr="00D05200">
        <w:rPr>
          <w:b/>
          <w:bCs/>
        </w:rPr>
        <w:t>Conclusiones</w:t>
      </w:r>
    </w:p>
    <w:p w14:paraId="24663663" w14:textId="77777777" w:rsidR="00D05200" w:rsidRPr="00D05200" w:rsidRDefault="00D05200" w:rsidP="00D05200">
      <w:pPr>
        <w:numPr>
          <w:ilvl w:val="0"/>
          <w:numId w:val="4"/>
        </w:numPr>
      </w:pPr>
      <w:r w:rsidRPr="00D05200">
        <w:rPr>
          <w:b/>
          <w:bCs/>
        </w:rPr>
        <w:t>Doble Imposición:</w:t>
      </w:r>
      <w:r w:rsidRPr="00D05200">
        <w:t> Se mitiga únicamente mediante el mecanismo unilateral de </w:t>
      </w:r>
      <w:r w:rsidRPr="00D05200">
        <w:rPr>
          <w:b/>
          <w:bCs/>
        </w:rPr>
        <w:t>crédito tributario</w:t>
      </w:r>
      <w:r w:rsidRPr="00D05200">
        <w:t> previsto en la ley peruana, pero no se elimina mediante una tasa preferencial de retención.</w:t>
      </w:r>
    </w:p>
    <w:p w14:paraId="00413DB3" w14:textId="77777777" w:rsidR="00D05200" w:rsidRPr="00D05200" w:rsidRDefault="00D05200" w:rsidP="00D05200">
      <w:pPr>
        <w:numPr>
          <w:ilvl w:val="0"/>
          <w:numId w:val="4"/>
        </w:numPr>
      </w:pPr>
      <w:r w:rsidRPr="00D05200">
        <w:rPr>
          <w:b/>
          <w:bCs/>
        </w:rPr>
        <w:t>Retenciones en EE. UU.:</w:t>
      </w:r>
      <w:r w:rsidRPr="00D05200">
        <w:t> Al no haber CDI, un residente peruano que recibe dividendos de EE. UU. suele estar sujeto a una retención del </w:t>
      </w:r>
      <w:r w:rsidRPr="00D05200">
        <w:rPr>
          <w:b/>
          <w:bCs/>
        </w:rPr>
        <w:t>30%</w:t>
      </w:r>
      <w:r w:rsidRPr="00D05200">
        <w:t> (tasa estándar federal), la cual podrá usar como crédito en Perú hasta el límite de su tasa media local.</w:t>
      </w:r>
    </w:p>
    <w:p w14:paraId="61E8A550" w14:textId="77777777" w:rsidR="00D05200" w:rsidRPr="00D05200" w:rsidRDefault="00D05200" w:rsidP="00D05200">
      <w:pPr>
        <w:numPr>
          <w:ilvl w:val="0"/>
          <w:numId w:val="4"/>
        </w:numPr>
      </w:pPr>
      <w:r w:rsidRPr="00D05200">
        <w:rPr>
          <w:b/>
          <w:bCs/>
        </w:rPr>
        <w:t>Cooperación:</w:t>
      </w:r>
      <w:r w:rsidRPr="00D05200">
        <w:t> La relación es de </w:t>
      </w:r>
      <w:r w:rsidRPr="00D05200">
        <w:rPr>
          <w:b/>
          <w:bCs/>
        </w:rPr>
        <w:t>transparencia e intercambio de datos</w:t>
      </w:r>
      <w:r w:rsidRPr="00D05200">
        <w:t>, no de beneficios o incentivos fiscales cruzados.</w:t>
      </w:r>
    </w:p>
    <w:p w14:paraId="1BB71158" w14:textId="77777777" w:rsidR="00694BA7" w:rsidRDefault="00694BA7"/>
    <w:sectPr w:rsidR="00694BA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027C2"/>
    <w:multiLevelType w:val="multilevel"/>
    <w:tmpl w:val="D5A2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F5F5AD7"/>
    <w:multiLevelType w:val="multilevel"/>
    <w:tmpl w:val="7D2C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9A91D22"/>
    <w:multiLevelType w:val="multilevel"/>
    <w:tmpl w:val="C4CE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89268E5"/>
    <w:multiLevelType w:val="multilevel"/>
    <w:tmpl w:val="CF8E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74804429">
    <w:abstractNumId w:val="1"/>
  </w:num>
  <w:num w:numId="2" w16cid:durableId="755639529">
    <w:abstractNumId w:val="0"/>
  </w:num>
  <w:num w:numId="3" w16cid:durableId="2075426319">
    <w:abstractNumId w:val="2"/>
  </w:num>
  <w:num w:numId="4" w16cid:durableId="2969603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200"/>
    <w:rsid w:val="00694BA7"/>
    <w:rsid w:val="00D05200"/>
    <w:rsid w:val="00DA1635"/>
    <w:rsid w:val="00DB2B9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C3567"/>
  <w15:chartTrackingRefBased/>
  <w15:docId w15:val="{4392777A-6ED7-4945-9FCC-ACF8DA978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052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052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0520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0520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0520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0520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52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52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520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520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0520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0520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0520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0520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0520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0520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0520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05200"/>
    <w:rPr>
      <w:rFonts w:eastAsiaTheme="majorEastAsia" w:cstheme="majorBidi"/>
      <w:color w:val="272727" w:themeColor="text1" w:themeTint="D8"/>
    </w:rPr>
  </w:style>
  <w:style w:type="paragraph" w:styleId="Ttulo">
    <w:name w:val="Title"/>
    <w:basedOn w:val="Normal"/>
    <w:next w:val="Normal"/>
    <w:link w:val="TtuloCar"/>
    <w:uiPriority w:val="10"/>
    <w:qFormat/>
    <w:rsid w:val="00D052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052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0520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0520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05200"/>
    <w:pPr>
      <w:spacing w:before="160"/>
      <w:jc w:val="center"/>
    </w:pPr>
    <w:rPr>
      <w:i/>
      <w:iCs/>
      <w:color w:val="404040" w:themeColor="text1" w:themeTint="BF"/>
    </w:rPr>
  </w:style>
  <w:style w:type="character" w:customStyle="1" w:styleId="CitaCar">
    <w:name w:val="Cita Car"/>
    <w:basedOn w:val="Fuentedeprrafopredeter"/>
    <w:link w:val="Cita"/>
    <w:uiPriority w:val="29"/>
    <w:rsid w:val="00D05200"/>
    <w:rPr>
      <w:i/>
      <w:iCs/>
      <w:color w:val="404040" w:themeColor="text1" w:themeTint="BF"/>
    </w:rPr>
  </w:style>
  <w:style w:type="paragraph" w:styleId="Prrafodelista">
    <w:name w:val="List Paragraph"/>
    <w:basedOn w:val="Normal"/>
    <w:uiPriority w:val="34"/>
    <w:qFormat/>
    <w:rsid w:val="00D05200"/>
    <w:pPr>
      <w:ind w:left="720"/>
      <w:contextualSpacing/>
    </w:pPr>
  </w:style>
  <w:style w:type="character" w:styleId="nfasisintenso">
    <w:name w:val="Intense Emphasis"/>
    <w:basedOn w:val="Fuentedeprrafopredeter"/>
    <w:uiPriority w:val="21"/>
    <w:qFormat/>
    <w:rsid w:val="00D05200"/>
    <w:rPr>
      <w:i/>
      <w:iCs/>
      <w:color w:val="0F4761" w:themeColor="accent1" w:themeShade="BF"/>
    </w:rPr>
  </w:style>
  <w:style w:type="paragraph" w:styleId="Citadestacada">
    <w:name w:val="Intense Quote"/>
    <w:basedOn w:val="Normal"/>
    <w:next w:val="Normal"/>
    <w:link w:val="CitadestacadaCar"/>
    <w:uiPriority w:val="30"/>
    <w:qFormat/>
    <w:rsid w:val="00D052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05200"/>
    <w:rPr>
      <w:i/>
      <w:iCs/>
      <w:color w:val="0F4761" w:themeColor="accent1" w:themeShade="BF"/>
    </w:rPr>
  </w:style>
  <w:style w:type="character" w:styleId="Referenciaintensa">
    <w:name w:val="Intense Reference"/>
    <w:basedOn w:val="Fuentedeprrafopredeter"/>
    <w:uiPriority w:val="32"/>
    <w:qFormat/>
    <w:rsid w:val="00D05200"/>
    <w:rPr>
      <w:b/>
      <w:bCs/>
      <w:smallCaps/>
      <w:color w:val="0F4761" w:themeColor="accent1" w:themeShade="BF"/>
      <w:spacing w:val="5"/>
    </w:rPr>
  </w:style>
  <w:style w:type="character" w:styleId="Hipervnculo">
    <w:name w:val="Hyperlink"/>
    <w:basedOn w:val="Fuentedeprrafopredeter"/>
    <w:uiPriority w:val="99"/>
    <w:unhideWhenUsed/>
    <w:rsid w:val="00D05200"/>
    <w:rPr>
      <w:color w:val="467886" w:themeColor="hyperlink"/>
      <w:u w:val="single"/>
    </w:rPr>
  </w:style>
  <w:style w:type="character" w:styleId="Mencinsinresolver">
    <w:name w:val="Unresolved Mention"/>
    <w:basedOn w:val="Fuentedeprrafopredeter"/>
    <w:uiPriority w:val="99"/>
    <w:semiHidden/>
    <w:unhideWhenUsed/>
    <w:rsid w:val="00D052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gnar.ai/api/norms/norm-at-thread/279772b5-83c9-4a10-a9bd-17eb92a692c2/3B35E" TargetMode="External"/><Relationship Id="rId3" Type="http://schemas.openxmlformats.org/officeDocument/2006/relationships/settings" Target="settings.xml"/><Relationship Id="rId7" Type="http://schemas.openxmlformats.org/officeDocument/2006/relationships/hyperlink" Target="https://www.magnar.ai/api/documents/document-at-thread/279772b5-83c9-4a10-a9bd-17eb92a692c2/7FDE6"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agnar.ai/api/norms/norm-at-thread/279772b5-83c9-4a10-a9bd-17eb92a692c2/BB7B1" TargetMode="External"/><Relationship Id="rId11" Type="http://schemas.openxmlformats.org/officeDocument/2006/relationships/fontTable" Target="fontTable.xml"/><Relationship Id="rId5" Type="http://schemas.openxmlformats.org/officeDocument/2006/relationships/hyperlink" Target="https://www.magnar.ai/api/norms/norm-at-thread/279772b5-83c9-4a10-a9bd-17eb92a692c2/BB7B1" TargetMode="External"/><Relationship Id="rId10" Type="http://schemas.openxmlformats.org/officeDocument/2006/relationships/hyperlink" Target="https://www.magnar.ai/api/norms/norm-at-thread/279772b5-83c9-4a10-a9bd-17eb92a692c2/6B6E7" TargetMode="External"/><Relationship Id="rId4" Type="http://schemas.openxmlformats.org/officeDocument/2006/relationships/webSettings" Target="webSettings.xml"/><Relationship Id="rId9" Type="http://schemas.openxmlformats.org/officeDocument/2006/relationships/hyperlink" Target="https://www.magnar.ai/api/norms/norm-at-thread/279772b5-83c9-4a10-a9bd-17eb92a692c2/B17FD"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665</Words>
  <Characters>3508</Characters>
  <Application>Microsoft Office Word</Application>
  <DocSecurity>0</DocSecurity>
  <Lines>70</Lines>
  <Paragraphs>32</Paragraphs>
  <ScaleCrop>false</ScaleCrop>
  <Company/>
  <LinksUpToDate>false</LinksUpToDate>
  <CharactersWithSpaces>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Estudio Muñiz</dc:creator>
  <cp:keywords/>
  <dc:description/>
  <cp:lastModifiedBy>Estudio Muñiz</cp:lastModifiedBy>
  <cp:revision>1</cp:revision>
  <dcterms:created xsi:type="dcterms:W3CDTF">2026-03-29T15:42:00Z</dcterms:created>
  <dcterms:modified xsi:type="dcterms:W3CDTF">2026-03-29T15:42:00Z</dcterms:modified>
</cp:coreProperties>
</file>