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bCs/>
          <w:color w:val="1C1B10"/>
          <w:sz w:val="24"/>
        </w:rPr>
      </w:pPr>
      <w:r>
        <w:rPr>
          <w:rFonts w:ascii="Times New Roman" w:hAnsi="Times New Roman"/>
          <w:b/>
          <w:bCs/>
          <w:color w:val="1C1B10"/>
          <w:sz w:val="24"/>
        </w:rPr>
        <w:t>福州科扬专利事务所（普通合伙）</w:t>
      </w:r>
    </w:p>
    <w:p>
      <w:pPr>
        <w:jc w:val="center"/>
        <w:rPr>
          <w:rFonts w:ascii="Times New Roman" w:hAnsi="Times New Roman"/>
          <w:color w:val="1C1B10"/>
          <w:sz w:val="24"/>
        </w:rPr>
      </w:pPr>
      <w:r>
        <w:rPr>
          <w:rFonts w:ascii="Times New Roman" w:hAnsi="Times New Roman"/>
          <w:color w:val="1C1B10"/>
          <w:sz w:val="24"/>
        </w:rPr>
        <w:t>地址：福建省福州市闽侯县乌龙江大道紫光科技园</w:t>
      </w:r>
    </w:p>
    <w:p>
      <w:pPr>
        <w:jc w:val="center"/>
        <w:rPr>
          <w:rFonts w:ascii="Times New Roman" w:hAnsi="Times New Roman"/>
          <w:color w:val="1C1B10"/>
          <w:sz w:val="24"/>
        </w:rPr>
      </w:pPr>
      <w:r>
        <w:rPr>
          <w:rFonts w:ascii="Times New Roman" w:hAnsi="Times New Roman"/>
          <w:color w:val="1C1B10"/>
          <w:sz w:val="24"/>
        </w:rPr>
        <w:t xml:space="preserve">联系人：李晓芬   </w:t>
      </w:r>
    </w:p>
    <w:p>
      <w:pPr>
        <w:jc w:val="center"/>
        <w:rPr>
          <w:rFonts w:ascii="Times New Roman" w:hAnsi="Times New Roman"/>
          <w:color w:val="1C1B10"/>
          <w:sz w:val="24"/>
        </w:rPr>
      </w:pPr>
      <w:r>
        <w:rPr>
          <w:rFonts w:ascii="Times New Roman" w:hAnsi="Times New Roman"/>
          <w:color w:val="1C1B10"/>
          <w:sz w:val="24"/>
        </w:rPr>
        <w:t>电话：18050197224</w:t>
      </w:r>
    </w:p>
    <w:p>
      <w:pPr>
        <w:jc w:val="center"/>
        <w:rPr>
          <w:rFonts w:ascii="Times New Roman" w:hAnsi="Times New Roman"/>
          <w:color w:val="1C1B10"/>
          <w:sz w:val="24"/>
        </w:rPr>
      </w:pPr>
      <w:r>
        <w:rPr>
          <w:rFonts w:ascii="Times New Roman" w:hAnsi="Times New Roman"/>
          <w:color w:val="1C1B10"/>
          <w:sz w:val="24"/>
        </w:rPr>
        <w:t xml:space="preserve"> Email:keyang1985@fzkyip.com </w:t>
      </w:r>
    </w:p>
    <w:p>
      <w:pPr>
        <w:rPr>
          <w:rFonts w:ascii="Times New Roman" w:hAnsi="Times New Roman"/>
        </w:rPr>
      </w:pPr>
    </w:p>
    <w:p>
      <w:pPr>
        <w:jc w:val="center"/>
        <w:rPr>
          <w:rFonts w:ascii="Times New Roman" w:hAnsi="Times New Roman" w:eastAsia="黑体"/>
          <w:b/>
          <w:sz w:val="44"/>
          <w:szCs w:val="44"/>
        </w:rPr>
      </w:pPr>
    </w:p>
    <w:p>
      <w:pPr>
        <w:jc w:val="center"/>
        <w:rPr>
          <w:rFonts w:ascii="Times New Roman" w:hAnsi="Times New Roman" w:eastAsia="黑体"/>
          <w:b/>
          <w:sz w:val="44"/>
          <w:szCs w:val="44"/>
        </w:rPr>
      </w:pPr>
      <w:r>
        <w:rPr>
          <w:rFonts w:ascii="Times New Roman" w:hAnsi="Times New Roman" w:eastAsia="黑体"/>
          <w:b/>
          <w:sz w:val="44"/>
          <w:szCs w:val="44"/>
        </w:rPr>
        <w:t>技术交底书</w:t>
      </w:r>
    </w:p>
    <w:p>
      <w:pPr>
        <w:jc w:val="center"/>
        <w:rPr>
          <w:rFonts w:ascii="Times New Roman" w:hAnsi="Times New Roman" w:eastAsia="黑体"/>
          <w:b/>
          <w:sz w:val="36"/>
          <w:szCs w:val="36"/>
        </w:rPr>
      </w:pPr>
    </w:p>
    <w:tbl>
      <w:tblPr>
        <w:tblStyle w:val="11"/>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7"/>
        <w:gridCol w:w="5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olor w:val="1C1B10"/>
                <w:sz w:val="24"/>
              </w:rPr>
            </w:pPr>
            <w:r>
              <w:rPr>
                <w:rFonts w:ascii="Times New Roman" w:hAnsi="Times New Roman"/>
                <w:color w:val="1C1B10"/>
                <w:sz w:val="24"/>
              </w:rPr>
              <w:t>公司编号</w:t>
            </w:r>
          </w:p>
        </w:tc>
        <w:tc>
          <w:tcPr>
            <w:tcW w:w="584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b/>
                <w:color w:val="1C1B10"/>
                <w:sz w:val="24"/>
              </w:rPr>
            </w:pPr>
            <w:r>
              <w:rPr>
                <w:rFonts w:ascii="Times New Roman" w:hAnsi="Times New Roman" w:eastAsia="仿宋_GB2312"/>
                <w:color w:val="0000FF"/>
                <w:sz w:val="24"/>
              </w:rPr>
              <w:t>由公司专利管理处填写（个人申请无须填写）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olor w:val="1C1B10"/>
                <w:sz w:val="24"/>
              </w:rPr>
            </w:pPr>
            <w:r>
              <w:rPr>
                <w:rFonts w:ascii="Times New Roman" w:hAnsi="Times New Roman"/>
                <w:color w:val="1C1B10"/>
                <w:sz w:val="24"/>
              </w:rPr>
              <w:t>发明</w:t>
            </w:r>
          </w:p>
        </w:tc>
        <w:tc>
          <w:tcPr>
            <w:tcW w:w="5849" w:type="dxa"/>
            <w:vMerge w:val="restart"/>
            <w:tcBorders>
              <w:top w:val="single" w:color="auto" w:sz="4" w:space="0"/>
              <w:left w:val="single" w:color="auto" w:sz="4" w:space="0"/>
              <w:bottom w:val="single" w:color="auto" w:sz="4" w:space="0"/>
              <w:right w:val="single" w:color="auto" w:sz="4" w:space="0"/>
            </w:tcBorders>
            <w:vAlign w:val="center"/>
          </w:tcPr>
          <w:p>
            <w:pPr>
              <w:spacing w:after="120" w:line="288" w:lineRule="auto"/>
              <w:ind w:left="1193" w:hanging="1192" w:hangingChars="497"/>
              <w:jc w:val="center"/>
              <w:outlineLvl w:val="0"/>
              <w:rPr>
                <w:rFonts w:ascii="Times New Roman" w:hAnsi="Times New Roman"/>
                <w:b/>
                <w:color w:val="1C1B10"/>
                <w:sz w:val="24"/>
              </w:rPr>
            </w:pPr>
            <w:r>
              <w:rPr>
                <w:rFonts w:ascii="Times New Roman" w:hAnsi="Times New Roman" w:eastAsia="仿宋_GB2312"/>
                <w:color w:val="0000FF"/>
                <w:sz w:val="24"/>
              </w:rPr>
              <w:t>发明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7"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olor w:val="1C1B10"/>
                <w:sz w:val="24"/>
              </w:rPr>
            </w:pPr>
            <w:r>
              <w:rPr>
                <w:rFonts w:ascii="Times New Roman" w:hAnsi="Times New Roman"/>
                <w:color w:val="1C1B10"/>
                <w:sz w:val="24"/>
              </w:rPr>
              <w:t>实用新型</w:t>
            </w:r>
          </w:p>
        </w:tc>
        <w:tc>
          <w:tcPr>
            <w:tcW w:w="5849"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b/>
                <w:color w:val="1C1B1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olor w:val="1C1B10"/>
                <w:sz w:val="24"/>
              </w:rPr>
            </w:pPr>
            <w:r>
              <w:rPr>
                <w:rFonts w:ascii="Times New Roman" w:hAnsi="Times New Roman"/>
                <w:color w:val="1C1B10"/>
                <w:sz w:val="24"/>
              </w:rPr>
              <w:t>外观</w:t>
            </w:r>
          </w:p>
        </w:tc>
        <w:tc>
          <w:tcPr>
            <w:tcW w:w="5849"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ascii="Times New Roman" w:hAnsi="Times New Roman"/>
                <w:b/>
                <w:color w:val="1C1B1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2"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olor w:val="1C1B10"/>
                <w:sz w:val="24"/>
              </w:rPr>
            </w:pPr>
            <w:r>
              <w:rPr>
                <w:rFonts w:ascii="Times New Roman" w:hAnsi="Times New Roman"/>
                <w:color w:val="1C1B10"/>
                <w:sz w:val="24"/>
              </w:rPr>
              <w:t>发明创造名称</w:t>
            </w:r>
          </w:p>
        </w:tc>
        <w:tc>
          <w:tcPr>
            <w:tcW w:w="5849" w:type="dxa"/>
            <w:tcBorders>
              <w:top w:val="single" w:color="auto" w:sz="4" w:space="0"/>
              <w:left w:val="single" w:color="auto" w:sz="4" w:space="0"/>
              <w:bottom w:val="single" w:color="auto" w:sz="4" w:space="0"/>
              <w:right w:val="single" w:color="auto" w:sz="4" w:space="0"/>
            </w:tcBorders>
            <w:vAlign w:val="center"/>
          </w:tcPr>
          <w:p>
            <w:pPr>
              <w:spacing w:after="120" w:line="288" w:lineRule="auto"/>
              <w:ind w:left="1193" w:hanging="1192" w:hangingChars="497"/>
              <w:jc w:val="center"/>
              <w:outlineLvl w:val="0"/>
              <w:rPr>
                <w:rFonts w:ascii="Times New Roman" w:hAnsi="Times New Roman"/>
              </w:rPr>
            </w:pPr>
            <w:r>
              <w:rPr>
                <w:rFonts w:hint="eastAsia" w:ascii="Times New Roman" w:hAnsi="Times New Roman" w:eastAsia="仿宋_GB2312"/>
                <w:color w:val="0000FF"/>
                <w:sz w:val="24"/>
              </w:rPr>
              <w:t>一种液流储能系统快速启动的系统及方法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3"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olor w:val="1C1B10"/>
                <w:sz w:val="24"/>
              </w:rPr>
            </w:pPr>
            <w:r>
              <w:rPr>
                <w:rFonts w:ascii="Times New Roman" w:hAnsi="Times New Roman"/>
                <w:color w:val="1C1B10"/>
                <w:sz w:val="24"/>
              </w:rPr>
              <w:t>公司名称或姓名</w:t>
            </w:r>
          </w:p>
        </w:tc>
        <w:tc>
          <w:tcPr>
            <w:tcW w:w="584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bottom"/>
              <w:rPr>
                <w:rFonts w:ascii="Times New Roman" w:hAnsi="Times New Roman"/>
                <w:b/>
                <w:color w:val="1C1B10"/>
                <w:sz w:val="24"/>
              </w:rPr>
            </w:pPr>
            <w:r>
              <w:rPr>
                <w:rFonts w:ascii="Times New Roman" w:hAnsi="Times New Roman" w:eastAsia="仿宋_GB2312"/>
                <w:color w:val="0000FF"/>
                <w:sz w:val="24"/>
              </w:rPr>
              <w:t>中国电建集团福建省电力勘测设计院有限公司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3"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olor w:val="1C1B10"/>
                <w:sz w:val="24"/>
              </w:rPr>
            </w:pPr>
            <w:r>
              <w:rPr>
                <w:rFonts w:ascii="Times New Roman" w:hAnsi="Times New Roman"/>
                <w:color w:val="1C1B10"/>
                <w:sz w:val="24"/>
              </w:rPr>
              <w:t>组织机构代码或身份证号码</w:t>
            </w:r>
          </w:p>
        </w:tc>
        <w:tc>
          <w:tcPr>
            <w:tcW w:w="5849"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ascii="Times New Roman" w:hAnsi="Times New Roman"/>
                <w:b/>
                <w:color w:val="1C1B1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3"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olor w:val="1C1B10"/>
                <w:sz w:val="24"/>
              </w:rPr>
            </w:pPr>
            <w:r>
              <w:rPr>
                <w:rFonts w:ascii="Times New Roman" w:hAnsi="Times New Roman"/>
                <w:color w:val="1C1B10"/>
                <w:sz w:val="24"/>
              </w:rPr>
              <w:t>申请地址</w:t>
            </w:r>
          </w:p>
        </w:tc>
        <w:tc>
          <w:tcPr>
            <w:tcW w:w="584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bottom"/>
              <w:rPr>
                <w:rFonts w:ascii="Times New Roman" w:hAnsi="Times New Roman" w:eastAsia="仿宋_GB2312"/>
                <w:color w:val="0000FF"/>
                <w:sz w:val="24"/>
              </w:rPr>
            </w:pPr>
            <w:r>
              <w:rPr>
                <w:rFonts w:ascii="Times New Roman" w:hAnsi="Times New Roman" w:eastAsia="仿宋_GB2312"/>
                <w:color w:val="0000FF"/>
                <w:sz w:val="24"/>
              </w:rPr>
              <w:t>福建省福州市五四路268号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olor w:val="1C1B10"/>
                <w:sz w:val="24"/>
              </w:rPr>
            </w:pPr>
            <w:r>
              <w:rPr>
                <w:rFonts w:ascii="Times New Roman" w:hAnsi="Times New Roman"/>
                <w:color w:val="1C1B10"/>
                <w:sz w:val="24"/>
              </w:rPr>
              <w:t>邮编</w:t>
            </w:r>
          </w:p>
        </w:tc>
        <w:tc>
          <w:tcPr>
            <w:tcW w:w="584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bottom"/>
              <w:rPr>
                <w:rFonts w:ascii="Times New Roman" w:hAnsi="Times New Roman" w:eastAsia="仿宋_GB2312"/>
                <w:color w:val="0000FF"/>
                <w:sz w:val="24"/>
              </w:rPr>
            </w:pPr>
            <w:r>
              <w:rPr>
                <w:rFonts w:ascii="Times New Roman" w:hAnsi="Times New Roman" w:eastAsia="仿宋_GB2312"/>
                <w:color w:val="0000FF"/>
                <w:sz w:val="24"/>
              </w:rPr>
              <w:t>350003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1"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olor w:val="1C1B10"/>
                <w:sz w:val="24"/>
              </w:rPr>
            </w:pPr>
            <w:r>
              <w:rPr>
                <w:rFonts w:ascii="Times New Roman" w:hAnsi="Times New Roman"/>
                <w:color w:val="1C1B10"/>
                <w:sz w:val="24"/>
              </w:rPr>
              <w:t>第一发明人姓名</w:t>
            </w:r>
          </w:p>
        </w:tc>
        <w:tc>
          <w:tcPr>
            <w:tcW w:w="584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bottom"/>
              <w:rPr>
                <w:rFonts w:hint="default" w:ascii="Times New Roman" w:hAnsi="Times New Roman" w:eastAsia="仿宋_GB2312"/>
                <w:color w:val="0000FF"/>
                <w:sz w:val="24"/>
                <w:lang w:val="en-US" w:eastAsia="zh-CN"/>
              </w:rPr>
            </w:pPr>
            <w:r>
              <w:rPr>
                <w:rFonts w:hint="eastAsia" w:ascii="Times New Roman" w:hAnsi="Times New Roman" w:eastAsia="仿宋_GB2312"/>
                <w:color w:val="0000FF"/>
                <w:sz w:val="24"/>
                <w:lang w:val="en-US" w:eastAsia="zh-CN"/>
              </w:rPr>
              <w:t>揭仕贵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olor w:val="1C1B10"/>
                <w:sz w:val="24"/>
              </w:rPr>
            </w:pPr>
            <w:r>
              <w:rPr>
                <w:rFonts w:ascii="Times New Roman" w:hAnsi="Times New Roman"/>
                <w:color w:val="1C1B10"/>
                <w:sz w:val="24"/>
              </w:rPr>
              <w:t>第一发明人身份证号码</w:t>
            </w:r>
          </w:p>
        </w:tc>
        <w:tc>
          <w:tcPr>
            <w:tcW w:w="584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bottom"/>
              <w:rPr>
                <w:rFonts w:hint="default" w:ascii="Times New Roman" w:hAnsi="Times New Roman" w:eastAsia="仿宋_GB2312"/>
                <w:color w:val="0000FF"/>
                <w:sz w:val="24"/>
                <w:lang w:val="en-US" w:eastAsia="zh-CN"/>
              </w:rPr>
            </w:pPr>
            <w:r>
              <w:rPr>
                <w:rFonts w:hint="eastAsia" w:ascii="Times New Roman" w:hAnsi="Times New Roman" w:eastAsia="仿宋_GB2312"/>
                <w:color w:val="0000FF"/>
                <w:sz w:val="24"/>
                <w:lang w:val="en-US" w:eastAsia="zh-CN"/>
              </w:rPr>
              <w:t>350428198306103518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3"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olor w:val="1C1B10"/>
                <w:sz w:val="24"/>
              </w:rPr>
            </w:pPr>
            <w:r>
              <w:rPr>
                <w:rFonts w:ascii="Times New Roman" w:hAnsi="Times New Roman"/>
                <w:color w:val="1C1B10"/>
                <w:sz w:val="24"/>
              </w:rPr>
              <w:t>其他发明人姓名</w:t>
            </w:r>
          </w:p>
        </w:tc>
        <w:tc>
          <w:tcPr>
            <w:tcW w:w="584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bottom"/>
              <w:rPr>
                <w:rFonts w:hint="default" w:ascii="Times New Roman" w:hAnsi="Times New Roman" w:eastAsia="仿宋_GB2312"/>
                <w:color w:val="0000FF"/>
                <w:sz w:val="24"/>
                <w:lang w:val="en-US" w:eastAsia="zh-CN"/>
              </w:rPr>
            </w:pPr>
            <w:r>
              <w:rPr>
                <w:rFonts w:hint="eastAsia" w:ascii="Times New Roman" w:hAnsi="Times New Roman" w:eastAsia="仿宋_GB2312"/>
                <w:color w:val="0000FF"/>
                <w:sz w:val="24"/>
                <w:lang w:val="en-US" w:eastAsia="zh-CN"/>
              </w:rPr>
              <w:t>李宁凯</w:t>
            </w:r>
            <w:r>
              <w:rPr>
                <w:rFonts w:hint="eastAsia" w:ascii="Times New Roman" w:hAnsi="Times New Roman" w:eastAsia="仿宋_GB2312"/>
                <w:color w:val="0000FF"/>
                <w:sz w:val="24"/>
              </w:rPr>
              <w:t>、孙卫锋、</w:t>
            </w:r>
            <w:r>
              <w:rPr>
                <w:rFonts w:hint="eastAsia" w:ascii="Times New Roman" w:hAnsi="Times New Roman" w:eastAsia="仿宋_GB2312"/>
                <w:color w:val="0000FF"/>
                <w:sz w:val="24"/>
                <w:lang w:val="en-US" w:eastAsia="zh-CN"/>
              </w:rPr>
              <w:t>陈海华、李靖、王佳鑫、邵文妍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olor w:val="1C1B10"/>
                <w:sz w:val="24"/>
              </w:rPr>
            </w:pPr>
            <w:r>
              <w:rPr>
                <w:rFonts w:ascii="Times New Roman" w:hAnsi="Times New Roman"/>
                <w:color w:val="1C1B10"/>
                <w:sz w:val="24"/>
              </w:rPr>
              <w:t>联系人</w:t>
            </w:r>
          </w:p>
        </w:tc>
        <w:tc>
          <w:tcPr>
            <w:tcW w:w="584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bottom"/>
              <w:rPr>
                <w:rFonts w:hint="default" w:ascii="Times New Roman" w:hAnsi="Times New Roman" w:eastAsia="仿宋_GB2312"/>
                <w:color w:val="0000FF"/>
                <w:sz w:val="24"/>
                <w:lang w:val="en-US" w:eastAsia="zh-CN"/>
              </w:rPr>
            </w:pPr>
            <w:r>
              <w:rPr>
                <w:rFonts w:hint="eastAsia" w:ascii="Times New Roman" w:hAnsi="Times New Roman" w:eastAsia="仿宋_GB2312"/>
                <w:color w:val="0000FF"/>
                <w:sz w:val="24"/>
                <w:lang w:val="en-US" w:eastAsia="zh-CN"/>
              </w:rPr>
              <w:t>揭仕贵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olor w:val="1C1B10"/>
                <w:sz w:val="24"/>
              </w:rPr>
            </w:pPr>
            <w:r>
              <w:rPr>
                <w:rFonts w:ascii="Times New Roman" w:hAnsi="Times New Roman"/>
                <w:color w:val="1C1B10"/>
                <w:sz w:val="24"/>
              </w:rPr>
              <w:t>联系人电话</w:t>
            </w:r>
          </w:p>
        </w:tc>
        <w:tc>
          <w:tcPr>
            <w:tcW w:w="584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bottom"/>
              <w:rPr>
                <w:rFonts w:hint="default" w:ascii="Times New Roman" w:hAnsi="Times New Roman" w:eastAsia="仿宋_GB2312"/>
                <w:color w:val="0000FF"/>
                <w:sz w:val="24"/>
                <w:lang w:val="en-US" w:eastAsia="zh-CN"/>
              </w:rPr>
            </w:pPr>
            <w:r>
              <w:rPr>
                <w:rFonts w:hint="eastAsia" w:ascii="Times New Roman" w:hAnsi="Times New Roman" w:eastAsia="仿宋_GB2312"/>
                <w:color w:val="0000FF"/>
                <w:sz w:val="24"/>
                <w:lang w:val="en-US" w:eastAsia="zh-CN"/>
              </w:rPr>
              <w:t>13799387137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olor w:val="1C1B10"/>
                <w:sz w:val="24"/>
              </w:rPr>
            </w:pPr>
            <w:r>
              <w:rPr>
                <w:rFonts w:ascii="Times New Roman" w:hAnsi="Times New Roman"/>
                <w:color w:val="1C1B10"/>
                <w:sz w:val="24"/>
              </w:rPr>
              <w:t>联系人Email</w:t>
            </w:r>
          </w:p>
        </w:tc>
        <w:tc>
          <w:tcPr>
            <w:tcW w:w="584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bottom"/>
              <w:rPr>
                <w:rFonts w:hint="default" w:ascii="Times New Roman" w:hAnsi="Times New Roman" w:eastAsia="仿宋_GB2312"/>
                <w:color w:val="0000FF"/>
                <w:sz w:val="24"/>
                <w:lang w:val="en-US" w:eastAsia="zh-CN"/>
              </w:rPr>
            </w:pPr>
            <w:r>
              <w:rPr>
                <w:rFonts w:hint="eastAsia" w:ascii="Times New Roman" w:hAnsi="Times New Roman" w:eastAsia="仿宋_GB2312"/>
                <w:color w:val="0000FF"/>
                <w:sz w:val="24"/>
                <w:lang w:val="en-US" w:eastAsia="zh-CN"/>
              </w:rPr>
              <w:t>jiesg@fedi.cn</w:t>
            </w:r>
          </w:p>
        </w:tc>
      </w:tr>
    </w:tbl>
    <w:p>
      <w:pPr>
        <w:rPr>
          <w:rFonts w:ascii="Times New Roman" w:hAnsi="Times New Roman"/>
        </w:rPr>
      </w:pPr>
      <w:r>
        <w:rPr>
          <w:rFonts w:ascii="Times New Roman" w:hAnsi="Times New Roman"/>
        </w:rPr>
        <w:br w:type="page"/>
      </w:r>
    </w:p>
    <w:tbl>
      <w:tblPr>
        <w:tblStyle w:val="11"/>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tcPr>
          <w:p>
            <w:pPr>
              <w:jc w:val="center"/>
              <w:rPr>
                <w:rFonts w:ascii="Times New Roman" w:hAnsi="Times New Roman"/>
                <w:sz w:val="30"/>
                <w:szCs w:val="30"/>
              </w:rPr>
            </w:pPr>
            <w:r>
              <w:rPr>
                <w:rFonts w:ascii="Times New Roman" w:hAnsi="Times New Roman"/>
                <w:sz w:val="30"/>
                <w:szCs w:val="30"/>
              </w:rPr>
              <w:t>成 果 简 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tcPr>
          <w:p>
            <w:pPr>
              <w:numPr>
                <w:ilvl w:val="0"/>
                <w:numId w:val="1"/>
              </w:numPr>
              <w:rPr>
                <w:rFonts w:ascii="Times New Roman" w:hAnsi="Times New Roman"/>
                <w:b/>
                <w:sz w:val="28"/>
                <w:szCs w:val="28"/>
              </w:rPr>
            </w:pPr>
            <w:r>
              <w:rPr>
                <w:rFonts w:ascii="Times New Roman" w:hAnsi="Times New Roman"/>
                <w:b/>
                <w:sz w:val="28"/>
                <w:szCs w:val="28"/>
              </w:rPr>
              <w:t>成果背景</w:t>
            </w:r>
          </w:p>
          <w:p>
            <w:pPr>
              <w:spacing w:line="360" w:lineRule="auto"/>
              <w:ind w:firstLine="560"/>
              <w:rPr>
                <w:rFonts w:hint="eastAsia" w:ascii="宋体" w:hAnsi="宋体" w:cs="宋体"/>
                <w:sz w:val="24"/>
                <w:szCs w:val="24"/>
              </w:rPr>
            </w:pPr>
            <w:r>
              <w:rPr>
                <w:rFonts w:hint="eastAsia" w:ascii="宋体" w:hAnsi="宋体" w:cs="宋体"/>
                <w:sz w:val="24"/>
                <w:szCs w:val="24"/>
              </w:rPr>
              <w:t>随着全球能源需求的不断增长和新能源技术的快速发展，电网的调频调峰问题变得越来越重要。电网调频调峰是指通过调节电力系统中的发电和负荷来维持电网频率和电力供应的平衡，确保电力系统的稳定运行。</w:t>
            </w:r>
          </w:p>
          <w:p>
            <w:pPr>
              <w:spacing w:line="360" w:lineRule="auto"/>
              <w:ind w:firstLine="560"/>
              <w:rPr>
                <w:rFonts w:hint="eastAsia" w:ascii="宋体" w:hAnsi="宋体" w:cs="宋体"/>
                <w:sz w:val="24"/>
                <w:szCs w:val="24"/>
              </w:rPr>
            </w:pPr>
            <w:r>
              <w:rPr>
                <w:rFonts w:hint="eastAsia" w:ascii="宋体" w:hAnsi="宋体" w:cs="宋体"/>
                <w:sz w:val="24"/>
                <w:szCs w:val="24"/>
                <w:lang w:val="en-US" w:eastAsia="zh-CN"/>
              </w:rPr>
              <w:t>液流</w:t>
            </w:r>
            <w:r>
              <w:rPr>
                <w:rFonts w:hint="eastAsia" w:ascii="宋体" w:hAnsi="宋体" w:cs="宋体"/>
                <w:sz w:val="24"/>
                <w:szCs w:val="24"/>
              </w:rPr>
              <w:t>储能作为一种新型的储能技术，</w:t>
            </w:r>
            <w:r>
              <w:rPr>
                <w:rFonts w:hint="eastAsia" w:ascii="宋体" w:hAnsi="宋体" w:cs="宋体"/>
                <w:sz w:val="24"/>
                <w:szCs w:val="24"/>
                <w:lang w:val="en-US" w:eastAsia="zh-CN"/>
              </w:rPr>
              <w:t>液流</w:t>
            </w:r>
            <w:r>
              <w:rPr>
                <w:rFonts w:hint="eastAsia" w:ascii="宋体" w:hAnsi="宋体" w:cs="宋体"/>
                <w:sz w:val="24"/>
                <w:szCs w:val="24"/>
              </w:rPr>
              <w:t>储能</w:t>
            </w:r>
            <w:r>
              <w:rPr>
                <w:rFonts w:hint="eastAsia" w:ascii="宋体" w:hAnsi="宋体" w:cs="宋体"/>
                <w:sz w:val="24"/>
                <w:szCs w:val="24"/>
                <w:lang w:val="en-US" w:eastAsia="zh-CN"/>
              </w:rPr>
              <w:t>由</w:t>
            </w:r>
            <w:r>
              <w:rPr>
                <w:rFonts w:hint="eastAsia" w:ascii="宋体" w:hAnsi="宋体" w:cs="宋体"/>
                <w:sz w:val="24"/>
                <w:szCs w:val="24"/>
              </w:rPr>
              <w:t>电堆单元、电解液、电解液存储供给单元以及管理控制单元等部分构成，是利用正负极电解液分开，各自循环的一种高性能蓄电池，具有容量高</w:t>
            </w:r>
            <w:r>
              <w:rPr>
                <w:rFonts w:hint="eastAsia" w:ascii="宋体" w:hAnsi="宋体" w:cs="宋体"/>
                <w:sz w:val="24"/>
                <w:szCs w:val="24"/>
                <w:lang w:eastAsia="zh-CN"/>
              </w:rPr>
              <w:t>、</w:t>
            </w:r>
            <w:r>
              <w:rPr>
                <w:rFonts w:hint="eastAsia" w:ascii="宋体" w:hAnsi="宋体" w:cs="宋体"/>
                <w:sz w:val="24"/>
                <w:szCs w:val="24"/>
              </w:rPr>
              <w:t>本质安全、容量大、寿命长、回收残值高等技术优势。</w:t>
            </w:r>
            <w:r>
              <w:rPr>
                <w:rFonts w:hint="eastAsia" w:ascii="宋体" w:hAnsi="宋体" w:cs="宋体"/>
                <w:sz w:val="24"/>
                <w:szCs w:val="24"/>
                <w:lang w:val="en-US" w:eastAsia="zh-CN"/>
              </w:rPr>
              <w:t>当下中国电网对储能参与系统调频响应时间不低于0.5S，</w:t>
            </w:r>
            <w:r>
              <w:rPr>
                <w:rFonts w:hint="eastAsia" w:ascii="宋体" w:hAnsi="宋体" w:cs="宋体"/>
                <w:sz w:val="24"/>
                <w:szCs w:val="24"/>
              </w:rPr>
              <w:t>液流储能</w:t>
            </w:r>
            <w:r>
              <w:rPr>
                <w:rFonts w:hint="eastAsia" w:ascii="宋体" w:hAnsi="宋体" w:cs="宋体"/>
                <w:sz w:val="24"/>
                <w:szCs w:val="24"/>
                <w:lang w:val="en-US" w:eastAsia="zh-CN"/>
              </w:rPr>
              <w:t>电池</w:t>
            </w:r>
            <w:r>
              <w:rPr>
                <w:rFonts w:hint="eastAsia" w:ascii="宋体" w:hAnsi="宋体" w:cs="宋体"/>
                <w:sz w:val="24"/>
                <w:szCs w:val="24"/>
              </w:rPr>
              <w:t>如果要能满足调频所需</w:t>
            </w:r>
            <w:r>
              <w:rPr>
                <w:rFonts w:hint="eastAsia" w:ascii="宋体" w:hAnsi="宋体" w:cs="宋体"/>
                <w:sz w:val="24"/>
                <w:szCs w:val="24"/>
                <w:lang w:val="en-US" w:eastAsia="zh-CN"/>
              </w:rPr>
              <w:t>响应</w:t>
            </w:r>
            <w:r>
              <w:rPr>
                <w:rFonts w:hint="eastAsia" w:ascii="宋体" w:hAnsi="宋体" w:cs="宋体"/>
                <w:sz w:val="24"/>
                <w:szCs w:val="24"/>
              </w:rPr>
              <w:t>时间，就要保证电堆</w:t>
            </w:r>
            <w:r>
              <w:rPr>
                <w:rFonts w:hint="eastAsia" w:ascii="宋体" w:hAnsi="宋体" w:cs="宋体"/>
                <w:sz w:val="24"/>
                <w:szCs w:val="24"/>
                <w:lang w:val="en-US" w:eastAsia="zh-CN"/>
              </w:rPr>
              <w:t>单元</w:t>
            </w:r>
            <w:r>
              <w:rPr>
                <w:rFonts w:hint="eastAsia" w:ascii="宋体" w:hAnsi="宋体" w:cs="宋体"/>
                <w:sz w:val="24"/>
                <w:szCs w:val="24"/>
              </w:rPr>
              <w:t>内一直充满电解液</w:t>
            </w:r>
            <w:r>
              <w:rPr>
                <w:rFonts w:hint="eastAsia" w:ascii="宋体" w:hAnsi="宋体" w:cs="宋体"/>
                <w:sz w:val="24"/>
                <w:szCs w:val="24"/>
                <w:lang w:eastAsia="zh-CN"/>
              </w:rPr>
              <w:t>，</w:t>
            </w:r>
            <w:r>
              <w:rPr>
                <w:rFonts w:hint="eastAsia" w:ascii="宋体" w:hAnsi="宋体" w:cs="宋体"/>
                <w:sz w:val="24"/>
                <w:szCs w:val="24"/>
                <w:lang w:val="en-US" w:eastAsia="zh-CN"/>
              </w:rPr>
              <w:t>并且电解液荷电状态（SOC）需要能与储罐内电解液尽量一致</w:t>
            </w:r>
            <w:r>
              <w:rPr>
                <w:rFonts w:hint="eastAsia" w:ascii="宋体" w:hAnsi="宋体" w:cs="宋体"/>
                <w:sz w:val="24"/>
                <w:szCs w:val="24"/>
                <w:lang w:eastAsia="zh-CN"/>
              </w:rPr>
              <w:t>。</w:t>
            </w:r>
            <w:r>
              <w:rPr>
                <w:rFonts w:hint="eastAsia" w:ascii="宋体" w:hAnsi="宋体" w:cs="宋体"/>
                <w:sz w:val="24"/>
                <w:szCs w:val="24"/>
                <w:lang w:val="en-US" w:eastAsia="zh-CN"/>
              </w:rPr>
              <w:t>为保证</w:t>
            </w:r>
            <w:r>
              <w:rPr>
                <w:rFonts w:hint="eastAsia" w:ascii="宋体" w:hAnsi="宋体" w:cs="宋体"/>
                <w:sz w:val="24"/>
                <w:szCs w:val="24"/>
              </w:rPr>
              <w:t>电堆</w:t>
            </w:r>
            <w:r>
              <w:rPr>
                <w:rFonts w:hint="eastAsia" w:ascii="宋体" w:hAnsi="宋体" w:cs="宋体"/>
                <w:sz w:val="24"/>
                <w:szCs w:val="24"/>
                <w:lang w:val="en-US" w:eastAsia="zh-CN"/>
              </w:rPr>
              <w:t>单元</w:t>
            </w:r>
            <w:r>
              <w:rPr>
                <w:rFonts w:hint="eastAsia" w:ascii="宋体" w:hAnsi="宋体" w:cs="宋体"/>
                <w:sz w:val="24"/>
                <w:szCs w:val="24"/>
              </w:rPr>
              <w:t>内一直充满电解液</w:t>
            </w:r>
            <w:r>
              <w:rPr>
                <w:rFonts w:hint="eastAsia" w:ascii="宋体" w:hAnsi="宋体" w:cs="宋体"/>
                <w:sz w:val="24"/>
                <w:szCs w:val="24"/>
                <w:lang w:eastAsia="zh-CN"/>
              </w:rPr>
              <w:t>，</w:t>
            </w:r>
            <w:r>
              <w:rPr>
                <w:rFonts w:hint="eastAsia" w:ascii="宋体" w:hAnsi="宋体" w:cs="宋体"/>
                <w:sz w:val="24"/>
                <w:szCs w:val="24"/>
                <w:lang w:val="en-US" w:eastAsia="zh-CN"/>
              </w:rPr>
              <w:t>目前通常采用两种</w:t>
            </w:r>
            <w:r>
              <w:rPr>
                <w:rFonts w:hint="eastAsia" w:ascii="宋体" w:hAnsi="宋体" w:cs="宋体"/>
                <w:sz w:val="24"/>
                <w:szCs w:val="24"/>
              </w:rPr>
              <w:t>方案，</w:t>
            </w:r>
            <w:r>
              <w:rPr>
                <w:rFonts w:hint="eastAsia" w:ascii="宋体" w:hAnsi="宋体" w:cs="宋体"/>
                <w:sz w:val="24"/>
                <w:szCs w:val="24"/>
                <w:lang w:val="en-US" w:eastAsia="zh-CN"/>
              </w:rPr>
              <w:t>一是</w:t>
            </w:r>
            <w:r>
              <w:rPr>
                <w:rFonts w:hint="eastAsia" w:ascii="宋体" w:hAnsi="宋体" w:cs="宋体"/>
                <w:sz w:val="24"/>
                <w:szCs w:val="24"/>
              </w:rPr>
              <w:t>循环泵一直运行</w:t>
            </w:r>
            <w:r>
              <w:rPr>
                <w:rFonts w:hint="eastAsia" w:ascii="宋体" w:hAnsi="宋体" w:cs="宋体"/>
                <w:sz w:val="24"/>
                <w:szCs w:val="24"/>
                <w:lang w:eastAsia="zh-CN"/>
              </w:rPr>
              <w:t>，</w:t>
            </w:r>
            <w:r>
              <w:rPr>
                <w:rFonts w:hint="eastAsia" w:ascii="宋体" w:hAnsi="宋体" w:cs="宋体"/>
                <w:sz w:val="24"/>
                <w:szCs w:val="24"/>
                <w:lang w:val="en-US" w:eastAsia="zh-CN"/>
              </w:rPr>
              <w:t>防止</w:t>
            </w:r>
            <w:r>
              <w:rPr>
                <w:rFonts w:hint="eastAsia" w:ascii="宋体" w:hAnsi="宋体" w:cs="宋体"/>
                <w:sz w:val="24"/>
                <w:szCs w:val="24"/>
              </w:rPr>
              <w:t>电解液将会回流到储罐</w:t>
            </w:r>
            <w:r>
              <w:rPr>
                <w:rFonts w:hint="eastAsia" w:ascii="宋体" w:hAnsi="宋体" w:cs="宋体"/>
                <w:sz w:val="24"/>
                <w:szCs w:val="24"/>
                <w:lang w:eastAsia="zh-CN"/>
              </w:rPr>
              <w:t>；</w:t>
            </w:r>
            <w:r>
              <w:rPr>
                <w:rFonts w:hint="eastAsia" w:ascii="宋体" w:hAnsi="宋体" w:cs="宋体"/>
                <w:sz w:val="24"/>
                <w:szCs w:val="24"/>
                <w:lang w:val="en-US" w:eastAsia="zh-CN"/>
              </w:rPr>
              <w:t>二是设置截流</w:t>
            </w:r>
            <w:r>
              <w:rPr>
                <w:rFonts w:hint="eastAsia" w:ascii="宋体" w:hAnsi="宋体" w:cs="宋体"/>
                <w:sz w:val="24"/>
                <w:szCs w:val="24"/>
              </w:rPr>
              <w:t>阀</w:t>
            </w:r>
            <w:r>
              <w:rPr>
                <w:rFonts w:hint="eastAsia" w:ascii="宋体" w:hAnsi="宋体" w:cs="宋体"/>
                <w:sz w:val="24"/>
                <w:szCs w:val="24"/>
                <w:lang w:val="en-US" w:eastAsia="zh-CN"/>
              </w:rPr>
              <w:t>使</w:t>
            </w:r>
            <w:r>
              <w:rPr>
                <w:rFonts w:hint="eastAsia" w:ascii="宋体" w:hAnsi="宋体" w:cs="宋体"/>
                <w:sz w:val="24"/>
                <w:szCs w:val="24"/>
              </w:rPr>
              <w:t>电解液</w:t>
            </w:r>
            <w:r>
              <w:rPr>
                <w:rFonts w:hint="eastAsia" w:ascii="宋体" w:hAnsi="宋体" w:cs="宋体"/>
                <w:sz w:val="24"/>
                <w:szCs w:val="24"/>
                <w:lang w:val="en-US" w:eastAsia="zh-CN"/>
              </w:rPr>
              <w:t>无法</w:t>
            </w:r>
            <w:r>
              <w:rPr>
                <w:rFonts w:hint="eastAsia" w:ascii="宋体" w:hAnsi="宋体" w:cs="宋体"/>
                <w:sz w:val="24"/>
                <w:szCs w:val="24"/>
              </w:rPr>
              <w:t>回流到储罐，</w:t>
            </w:r>
            <w:r>
              <w:rPr>
                <w:rFonts w:hint="eastAsia" w:ascii="宋体" w:hAnsi="宋体" w:cs="宋体"/>
                <w:sz w:val="24"/>
                <w:szCs w:val="24"/>
                <w:lang w:val="en-US" w:eastAsia="zh-CN"/>
              </w:rPr>
              <w:t>但</w:t>
            </w:r>
            <w:r>
              <w:rPr>
                <w:rFonts w:hint="eastAsia" w:ascii="宋体" w:hAnsi="宋体" w:cs="宋体"/>
                <w:sz w:val="24"/>
                <w:szCs w:val="24"/>
              </w:rPr>
              <w:t>电堆中的电解液存在离子流失的问题</w:t>
            </w:r>
            <w:r>
              <w:rPr>
                <w:rFonts w:hint="eastAsia" w:ascii="宋体" w:hAnsi="宋体" w:cs="宋体"/>
                <w:sz w:val="24"/>
                <w:szCs w:val="24"/>
                <w:lang w:eastAsia="zh-CN"/>
              </w:rPr>
              <w:t>，</w:t>
            </w:r>
            <w:r>
              <w:rPr>
                <w:rFonts w:hint="eastAsia" w:ascii="宋体" w:hAnsi="宋体" w:cs="宋体"/>
                <w:sz w:val="24"/>
                <w:szCs w:val="24"/>
                <w:lang w:val="en-US" w:eastAsia="zh-CN"/>
              </w:rPr>
              <w:t>隔一段时间需要重启循环泵，使电解液更新</w:t>
            </w:r>
            <w:r>
              <w:rPr>
                <w:rFonts w:hint="eastAsia" w:ascii="宋体" w:hAnsi="宋体" w:cs="宋体"/>
                <w:sz w:val="24"/>
                <w:szCs w:val="24"/>
              </w:rPr>
              <w:t>；</w:t>
            </w:r>
          </w:p>
          <w:p>
            <w:pPr>
              <w:spacing w:line="360" w:lineRule="auto"/>
              <w:ind w:firstLine="560"/>
              <w:rPr>
                <w:rFonts w:hint="eastAsia" w:ascii="宋体" w:hAnsi="宋体" w:cs="宋体"/>
                <w:sz w:val="24"/>
                <w:szCs w:val="24"/>
                <w:lang w:val="en-US" w:eastAsia="zh-CN"/>
              </w:rPr>
            </w:pPr>
            <w:r>
              <w:rPr>
                <w:rFonts w:hint="eastAsia" w:ascii="宋体" w:hAnsi="宋体" w:cs="宋体"/>
                <w:sz w:val="24"/>
                <w:szCs w:val="24"/>
              </w:rPr>
              <w:t>然而，现有</w:t>
            </w:r>
            <w:r>
              <w:rPr>
                <w:rFonts w:hint="eastAsia" w:ascii="宋体" w:hAnsi="宋体" w:cs="宋体"/>
                <w:sz w:val="24"/>
                <w:szCs w:val="24"/>
                <w:lang w:val="en-US" w:eastAsia="zh-CN"/>
              </w:rPr>
              <w:t>两种方案都存在一定问题，</w:t>
            </w:r>
            <w:r>
              <w:rPr>
                <w:rFonts w:hint="eastAsia" w:ascii="宋体" w:hAnsi="宋体" w:cs="宋体"/>
                <w:sz w:val="24"/>
                <w:szCs w:val="24"/>
              </w:rPr>
              <w:t>循环泵一直运行</w:t>
            </w:r>
            <w:r>
              <w:rPr>
                <w:rFonts w:hint="eastAsia" w:ascii="宋体" w:hAnsi="宋体" w:cs="宋体"/>
                <w:sz w:val="24"/>
                <w:szCs w:val="24"/>
                <w:lang w:val="en-US" w:eastAsia="zh-CN"/>
              </w:rPr>
              <w:t>可以保证储能电池PCS的快速启动，但循环泵长期运行，循环泵及变频器容易损坏且将有大量电能损耗；间隔运行循环泵，虽然临时解决了</w:t>
            </w:r>
            <w:r>
              <w:rPr>
                <w:rFonts w:hint="eastAsia" w:ascii="宋体" w:hAnsi="宋体" w:cs="宋体"/>
                <w:sz w:val="24"/>
                <w:szCs w:val="24"/>
              </w:rPr>
              <w:t>电解液</w:t>
            </w:r>
            <w:r>
              <w:rPr>
                <w:rFonts w:hint="eastAsia" w:ascii="宋体" w:hAnsi="宋体" w:cs="宋体"/>
                <w:sz w:val="24"/>
                <w:szCs w:val="24"/>
                <w:lang w:val="en-US" w:eastAsia="zh-CN"/>
              </w:rPr>
              <w:t>回流和</w:t>
            </w:r>
            <w:r>
              <w:rPr>
                <w:rFonts w:hint="eastAsia" w:ascii="宋体" w:hAnsi="宋体" w:cs="宋体"/>
                <w:sz w:val="24"/>
                <w:szCs w:val="24"/>
              </w:rPr>
              <w:t>电解液</w:t>
            </w:r>
            <w:r>
              <w:rPr>
                <w:rFonts w:hint="eastAsia" w:ascii="宋体" w:hAnsi="宋体" w:cs="宋体"/>
                <w:sz w:val="24"/>
                <w:szCs w:val="24"/>
                <w:lang w:val="en-US" w:eastAsia="zh-CN"/>
              </w:rPr>
              <w:t>更新的问题，但当调频指示下达时，需要重启循环泵，而循环泵启动至流量满足PCS满负荷启动需要一定时间，使得PCS存在不满发情况，导致调频性能不满足电网需求的情况。</w:t>
            </w:r>
          </w:p>
          <w:p>
            <w:pPr>
              <w:spacing w:line="400" w:lineRule="exact"/>
              <w:ind w:firstLine="480" w:firstLineChars="200"/>
              <w:rPr>
                <w:rFonts w:ascii="宋体" w:hAnsi="宋体" w:cs="宋体"/>
                <w:sz w:val="28"/>
                <w:szCs w:val="32"/>
              </w:rPr>
            </w:pPr>
            <w:r>
              <w:rPr>
                <w:rFonts w:ascii="Times New Roman" w:hAnsi="Times New Roman"/>
                <w:sz w:val="24"/>
              </w:rPr>
              <w:t>综上所述，</w:t>
            </w:r>
            <w:r>
              <w:rPr>
                <w:rFonts w:hint="eastAsia" w:ascii="Times New Roman" w:hAnsi="Times New Roman"/>
                <w:sz w:val="24"/>
                <w:lang w:val="en-US" w:eastAsia="zh-CN"/>
              </w:rPr>
              <w:t>目前的液流储能方案参与调频时，要么响应速率跟不上要求，要么存在设备故障率高、电能损耗大的问题</w:t>
            </w:r>
            <w:r>
              <w:rPr>
                <w:rFonts w:ascii="Times New Roman" w:hAnsi="Times New Roman"/>
                <w:sz w:val="24"/>
              </w:rPr>
              <w:t>。为此，为克服上述技术性不足，本发明提供</w:t>
            </w:r>
            <w:r>
              <w:rPr>
                <w:rFonts w:ascii="Times New Roman" w:hAnsi="Times New Roman"/>
                <w:sz w:val="24"/>
                <w:szCs w:val="22"/>
              </w:rPr>
              <w:t>了一种基于</w:t>
            </w:r>
            <w:r>
              <w:rPr>
                <w:rFonts w:hint="eastAsia" w:ascii="Times New Roman" w:hAnsi="Times New Roman"/>
                <w:sz w:val="24"/>
                <w:szCs w:val="22"/>
                <w:lang w:val="en-US" w:eastAsia="zh-CN"/>
              </w:rPr>
              <w:t>现有技术方案基础上提供快速启动的</w:t>
            </w:r>
            <w:r>
              <w:rPr>
                <w:rFonts w:ascii="Times New Roman" w:hAnsi="Times New Roman"/>
                <w:sz w:val="24"/>
                <w:szCs w:val="22"/>
              </w:rPr>
              <w:t>路线，运行过程</w:t>
            </w:r>
            <w:r>
              <w:rPr>
                <w:rFonts w:hint="eastAsia" w:ascii="Times New Roman" w:hAnsi="Times New Roman"/>
                <w:sz w:val="24"/>
                <w:szCs w:val="22"/>
                <w:lang w:val="en-US" w:eastAsia="zh-CN"/>
              </w:rPr>
              <w:t>中可保证电解液的更新，同时可以减少电能损耗</w:t>
            </w:r>
            <w:r>
              <w:rPr>
                <w:rFonts w:ascii="Times New Roman" w:hAnsi="Times New Roman"/>
                <w:sz w:val="24"/>
                <w:szCs w:val="22"/>
              </w:rPr>
              <w:t>。</w:t>
            </w:r>
          </w:p>
          <w:p>
            <w:pPr>
              <w:numPr>
                <w:ilvl w:val="0"/>
                <w:numId w:val="1"/>
              </w:numPr>
              <w:rPr>
                <w:rFonts w:ascii="Times New Roman" w:hAnsi="Times New Roman"/>
                <w:b/>
                <w:sz w:val="28"/>
                <w:szCs w:val="28"/>
              </w:rPr>
            </w:pPr>
            <w:r>
              <w:rPr>
                <w:rFonts w:ascii="Times New Roman" w:hAnsi="Times New Roman"/>
                <w:b/>
                <w:sz w:val="28"/>
                <w:szCs w:val="28"/>
              </w:rPr>
              <w:t>发明内容</w:t>
            </w:r>
          </w:p>
          <w:p>
            <w:pPr>
              <w:spacing w:line="400" w:lineRule="exact"/>
              <w:ind w:firstLine="480" w:firstLineChars="200"/>
              <w:rPr>
                <w:rFonts w:ascii="Times New Roman" w:hAnsi="Times New Roman"/>
                <w:sz w:val="24"/>
              </w:rPr>
            </w:pPr>
            <w:r>
              <w:rPr>
                <w:rFonts w:ascii="Times New Roman" w:hAnsi="Times New Roman"/>
                <w:sz w:val="24"/>
              </w:rPr>
              <w:t>本发明解决上述问题所采用的技术方案是</w:t>
            </w:r>
            <w:r>
              <w:rPr>
                <w:rFonts w:hint="eastAsia" w:ascii="Times New Roman" w:hAnsi="Times New Roman"/>
                <w:sz w:val="24"/>
                <w:lang w:val="en-US" w:eastAsia="zh-CN"/>
              </w:rPr>
              <w:t>在储能站中</w:t>
            </w:r>
            <w:r>
              <w:rPr>
                <w:rFonts w:hint="eastAsia" w:ascii="Times New Roman" w:hAnsi="Times New Roman"/>
                <w:sz w:val="24"/>
              </w:rPr>
              <w:t>设置一套高位和低位储罐，利用高位储罐的势能将电解液压入所有储能系统的电堆中，并返回低位储罐中，再循环打回到高位储罐，保证电堆中一直有新鲜的电解液流动。当有调频需求时，由于电堆中一直有满足需求的电解液流动，使储能系统快速启动起来，同时启动各套系统的循环泵，在循环泵达到额定条件后，切除该公用系统，利用自身系统循环，以保证连续输出能量</w:t>
            </w:r>
            <w:r>
              <w:rPr>
                <w:rFonts w:ascii="Times New Roman" w:hAnsi="Times New Roman"/>
                <w:sz w:val="24"/>
              </w:rPr>
              <w:t>。</w:t>
            </w:r>
          </w:p>
          <w:p>
            <w:pPr>
              <w:numPr>
                <w:ilvl w:val="0"/>
                <w:numId w:val="1"/>
              </w:numPr>
              <w:rPr>
                <w:rFonts w:ascii="Times New Roman" w:hAnsi="Times New Roman"/>
                <w:b/>
                <w:sz w:val="28"/>
                <w:szCs w:val="28"/>
              </w:rPr>
            </w:pPr>
            <w:r>
              <w:rPr>
                <w:rFonts w:ascii="Times New Roman" w:hAnsi="Times New Roman"/>
                <w:b/>
                <w:sz w:val="28"/>
                <w:szCs w:val="28"/>
              </w:rPr>
              <w:t>具体实施方式</w:t>
            </w:r>
          </w:p>
          <w:p>
            <w:pPr>
              <w:spacing w:line="400" w:lineRule="exact"/>
              <w:ind w:firstLine="480" w:firstLineChars="200"/>
              <w:rPr>
                <w:rFonts w:ascii="Times New Roman" w:hAnsi="Times New Roman"/>
              </w:rPr>
            </w:pPr>
            <w:r>
              <w:rPr>
                <w:rFonts w:ascii="Times New Roman" w:hAnsi="Times New Roman"/>
                <w:sz w:val="24"/>
              </w:rPr>
              <w:t>下面结合附图对本发明做进一步详细说明：</w:t>
            </w:r>
          </w:p>
          <w:p>
            <w:pPr>
              <w:spacing w:line="400" w:lineRule="exact"/>
              <w:ind w:firstLine="480" w:firstLineChars="200"/>
              <w:rPr>
                <w:rFonts w:ascii="Times New Roman" w:hAnsi="Times New Roman"/>
                <w:sz w:val="24"/>
              </w:rPr>
            </w:pPr>
            <w:r>
              <w:rPr>
                <w:rFonts w:ascii="Times New Roman" w:hAnsi="Times New Roman"/>
                <w:sz w:val="24"/>
              </w:rPr>
              <w:t>如附图1所示，本发明涉及</w:t>
            </w:r>
            <w:r>
              <w:rPr>
                <w:rFonts w:hint="eastAsia" w:ascii="Times New Roman" w:hAnsi="Times New Roman"/>
                <w:sz w:val="24"/>
              </w:rPr>
              <w:t>一种液流储能系统快速启动的系统</w:t>
            </w:r>
            <w:r>
              <w:rPr>
                <w:rFonts w:ascii="Times New Roman" w:hAnsi="Times New Roman"/>
                <w:sz w:val="24"/>
              </w:rPr>
              <w:t>及方法。包括</w:t>
            </w:r>
            <w:r>
              <w:rPr>
                <w:rFonts w:hint="eastAsia" w:ascii="Times New Roman" w:hAnsi="Times New Roman"/>
                <w:sz w:val="24"/>
                <w:lang w:val="en-US" w:eastAsia="zh-CN"/>
              </w:rPr>
              <w:t>电堆单元</w:t>
            </w:r>
            <w:r>
              <w:rPr>
                <w:rFonts w:ascii="Times New Roman" w:hAnsi="Times New Roman"/>
                <w:sz w:val="24"/>
              </w:rPr>
              <w:t>1，</w:t>
            </w:r>
            <w:r>
              <w:rPr>
                <w:rFonts w:hint="eastAsia" w:ascii="Times New Roman" w:hAnsi="Times New Roman"/>
                <w:sz w:val="24"/>
                <w:lang w:val="en-US" w:eastAsia="zh-CN"/>
              </w:rPr>
              <w:t>电池配套电解液储罐</w:t>
            </w:r>
            <w:r>
              <w:rPr>
                <w:rFonts w:ascii="Times New Roman" w:hAnsi="Times New Roman"/>
                <w:sz w:val="24"/>
              </w:rPr>
              <w:t>2，</w:t>
            </w:r>
            <w:r>
              <w:rPr>
                <w:rFonts w:hint="eastAsia" w:ascii="Times New Roman" w:hAnsi="Times New Roman"/>
                <w:sz w:val="24"/>
                <w:lang w:val="en-US" w:eastAsia="zh-CN"/>
              </w:rPr>
              <w:t>循环泵</w:t>
            </w:r>
            <w:r>
              <w:rPr>
                <w:rFonts w:ascii="Times New Roman" w:hAnsi="Times New Roman"/>
                <w:sz w:val="24"/>
              </w:rPr>
              <w:t>3，</w:t>
            </w:r>
            <w:r>
              <w:rPr>
                <w:rFonts w:hint="eastAsia" w:ascii="Times New Roman" w:hAnsi="Times New Roman"/>
                <w:sz w:val="24"/>
              </w:rPr>
              <w:t>高位</w:t>
            </w:r>
            <w:r>
              <w:rPr>
                <w:rFonts w:hint="eastAsia" w:ascii="Times New Roman" w:hAnsi="Times New Roman"/>
                <w:sz w:val="24"/>
                <w:lang w:val="en-US" w:eastAsia="zh-CN"/>
              </w:rPr>
              <w:t>电解液储罐</w:t>
            </w:r>
            <w:r>
              <w:rPr>
                <w:rFonts w:ascii="Times New Roman" w:hAnsi="Times New Roman"/>
                <w:sz w:val="24"/>
              </w:rPr>
              <w:t>4，</w:t>
            </w:r>
            <w:r>
              <w:rPr>
                <w:rFonts w:hint="eastAsia" w:ascii="Times New Roman" w:hAnsi="Times New Roman"/>
                <w:sz w:val="24"/>
                <w:lang w:val="en-US" w:eastAsia="zh-CN"/>
              </w:rPr>
              <w:t>低</w:t>
            </w:r>
            <w:r>
              <w:rPr>
                <w:rFonts w:hint="eastAsia" w:ascii="Times New Roman" w:hAnsi="Times New Roman"/>
                <w:sz w:val="24"/>
              </w:rPr>
              <w:t>位</w:t>
            </w:r>
            <w:r>
              <w:rPr>
                <w:rFonts w:hint="eastAsia" w:ascii="Times New Roman" w:hAnsi="Times New Roman"/>
                <w:sz w:val="24"/>
                <w:lang w:val="en-US" w:eastAsia="zh-CN"/>
              </w:rPr>
              <w:t>电解液储罐</w:t>
            </w:r>
            <w:r>
              <w:rPr>
                <w:rFonts w:ascii="Times New Roman" w:hAnsi="Times New Roman"/>
                <w:sz w:val="24"/>
              </w:rPr>
              <w:t>5，</w:t>
            </w:r>
            <w:r>
              <w:rPr>
                <w:rFonts w:hint="eastAsia" w:ascii="Times New Roman" w:hAnsi="Times New Roman"/>
                <w:sz w:val="24"/>
                <w:lang w:val="en-US" w:eastAsia="zh-CN"/>
              </w:rPr>
              <w:t>提升泵</w:t>
            </w:r>
            <w:r>
              <w:rPr>
                <w:rFonts w:ascii="Times New Roman" w:hAnsi="Times New Roman"/>
                <w:sz w:val="24"/>
              </w:rPr>
              <w:t>6</w:t>
            </w:r>
            <w:r>
              <w:rPr>
                <w:rFonts w:hint="eastAsia" w:ascii="Times New Roman" w:hAnsi="Times New Roman"/>
                <w:sz w:val="24"/>
                <w:lang w:val="en-US" w:eastAsia="zh-CN"/>
              </w:rPr>
              <w:t>及相关配套管道</w:t>
            </w:r>
            <w:r>
              <w:rPr>
                <w:rFonts w:ascii="Times New Roman" w:hAnsi="Times New Roman"/>
                <w:sz w:val="24"/>
              </w:rPr>
              <w:t>。</w:t>
            </w:r>
          </w:p>
          <w:p>
            <w:pPr>
              <w:spacing w:line="400" w:lineRule="exact"/>
              <w:ind w:firstLine="480" w:firstLineChars="200"/>
              <w:rPr>
                <w:rFonts w:hint="eastAsia" w:ascii="Times New Roman" w:hAnsi="Times New Roman"/>
                <w:sz w:val="24"/>
                <w:lang w:val="en-US" w:eastAsia="zh-CN"/>
              </w:rPr>
            </w:pPr>
            <w:r>
              <w:rPr>
                <w:rFonts w:hint="eastAsia" w:ascii="Times New Roman" w:hAnsi="Times New Roman"/>
                <w:sz w:val="24"/>
                <w:lang w:val="en-US" w:eastAsia="zh-CN"/>
              </w:rPr>
              <w:t>上</w:t>
            </w:r>
            <w:r>
              <w:rPr>
                <w:rFonts w:ascii="Times New Roman" w:hAnsi="Times New Roman"/>
                <w:sz w:val="24"/>
              </w:rPr>
              <w:t>述</w:t>
            </w:r>
            <w:r>
              <w:rPr>
                <w:rFonts w:hint="eastAsia" w:ascii="Times New Roman" w:hAnsi="Times New Roman"/>
                <w:sz w:val="24"/>
                <w:lang w:val="en-US" w:eastAsia="zh-CN"/>
              </w:rPr>
              <w:t>电堆单元</w:t>
            </w:r>
            <w:r>
              <w:rPr>
                <w:rFonts w:ascii="Times New Roman" w:hAnsi="Times New Roman"/>
                <w:sz w:val="24"/>
              </w:rPr>
              <w:t>1，</w:t>
            </w:r>
            <w:r>
              <w:rPr>
                <w:rFonts w:hint="eastAsia" w:ascii="Times New Roman" w:hAnsi="Times New Roman"/>
                <w:sz w:val="24"/>
                <w:lang w:val="en-US" w:eastAsia="zh-CN"/>
              </w:rPr>
              <w:t>电池配套电解液储罐</w:t>
            </w:r>
            <w:r>
              <w:rPr>
                <w:rFonts w:ascii="Times New Roman" w:hAnsi="Times New Roman"/>
                <w:sz w:val="24"/>
              </w:rPr>
              <w:t>2，</w:t>
            </w:r>
            <w:r>
              <w:rPr>
                <w:rFonts w:hint="eastAsia" w:ascii="Times New Roman" w:hAnsi="Times New Roman"/>
                <w:sz w:val="24"/>
                <w:lang w:val="en-US" w:eastAsia="zh-CN"/>
              </w:rPr>
              <w:t>循环泵</w:t>
            </w:r>
            <w:r>
              <w:rPr>
                <w:rFonts w:ascii="Times New Roman" w:hAnsi="Times New Roman"/>
                <w:sz w:val="24"/>
              </w:rPr>
              <w:t>3</w:t>
            </w:r>
            <w:r>
              <w:rPr>
                <w:rFonts w:hint="eastAsia" w:ascii="Times New Roman" w:hAnsi="Times New Roman"/>
                <w:sz w:val="24"/>
                <w:lang w:val="en-US" w:eastAsia="zh-CN"/>
              </w:rPr>
              <w:t>均为液流储能系统原有设备，也是液流储能系统的关键设备，电堆单元1是液流电池电化学反应的核心部分‌，由多个电池单元（单体）组成，是由数十节进行氧化-还原反应从而实现充、放电过程的主要部件；</w:t>
            </w:r>
          </w:p>
          <w:p>
            <w:pPr>
              <w:spacing w:line="400" w:lineRule="exact"/>
              <w:ind w:firstLine="480" w:firstLineChars="200"/>
              <w:rPr>
                <w:rFonts w:hint="eastAsia" w:ascii="Times New Roman" w:hAnsi="Times New Roman"/>
                <w:sz w:val="24"/>
                <w:lang w:val="en-US" w:eastAsia="zh-CN"/>
              </w:rPr>
            </w:pPr>
            <w:r>
              <w:rPr>
                <w:rFonts w:hint="eastAsia" w:ascii="Times New Roman" w:hAnsi="Times New Roman"/>
                <w:sz w:val="24"/>
                <w:lang w:val="en-US" w:eastAsia="zh-CN"/>
              </w:rPr>
              <w:t>上述电池配套电解液储罐</w:t>
            </w:r>
            <w:r>
              <w:rPr>
                <w:rFonts w:ascii="Times New Roman" w:hAnsi="Times New Roman"/>
                <w:sz w:val="24"/>
              </w:rPr>
              <w:t>2</w:t>
            </w:r>
            <w:r>
              <w:rPr>
                <w:rFonts w:hint="eastAsia" w:ascii="Times New Roman" w:hAnsi="Times New Roman"/>
                <w:sz w:val="24"/>
                <w:lang w:val="en-US" w:eastAsia="zh-CN"/>
              </w:rPr>
              <w:t>用于储存电解液，由于液流电池是依靠正、负极电解质溶液活性物质发生可逆氧化还原反应（即价态的可逆变化）实现电能和化学能的相互转化的，因此经正负极的电解质溶液需单独存放。</w:t>
            </w:r>
          </w:p>
          <w:p>
            <w:pPr>
              <w:spacing w:line="400" w:lineRule="exact"/>
              <w:ind w:firstLine="480" w:firstLineChars="200"/>
              <w:rPr>
                <w:rFonts w:ascii="Times New Roman" w:hAnsi="Times New Roman"/>
                <w:sz w:val="24"/>
              </w:rPr>
            </w:pPr>
            <w:r>
              <w:rPr>
                <w:rFonts w:hint="eastAsia" w:ascii="Times New Roman" w:hAnsi="Times New Roman"/>
                <w:sz w:val="24"/>
                <w:lang w:val="en-US" w:eastAsia="zh-CN"/>
              </w:rPr>
              <w:t>上述循环泵</w:t>
            </w:r>
            <w:r>
              <w:rPr>
                <w:rFonts w:ascii="Times New Roman" w:hAnsi="Times New Roman"/>
                <w:sz w:val="24"/>
              </w:rPr>
              <w:t>3</w:t>
            </w:r>
            <w:r>
              <w:rPr>
                <w:rFonts w:hint="eastAsia" w:ascii="Times New Roman" w:hAnsi="Times New Roman"/>
                <w:sz w:val="24"/>
                <w:lang w:val="en-US" w:eastAsia="zh-CN"/>
              </w:rPr>
              <w:t>用于将电解液储罐</w:t>
            </w:r>
            <w:r>
              <w:rPr>
                <w:rFonts w:ascii="Times New Roman" w:hAnsi="Times New Roman"/>
                <w:sz w:val="24"/>
              </w:rPr>
              <w:t>2</w:t>
            </w:r>
            <w:r>
              <w:rPr>
                <w:rFonts w:hint="eastAsia" w:ascii="Times New Roman" w:hAnsi="Times New Roman"/>
                <w:sz w:val="24"/>
                <w:lang w:val="en-US" w:eastAsia="zh-CN"/>
              </w:rPr>
              <w:t>中的电解液的源源不断通过电堆单元</w:t>
            </w:r>
            <w:r>
              <w:rPr>
                <w:rFonts w:ascii="Times New Roman" w:hAnsi="Times New Roman"/>
                <w:sz w:val="24"/>
              </w:rPr>
              <w:t>1</w:t>
            </w:r>
            <w:r>
              <w:rPr>
                <w:rFonts w:hint="eastAsia" w:ascii="Times New Roman" w:hAnsi="Times New Roman"/>
                <w:sz w:val="24"/>
                <w:lang w:eastAsia="zh-CN"/>
              </w:rPr>
              <w:t>，</w:t>
            </w:r>
            <w:r>
              <w:rPr>
                <w:rFonts w:hint="eastAsia" w:ascii="Times New Roman" w:hAnsi="Times New Roman"/>
                <w:sz w:val="24"/>
                <w:lang w:val="en-US" w:eastAsia="zh-CN"/>
              </w:rPr>
              <w:t>以实现氧化还原反应，同时将参与反应后的电解液送回储罐进行存储</w:t>
            </w:r>
            <w:r>
              <w:rPr>
                <w:rFonts w:ascii="Times New Roman" w:hAnsi="Times New Roman"/>
                <w:sz w:val="24"/>
              </w:rPr>
              <w:t>。</w:t>
            </w:r>
          </w:p>
          <w:p>
            <w:pPr>
              <w:spacing w:line="400" w:lineRule="exact"/>
              <w:ind w:firstLine="480" w:firstLineChars="200"/>
              <w:rPr>
                <w:rFonts w:hint="default" w:ascii="Times New Roman" w:hAnsi="Times New Roman" w:eastAsia="宋体"/>
                <w:sz w:val="24"/>
                <w:lang w:val="en-US" w:eastAsia="zh-CN"/>
              </w:rPr>
            </w:pPr>
            <w:r>
              <w:rPr>
                <w:rFonts w:hint="eastAsia" w:ascii="Times New Roman" w:hAnsi="Times New Roman"/>
                <w:sz w:val="24"/>
                <w:lang w:val="en-US" w:eastAsia="zh-CN"/>
              </w:rPr>
              <w:t>上述</w:t>
            </w:r>
            <w:r>
              <w:rPr>
                <w:rFonts w:hint="eastAsia" w:ascii="Times New Roman" w:hAnsi="Times New Roman"/>
                <w:sz w:val="24"/>
              </w:rPr>
              <w:t>高位</w:t>
            </w:r>
            <w:r>
              <w:rPr>
                <w:rFonts w:hint="eastAsia" w:ascii="Times New Roman" w:hAnsi="Times New Roman"/>
                <w:sz w:val="24"/>
                <w:lang w:val="en-US" w:eastAsia="zh-CN"/>
              </w:rPr>
              <w:t>电解液储罐</w:t>
            </w:r>
            <w:r>
              <w:rPr>
                <w:rFonts w:ascii="Times New Roman" w:hAnsi="Times New Roman"/>
                <w:sz w:val="24"/>
              </w:rPr>
              <w:t>4</w:t>
            </w:r>
            <w:r>
              <w:rPr>
                <w:rFonts w:hint="eastAsia" w:ascii="Times New Roman" w:hAnsi="Times New Roman"/>
                <w:sz w:val="24"/>
                <w:lang w:val="en-US" w:eastAsia="zh-CN"/>
              </w:rPr>
              <w:t>与电解液储罐</w:t>
            </w:r>
            <w:r>
              <w:rPr>
                <w:rFonts w:ascii="Times New Roman" w:hAnsi="Times New Roman"/>
                <w:sz w:val="24"/>
              </w:rPr>
              <w:t>2</w:t>
            </w:r>
            <w:r>
              <w:rPr>
                <w:rFonts w:hint="eastAsia" w:ascii="Times New Roman" w:hAnsi="Times New Roman"/>
                <w:sz w:val="24"/>
                <w:lang w:val="en-US" w:eastAsia="zh-CN"/>
              </w:rPr>
              <w:t>的作用相同，是做为储存电解液的容器，所不同的是电解液储罐</w:t>
            </w:r>
            <w:r>
              <w:rPr>
                <w:rFonts w:ascii="Times New Roman" w:hAnsi="Times New Roman"/>
                <w:sz w:val="24"/>
              </w:rPr>
              <w:t>4</w:t>
            </w:r>
            <w:r>
              <w:rPr>
                <w:rFonts w:hint="eastAsia" w:ascii="Times New Roman" w:hAnsi="Times New Roman"/>
                <w:sz w:val="24"/>
                <w:lang w:val="en-US" w:eastAsia="zh-CN"/>
              </w:rPr>
              <w:t>存储是的充电完成后的电解液，并且布置于高处，参与调频完成后，储罐内的电解液需返回其之前的电池系统中，重新充电</w:t>
            </w:r>
            <w:r>
              <w:rPr>
                <w:rFonts w:ascii="Times New Roman" w:hAnsi="Times New Roman"/>
                <w:sz w:val="24"/>
              </w:rPr>
              <w:t>。</w:t>
            </w:r>
            <w:r>
              <w:rPr>
                <w:rFonts w:hint="eastAsia" w:ascii="Times New Roman" w:hAnsi="Times New Roman"/>
                <w:sz w:val="24"/>
                <w:lang w:val="en-US" w:eastAsia="zh-CN"/>
              </w:rPr>
              <w:t>储罐4管道需与全部电池系统电堆连接。</w:t>
            </w:r>
          </w:p>
          <w:p>
            <w:pPr>
              <w:spacing w:line="400" w:lineRule="exact"/>
              <w:ind w:firstLine="480" w:firstLineChars="200"/>
              <w:rPr>
                <w:rFonts w:ascii="Times New Roman" w:hAnsi="Times New Roman"/>
                <w:sz w:val="24"/>
              </w:rPr>
            </w:pPr>
            <w:r>
              <w:rPr>
                <w:rFonts w:hint="eastAsia" w:ascii="Times New Roman" w:hAnsi="Times New Roman"/>
                <w:sz w:val="24"/>
                <w:lang w:val="en-US" w:eastAsia="zh-CN"/>
              </w:rPr>
              <w:t>上述低</w:t>
            </w:r>
            <w:r>
              <w:rPr>
                <w:rFonts w:hint="eastAsia" w:ascii="Times New Roman" w:hAnsi="Times New Roman"/>
                <w:sz w:val="24"/>
              </w:rPr>
              <w:t>位</w:t>
            </w:r>
            <w:r>
              <w:rPr>
                <w:rFonts w:hint="eastAsia" w:ascii="Times New Roman" w:hAnsi="Times New Roman"/>
                <w:sz w:val="24"/>
                <w:lang w:val="en-US" w:eastAsia="zh-CN"/>
              </w:rPr>
              <w:t>电解液储罐5与电解液储罐</w:t>
            </w:r>
            <w:r>
              <w:rPr>
                <w:rFonts w:ascii="Times New Roman" w:hAnsi="Times New Roman"/>
                <w:sz w:val="24"/>
              </w:rPr>
              <w:t>2</w:t>
            </w:r>
            <w:r>
              <w:rPr>
                <w:rFonts w:hint="eastAsia" w:ascii="Times New Roman" w:hAnsi="Times New Roman"/>
                <w:sz w:val="24"/>
                <w:lang w:val="en-US" w:eastAsia="zh-CN"/>
              </w:rPr>
              <w:t>的作用相同，是做为储存电解液的容器，主要目的是将储罐4中流经电堆单元1后的电解液收集起来</w:t>
            </w:r>
            <w:r>
              <w:rPr>
                <w:rFonts w:ascii="Times New Roman" w:hAnsi="Times New Roman"/>
                <w:sz w:val="24"/>
              </w:rPr>
              <w:t>。</w:t>
            </w:r>
            <w:r>
              <w:rPr>
                <w:rFonts w:hint="eastAsia" w:ascii="Times New Roman" w:hAnsi="Times New Roman"/>
                <w:sz w:val="24"/>
                <w:lang w:val="en-US" w:eastAsia="zh-CN"/>
              </w:rPr>
              <w:t>储罐5管道需与全部电池系统电堆连接。</w:t>
            </w:r>
          </w:p>
          <w:p>
            <w:pPr>
              <w:spacing w:line="400" w:lineRule="exact"/>
              <w:ind w:firstLine="480" w:firstLineChars="200"/>
              <w:rPr>
                <w:rFonts w:ascii="Times New Roman" w:hAnsi="Times New Roman"/>
                <w:sz w:val="24"/>
              </w:rPr>
            </w:pPr>
            <w:r>
              <w:rPr>
                <w:rFonts w:hint="eastAsia" w:ascii="Times New Roman" w:hAnsi="Times New Roman"/>
                <w:sz w:val="24"/>
                <w:lang w:val="en-US" w:eastAsia="zh-CN"/>
              </w:rPr>
              <w:t>上述提升泵</w:t>
            </w:r>
            <w:r>
              <w:rPr>
                <w:rFonts w:ascii="Times New Roman" w:hAnsi="Times New Roman"/>
                <w:sz w:val="24"/>
              </w:rPr>
              <w:t>6</w:t>
            </w:r>
            <w:r>
              <w:rPr>
                <w:rFonts w:hint="eastAsia" w:ascii="Times New Roman" w:hAnsi="Times New Roman"/>
                <w:sz w:val="24"/>
                <w:lang w:val="en-US" w:eastAsia="zh-CN"/>
              </w:rPr>
              <w:t>将低位储罐内的电解液重新提升至高位储罐，并再次参与循环工作</w:t>
            </w:r>
            <w:r>
              <w:rPr>
                <w:rFonts w:ascii="Times New Roman" w:hAnsi="Times New Roman"/>
                <w:sz w:val="24"/>
              </w:rPr>
              <w:t>。</w:t>
            </w:r>
          </w:p>
          <w:p>
            <w:pPr>
              <w:pStyle w:val="10"/>
              <w:spacing w:line="400" w:lineRule="exact"/>
              <w:ind w:left="2" w:firstLine="480" w:firstLineChars="20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sz w:val="24"/>
                <w:lang w:val="en-US" w:eastAsia="zh-CN"/>
              </w:rPr>
              <w:t>本</w:t>
            </w:r>
            <w:r>
              <w:rPr>
                <w:rFonts w:hint="eastAsia" w:ascii="Times New Roman" w:hAnsi="Times New Roman" w:eastAsia="宋体" w:cs="Times New Roman"/>
                <w:kern w:val="2"/>
                <w:sz w:val="24"/>
                <w:szCs w:val="24"/>
                <w:lang w:val="en-US" w:eastAsia="zh-CN" w:bidi="ar-SA"/>
              </w:rPr>
              <w:t>系统操作逻辑如图2所示，说明如下：</w:t>
            </w:r>
          </w:p>
          <w:p>
            <w:pPr>
              <w:spacing w:line="400" w:lineRule="exact"/>
              <w:ind w:firstLine="480" w:firstLineChars="20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S1：系统内所有电池单元独立运行充电；</w:t>
            </w:r>
          </w:p>
          <w:p>
            <w:pPr>
              <w:spacing w:line="400" w:lineRule="exact"/>
              <w:ind w:firstLine="480" w:firstLineChars="20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S2：控制系统检测电池单元正负极储罐内SOC是否接近一致，当不一致时，需对单体电池系统进行调整，使其与系统内其余电池系统接近一致；</w:t>
            </w:r>
          </w:p>
          <w:p>
            <w:pPr>
              <w:spacing w:line="400" w:lineRule="exact"/>
              <w:ind w:firstLine="480" w:firstLineChars="20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S3：关闭除公用电池系统外各电池系统循环泵及循环系统上的阀门1和阀门2；</w:t>
            </w:r>
          </w:p>
          <w:p>
            <w:pPr>
              <w:spacing w:line="400" w:lineRule="exact"/>
              <w:ind w:firstLine="480" w:firstLineChars="20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S4：打开公用电池系统阀门3，启动提升泵，将公用电池系统储罐内电解液提升至高位储罐；</w:t>
            </w:r>
          </w:p>
          <w:p>
            <w:pPr>
              <w:spacing w:line="400" w:lineRule="exact"/>
              <w:ind w:firstLine="480" w:firstLineChars="200"/>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S5：当高位储罐内液位达到一高度后，打开阀门4、阀门5、阀门6，使高位储罐内的电解液利用重力势能压入电堆单元1中，通过电堆单元1后回流至低位储罐5；同时关闭公用电池系统中的阀门1、阀门2；</w:t>
            </w:r>
          </w:p>
          <w:p>
            <w:pPr>
              <w:spacing w:line="400" w:lineRule="exact"/>
              <w:ind w:firstLine="480" w:firstLineChars="20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S6:：当低位储罐内液位达到一高度后，打开阀门7和提升泵6，将电解液提升回高位储罐；</w:t>
            </w:r>
          </w:p>
          <w:p>
            <w:pPr>
              <w:spacing w:line="400" w:lineRule="exact"/>
              <w:ind w:firstLine="480" w:firstLineChars="200"/>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在无调频、调峰、放电指令下达前，上述操作逻辑循环反复。当调频、调峰、放电指令下达时，操作如下：</w:t>
            </w:r>
          </w:p>
          <w:p>
            <w:pPr>
              <w:spacing w:line="400" w:lineRule="exact"/>
              <w:ind w:firstLine="480" w:firstLineChars="20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S7：逆变器根据指令启动放电；</w:t>
            </w:r>
          </w:p>
          <w:p>
            <w:pPr>
              <w:spacing w:line="400" w:lineRule="exact"/>
              <w:ind w:firstLine="480" w:firstLineChars="20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S8：除公用电池系统外各电池循环泵憋压启动至出口压力满足要求。</w:t>
            </w:r>
          </w:p>
          <w:p>
            <w:pPr>
              <w:spacing w:line="400" w:lineRule="exact"/>
              <w:ind w:firstLine="480" w:firstLineChars="20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S9：打开除公用电池系统外各电池循环系统上的阀门1、阀门2，同时将除公用电池系统外的阀门5、阀门6关闭，各电池系统实现自循环。</w:t>
            </w:r>
          </w:p>
          <w:p>
            <w:pPr>
              <w:spacing w:line="400" w:lineRule="exact"/>
              <w:ind w:firstLine="480" w:firstLineChars="20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S10：关闭公用电池系统阀门3、阀门6，打开公用电池系统阀门2，使高位电解液储罐内电解液回流至公用电池系统电解液箱。</w:t>
            </w:r>
          </w:p>
          <w:p>
            <w:pPr>
              <w:spacing w:line="400" w:lineRule="exact"/>
              <w:ind w:firstLine="480" w:firstLineChars="20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S11：低位电解液箱储罐电解液放空后关闭提升压泵及阀7。</w:t>
            </w:r>
          </w:p>
          <w:p>
            <w:pPr>
              <w:spacing w:line="400" w:lineRule="exact"/>
              <w:ind w:firstLine="480" w:firstLineChars="20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S12：高位电解液箱储罐电解液放空后，公用电池系统循环泵憋压启动至出口压力满足要求；</w:t>
            </w:r>
          </w:p>
          <w:p>
            <w:pPr>
              <w:spacing w:line="400" w:lineRule="exact"/>
              <w:ind w:firstLine="480" w:firstLineChars="20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S13：打开公用电池系统上的阀门1、同时关闭公用电池系统上阀门5、关闭阀门4，使用公用电池系统实现自循环。</w:t>
            </w:r>
          </w:p>
          <w:p>
            <w:pPr>
              <w:spacing w:line="400" w:lineRule="exact"/>
              <w:ind w:firstLine="480" w:firstLineChars="200"/>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S14：各电池系统按指令要求放电至停止。</w:t>
            </w:r>
          </w:p>
          <w:p>
            <w:pPr>
              <w:spacing w:line="400" w:lineRule="exact"/>
              <w:ind w:firstLine="480" w:firstLineChars="20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S15：各电池系统按指令进行充电。回到S1等待下一次循环。</w:t>
            </w:r>
          </w:p>
          <w:p>
            <w:pPr>
              <w:numPr>
                <w:ilvl w:val="0"/>
                <w:numId w:val="1"/>
              </w:numPr>
              <w:rPr>
                <w:rFonts w:ascii="Times New Roman" w:hAnsi="Times New Roman"/>
                <w:b/>
                <w:sz w:val="28"/>
                <w:szCs w:val="28"/>
              </w:rPr>
            </w:pPr>
            <w:r>
              <w:rPr>
                <w:rFonts w:ascii="Times New Roman" w:hAnsi="Times New Roman"/>
                <w:b/>
                <w:sz w:val="28"/>
                <w:szCs w:val="28"/>
              </w:rPr>
              <w:t>成果效益</w:t>
            </w:r>
          </w:p>
          <w:p>
            <w:pPr>
              <w:pStyle w:val="16"/>
              <w:spacing w:beforeLines="0" w:line="360" w:lineRule="auto"/>
              <w:ind w:firstLine="560"/>
              <w:rPr>
                <w:rFonts w:ascii="Times New Roman" w:hAnsi="Times New Roman" w:eastAsia="宋体"/>
                <w:sz w:val="30"/>
                <w:szCs w:val="30"/>
              </w:rPr>
            </w:pPr>
            <w:r>
              <w:rPr>
                <w:rFonts w:hint="eastAsia" w:ascii="Times New Roman" w:hAnsi="Times New Roman" w:eastAsia="宋体"/>
                <w:color w:val="auto"/>
                <w:sz w:val="24"/>
              </w:rPr>
              <w:t>本发明运行</w:t>
            </w:r>
            <w:r>
              <w:rPr>
                <w:rFonts w:hint="eastAsia" w:ascii="Times New Roman" w:hAnsi="Times New Roman" w:eastAsia="宋体"/>
                <w:color w:val="auto"/>
                <w:sz w:val="24"/>
                <w:lang w:val="en-US" w:eastAsia="zh-CN"/>
              </w:rPr>
              <w:t>略微复杂，但</w:t>
            </w:r>
            <w:r>
              <w:rPr>
                <w:rFonts w:hint="eastAsia" w:ascii="Times New Roman" w:hAnsi="Times New Roman" w:eastAsia="宋体"/>
                <w:color w:val="auto"/>
                <w:sz w:val="24"/>
              </w:rPr>
              <w:t>运行过程</w:t>
            </w:r>
            <w:r>
              <w:rPr>
                <w:rFonts w:hint="eastAsia" w:ascii="Times New Roman" w:hAnsi="Times New Roman" w:eastAsia="宋体"/>
                <w:color w:val="auto"/>
                <w:sz w:val="24"/>
                <w:lang w:val="en-US" w:eastAsia="zh-CN"/>
              </w:rPr>
              <w:t>中可保证电堆内充满电解液，同时可保证电解液的更新，在无需调频、调峰及放电需求时，可关闭各自池系统的循环泵，可以减少电能损耗</w:t>
            </w:r>
            <w:r>
              <w:rPr>
                <w:rFonts w:hint="eastAsia" w:ascii="Times New Roman" w:hAnsi="Times New Roman" w:eastAsia="宋体"/>
                <w:color w:val="auto"/>
                <w:sz w:val="24"/>
              </w:rPr>
              <w:t>，</w:t>
            </w:r>
            <w:r>
              <w:rPr>
                <w:rFonts w:hint="eastAsia" w:ascii="Times New Roman" w:hAnsi="Times New Roman" w:eastAsia="宋体"/>
                <w:color w:val="auto"/>
                <w:sz w:val="24"/>
                <w:lang w:val="en-US" w:eastAsia="zh-CN"/>
              </w:rPr>
              <w:t>提高了液流电池系统应对电网调峰、调频响应时间需求的能力</w:t>
            </w:r>
            <w:r>
              <w:rPr>
                <w:rFonts w:hint="eastAsia" w:ascii="Times New Roman" w:hAnsi="Times New Roman" w:eastAsia="宋体"/>
                <w:color w:val="auto"/>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tcPr>
          <w:p>
            <w:pPr>
              <w:numPr>
                <w:ilvl w:val="0"/>
                <w:numId w:val="1"/>
              </w:numPr>
              <w:rPr>
                <w:rFonts w:ascii="Times New Roman" w:hAnsi="Times New Roman"/>
                <w:b/>
                <w:sz w:val="30"/>
                <w:szCs w:val="30"/>
              </w:rPr>
            </w:pPr>
            <w:r>
              <w:rPr>
                <w:rFonts w:ascii="Times New Roman" w:hAnsi="Times New Roman"/>
                <w:b/>
                <w:sz w:val="30"/>
                <w:szCs w:val="30"/>
              </w:rPr>
              <w:t>附图及说明</w:t>
            </w:r>
          </w:p>
          <w:p>
            <w:pPr>
              <w:pStyle w:val="2"/>
              <w:ind w:left="0" w:leftChars="0" w:firstLine="0" w:firstLineChars="0"/>
              <w:rPr>
                <w:rFonts w:ascii="Times New Roman" w:hAnsi="Times New Roman" w:cs="Times New Roman"/>
              </w:rPr>
            </w:pPr>
            <w:r>
              <w:drawing>
                <wp:inline distT="0" distB="0" distL="114300" distR="114300">
                  <wp:extent cx="8242935" cy="4979670"/>
                  <wp:effectExtent l="0" t="0" r="1143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rot="16200000">
                            <a:off x="0" y="0"/>
                            <a:ext cx="8242935" cy="4979670"/>
                          </a:xfrm>
                          <a:prstGeom prst="rect">
                            <a:avLst/>
                          </a:prstGeom>
                          <a:noFill/>
                          <a:ln>
                            <a:noFill/>
                          </a:ln>
                        </pic:spPr>
                      </pic:pic>
                    </a:graphicData>
                  </a:graphic>
                </wp:inline>
              </w:drawing>
            </w:r>
          </w:p>
          <w:p>
            <w:pPr>
              <w:spacing w:before="60"/>
              <w:jc w:val="center"/>
              <w:rPr>
                <w:rFonts w:ascii="Times New Roman" w:hAnsi="Times New Roman"/>
                <w:sz w:val="24"/>
              </w:rPr>
            </w:pPr>
            <w:r>
              <w:rPr>
                <w:rFonts w:ascii="Times New Roman" w:hAnsi="Times New Roman"/>
                <w:sz w:val="24"/>
              </w:rPr>
              <w:t>图1 系统原理图</w:t>
            </w:r>
          </w:p>
          <w:p>
            <w:pPr>
              <w:pStyle w:val="2"/>
              <w:ind w:left="840" w:hanging="420"/>
              <w:jc w:val="center"/>
              <w:rPr>
                <w:rFonts w:ascii="Times New Roman" w:hAnsi="Times New Roman" w:cs="Times New Roman"/>
              </w:rPr>
            </w:pPr>
            <w:r>
              <w:drawing>
                <wp:inline distT="0" distB="0" distL="114300" distR="114300">
                  <wp:extent cx="2396490" cy="7474585"/>
                  <wp:effectExtent l="0" t="0" r="3810" b="1206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6"/>
                          <a:stretch>
                            <a:fillRect/>
                          </a:stretch>
                        </pic:blipFill>
                        <pic:spPr>
                          <a:xfrm>
                            <a:off x="0" y="0"/>
                            <a:ext cx="2396490" cy="7474585"/>
                          </a:xfrm>
                          <a:prstGeom prst="rect">
                            <a:avLst/>
                          </a:prstGeom>
                          <a:noFill/>
                          <a:ln>
                            <a:noFill/>
                          </a:ln>
                        </pic:spPr>
                      </pic:pic>
                    </a:graphicData>
                  </a:graphic>
                </wp:inline>
              </w:drawing>
            </w:r>
          </w:p>
          <w:p>
            <w:pPr>
              <w:spacing w:before="60"/>
              <w:jc w:val="center"/>
              <w:rPr>
                <w:rFonts w:ascii="Times New Roman" w:hAnsi="Times New Roman"/>
                <w:sz w:val="24"/>
              </w:rPr>
            </w:pPr>
            <w:r>
              <w:rPr>
                <w:rFonts w:ascii="Times New Roman" w:hAnsi="Times New Roman"/>
                <w:sz w:val="24"/>
              </w:rPr>
              <w:t>图2  控制逻辑图</w:t>
            </w:r>
          </w:p>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tcPr>
          <w:p>
            <w:pPr>
              <w:rPr>
                <w:rFonts w:ascii="Times New Roman" w:hAnsi="Times New Roman"/>
                <w:b/>
                <w:sz w:val="30"/>
                <w:szCs w:val="30"/>
              </w:rPr>
            </w:pPr>
            <w:r>
              <w:rPr>
                <w:rFonts w:ascii="Times New Roman" w:hAnsi="Times New Roman"/>
                <w:b/>
                <w:sz w:val="30"/>
                <w:szCs w:val="30"/>
              </w:rPr>
              <w:t>如有请提供CAD原图，另附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tcPr>
          <w:p>
            <w:pPr>
              <w:rPr>
                <w:rFonts w:ascii="Times New Roman" w:hAnsi="Times New Roman"/>
                <w:sz w:val="30"/>
                <w:szCs w:val="30"/>
              </w:rPr>
            </w:pPr>
            <w:r>
              <w:rPr>
                <w:rFonts w:ascii="Times New Roman" w:hAnsi="Times New Roman"/>
                <w:sz w:val="30"/>
                <w:szCs w:val="30"/>
              </w:rPr>
              <w:t>企业技术中心意见</w:t>
            </w:r>
            <w:bookmarkStart w:id="0" w:name="_GoBack"/>
            <w:bookmarkEnd w:id="0"/>
          </w:p>
          <w:p>
            <w:pPr>
              <w:pStyle w:val="2"/>
              <w:ind w:left="264" w:leftChars="31" w:hanging="199" w:hangingChars="95"/>
              <w:rPr>
                <w:rFonts w:ascii="Times New Roman" w:hAnsi="Times New Roman" w:cs="Times New Roman"/>
              </w:rPr>
            </w:pPr>
          </w:p>
          <w:p>
            <w:pPr>
              <w:rPr>
                <w:rFonts w:ascii="Times New Roman" w:hAnsi="Times New Roman"/>
              </w:rPr>
            </w:pPr>
          </w:p>
          <w:p>
            <w:pPr>
              <w:pStyle w:val="2"/>
              <w:ind w:left="840" w:hanging="420"/>
              <w:rPr>
                <w:rFonts w:ascii="Times New Roman" w:hAnsi="Times New Roman" w:cs="Times New Roman"/>
              </w:rPr>
            </w:pPr>
          </w:p>
        </w:tc>
      </w:tr>
    </w:tbl>
    <w:p>
      <w:pPr>
        <w:rPr>
          <w:rFonts w:ascii="Times New Roman" w:hAnsi="Times New Roman"/>
          <w:sz w:val="30"/>
          <w:szCs w:val="30"/>
        </w:rPr>
      </w:pP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8"/>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楷体_GB2312">
    <w:altName w:val="楷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drawing>
        <wp:anchor distT="0" distB="0" distL="114300" distR="114300" simplePos="0" relativeHeight="251659264" behindDoc="1" locked="0" layoutInCell="1" allowOverlap="1">
          <wp:simplePos x="0" y="0"/>
          <wp:positionH relativeFrom="column">
            <wp:posOffset>-57150</wp:posOffset>
          </wp:positionH>
          <wp:positionV relativeFrom="paragraph">
            <wp:posOffset>-268605</wp:posOffset>
          </wp:positionV>
          <wp:extent cx="3819525" cy="581025"/>
          <wp:effectExtent l="0" t="0" r="0" b="0"/>
          <wp:wrapNone/>
          <wp:docPr id="1" name="图片 3" descr="科扬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科扬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819525" cy="5810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7"/>
    <w:multiLevelType w:val="singleLevel"/>
    <w:tmpl w:val="0000000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c1NDcwM2JhZjAwNzU3NjBhMzg0NmM2MWJhYWU0NzgifQ=="/>
    <w:docVar w:name="KSO_WPS_MARK_KEY" w:val="0ed9fb3b-8c91-4e26-855d-f66d08585b66"/>
  </w:docVars>
  <w:rsids>
    <w:rsidRoot w:val="00172A27"/>
    <w:rsid w:val="00002728"/>
    <w:rsid w:val="00020690"/>
    <w:rsid w:val="0002592D"/>
    <w:rsid w:val="00031205"/>
    <w:rsid w:val="00036C8E"/>
    <w:rsid w:val="00037067"/>
    <w:rsid w:val="00042CE8"/>
    <w:rsid w:val="00077C13"/>
    <w:rsid w:val="0008329C"/>
    <w:rsid w:val="000A4DF5"/>
    <w:rsid w:val="000C4126"/>
    <w:rsid w:val="000D0E9C"/>
    <w:rsid w:val="000D321E"/>
    <w:rsid w:val="000D4444"/>
    <w:rsid w:val="000E34DE"/>
    <w:rsid w:val="000E3EAF"/>
    <w:rsid w:val="000F3F92"/>
    <w:rsid w:val="000F6483"/>
    <w:rsid w:val="000F76D9"/>
    <w:rsid w:val="00126F7E"/>
    <w:rsid w:val="001272F3"/>
    <w:rsid w:val="0013401D"/>
    <w:rsid w:val="001458BB"/>
    <w:rsid w:val="00172A27"/>
    <w:rsid w:val="0017565C"/>
    <w:rsid w:val="00193E12"/>
    <w:rsid w:val="001B24E4"/>
    <w:rsid w:val="001B7F87"/>
    <w:rsid w:val="001E5C80"/>
    <w:rsid w:val="001F48BD"/>
    <w:rsid w:val="001F7B1D"/>
    <w:rsid w:val="00200ADF"/>
    <w:rsid w:val="00202D43"/>
    <w:rsid w:val="00212C2B"/>
    <w:rsid w:val="00215AA4"/>
    <w:rsid w:val="00247618"/>
    <w:rsid w:val="00260A1C"/>
    <w:rsid w:val="002635F8"/>
    <w:rsid w:val="00276402"/>
    <w:rsid w:val="00277256"/>
    <w:rsid w:val="00281ED1"/>
    <w:rsid w:val="00283AAA"/>
    <w:rsid w:val="002862BB"/>
    <w:rsid w:val="002A2AFE"/>
    <w:rsid w:val="002C2C58"/>
    <w:rsid w:val="002E2232"/>
    <w:rsid w:val="00316F56"/>
    <w:rsid w:val="00320775"/>
    <w:rsid w:val="00333E53"/>
    <w:rsid w:val="00335093"/>
    <w:rsid w:val="00337D47"/>
    <w:rsid w:val="00340365"/>
    <w:rsid w:val="003502E2"/>
    <w:rsid w:val="003543DA"/>
    <w:rsid w:val="003803C5"/>
    <w:rsid w:val="003B7249"/>
    <w:rsid w:val="003E20F0"/>
    <w:rsid w:val="003E4B52"/>
    <w:rsid w:val="003E6B65"/>
    <w:rsid w:val="003F02B2"/>
    <w:rsid w:val="0040311C"/>
    <w:rsid w:val="00403828"/>
    <w:rsid w:val="00430D1D"/>
    <w:rsid w:val="00451E0B"/>
    <w:rsid w:val="004711D8"/>
    <w:rsid w:val="00497AB6"/>
    <w:rsid w:val="004B1FDA"/>
    <w:rsid w:val="004C0A62"/>
    <w:rsid w:val="004C5CC8"/>
    <w:rsid w:val="004E3ACD"/>
    <w:rsid w:val="0050224D"/>
    <w:rsid w:val="00554BA7"/>
    <w:rsid w:val="005627E9"/>
    <w:rsid w:val="00567FA8"/>
    <w:rsid w:val="00580AC8"/>
    <w:rsid w:val="005A7342"/>
    <w:rsid w:val="005F2988"/>
    <w:rsid w:val="005F65CD"/>
    <w:rsid w:val="006012A8"/>
    <w:rsid w:val="00614CDC"/>
    <w:rsid w:val="00622F4E"/>
    <w:rsid w:val="00630616"/>
    <w:rsid w:val="0063086F"/>
    <w:rsid w:val="00632ADB"/>
    <w:rsid w:val="00655E0D"/>
    <w:rsid w:val="00687B0D"/>
    <w:rsid w:val="00687C08"/>
    <w:rsid w:val="00696F2D"/>
    <w:rsid w:val="006A7510"/>
    <w:rsid w:val="006B0925"/>
    <w:rsid w:val="006C7BA4"/>
    <w:rsid w:val="006D4F77"/>
    <w:rsid w:val="006D5423"/>
    <w:rsid w:val="006D7C20"/>
    <w:rsid w:val="006F2748"/>
    <w:rsid w:val="007149D1"/>
    <w:rsid w:val="00740CE7"/>
    <w:rsid w:val="00744886"/>
    <w:rsid w:val="00761B5B"/>
    <w:rsid w:val="007778A1"/>
    <w:rsid w:val="0078211A"/>
    <w:rsid w:val="00786F43"/>
    <w:rsid w:val="00797234"/>
    <w:rsid w:val="007B1E06"/>
    <w:rsid w:val="007C2792"/>
    <w:rsid w:val="007C7932"/>
    <w:rsid w:val="007D2133"/>
    <w:rsid w:val="007D5E77"/>
    <w:rsid w:val="007F38E3"/>
    <w:rsid w:val="00811583"/>
    <w:rsid w:val="0081565D"/>
    <w:rsid w:val="008216DB"/>
    <w:rsid w:val="008308D0"/>
    <w:rsid w:val="0083191C"/>
    <w:rsid w:val="00866CE8"/>
    <w:rsid w:val="00886002"/>
    <w:rsid w:val="0089540A"/>
    <w:rsid w:val="008A6CB3"/>
    <w:rsid w:val="008D0AC1"/>
    <w:rsid w:val="008D19A0"/>
    <w:rsid w:val="008D69D1"/>
    <w:rsid w:val="008E5517"/>
    <w:rsid w:val="008F1BAA"/>
    <w:rsid w:val="008F29D8"/>
    <w:rsid w:val="009150AD"/>
    <w:rsid w:val="00944A5A"/>
    <w:rsid w:val="00967FAA"/>
    <w:rsid w:val="009731DA"/>
    <w:rsid w:val="00983933"/>
    <w:rsid w:val="00995EEF"/>
    <w:rsid w:val="00996360"/>
    <w:rsid w:val="009A3C7D"/>
    <w:rsid w:val="009B0388"/>
    <w:rsid w:val="009D4449"/>
    <w:rsid w:val="009E32B9"/>
    <w:rsid w:val="009E496B"/>
    <w:rsid w:val="009E5964"/>
    <w:rsid w:val="009F0BB9"/>
    <w:rsid w:val="00A03A92"/>
    <w:rsid w:val="00A0476D"/>
    <w:rsid w:val="00A054D9"/>
    <w:rsid w:val="00A05CBA"/>
    <w:rsid w:val="00A22DF5"/>
    <w:rsid w:val="00A24AEA"/>
    <w:rsid w:val="00A414AB"/>
    <w:rsid w:val="00A435AE"/>
    <w:rsid w:val="00A45512"/>
    <w:rsid w:val="00A564A4"/>
    <w:rsid w:val="00A847B2"/>
    <w:rsid w:val="00A87FDE"/>
    <w:rsid w:val="00A97015"/>
    <w:rsid w:val="00AC193D"/>
    <w:rsid w:val="00AC4014"/>
    <w:rsid w:val="00AC4468"/>
    <w:rsid w:val="00AC58CF"/>
    <w:rsid w:val="00AF1E6C"/>
    <w:rsid w:val="00B06F9B"/>
    <w:rsid w:val="00B26743"/>
    <w:rsid w:val="00B27C07"/>
    <w:rsid w:val="00B37FB7"/>
    <w:rsid w:val="00B46AFD"/>
    <w:rsid w:val="00B57050"/>
    <w:rsid w:val="00B678C0"/>
    <w:rsid w:val="00B76408"/>
    <w:rsid w:val="00B8157A"/>
    <w:rsid w:val="00B94469"/>
    <w:rsid w:val="00BA22E1"/>
    <w:rsid w:val="00BE7B52"/>
    <w:rsid w:val="00BF01D0"/>
    <w:rsid w:val="00BF4A17"/>
    <w:rsid w:val="00C26A0F"/>
    <w:rsid w:val="00C30397"/>
    <w:rsid w:val="00C460E2"/>
    <w:rsid w:val="00C72432"/>
    <w:rsid w:val="00C852DB"/>
    <w:rsid w:val="00C93180"/>
    <w:rsid w:val="00C954C2"/>
    <w:rsid w:val="00CA06CE"/>
    <w:rsid w:val="00CA62D4"/>
    <w:rsid w:val="00CA6AB5"/>
    <w:rsid w:val="00CD781C"/>
    <w:rsid w:val="00CF2287"/>
    <w:rsid w:val="00CF31C5"/>
    <w:rsid w:val="00D11296"/>
    <w:rsid w:val="00D316C5"/>
    <w:rsid w:val="00D457FF"/>
    <w:rsid w:val="00D46109"/>
    <w:rsid w:val="00D60683"/>
    <w:rsid w:val="00D60812"/>
    <w:rsid w:val="00D641F8"/>
    <w:rsid w:val="00D7622F"/>
    <w:rsid w:val="00D856A0"/>
    <w:rsid w:val="00D97F0C"/>
    <w:rsid w:val="00DA4073"/>
    <w:rsid w:val="00DA4FFE"/>
    <w:rsid w:val="00DB68FF"/>
    <w:rsid w:val="00DC3B76"/>
    <w:rsid w:val="00DC7D98"/>
    <w:rsid w:val="00DD30CA"/>
    <w:rsid w:val="00DD41AD"/>
    <w:rsid w:val="00DF2BD1"/>
    <w:rsid w:val="00E15377"/>
    <w:rsid w:val="00E201E3"/>
    <w:rsid w:val="00E2048B"/>
    <w:rsid w:val="00E22079"/>
    <w:rsid w:val="00E22EC7"/>
    <w:rsid w:val="00E279EA"/>
    <w:rsid w:val="00E27E2B"/>
    <w:rsid w:val="00E64E63"/>
    <w:rsid w:val="00E80370"/>
    <w:rsid w:val="00E80B07"/>
    <w:rsid w:val="00EB0567"/>
    <w:rsid w:val="00EB1CA4"/>
    <w:rsid w:val="00EC2336"/>
    <w:rsid w:val="00EE257B"/>
    <w:rsid w:val="00EE63E8"/>
    <w:rsid w:val="00EF78DC"/>
    <w:rsid w:val="00F003D4"/>
    <w:rsid w:val="00F1228C"/>
    <w:rsid w:val="00F24D3B"/>
    <w:rsid w:val="00F27309"/>
    <w:rsid w:val="00F4177E"/>
    <w:rsid w:val="00F543E1"/>
    <w:rsid w:val="00FA10DC"/>
    <w:rsid w:val="00FA4E2C"/>
    <w:rsid w:val="00FA4EF8"/>
    <w:rsid w:val="00FB57B7"/>
    <w:rsid w:val="00FC5359"/>
    <w:rsid w:val="00FD4866"/>
    <w:rsid w:val="00FF6558"/>
    <w:rsid w:val="01334FF5"/>
    <w:rsid w:val="01395B63"/>
    <w:rsid w:val="017541F6"/>
    <w:rsid w:val="02195B41"/>
    <w:rsid w:val="024261A6"/>
    <w:rsid w:val="02C1356F"/>
    <w:rsid w:val="02D2752A"/>
    <w:rsid w:val="031F7A1F"/>
    <w:rsid w:val="03273D57"/>
    <w:rsid w:val="03516FED"/>
    <w:rsid w:val="03AA7B5F"/>
    <w:rsid w:val="03B7227C"/>
    <w:rsid w:val="03C37091"/>
    <w:rsid w:val="040B1AFA"/>
    <w:rsid w:val="044C330C"/>
    <w:rsid w:val="046B3792"/>
    <w:rsid w:val="049C7DEF"/>
    <w:rsid w:val="04A62A1C"/>
    <w:rsid w:val="04E67C8F"/>
    <w:rsid w:val="04ED23F9"/>
    <w:rsid w:val="050D4849"/>
    <w:rsid w:val="061B2F96"/>
    <w:rsid w:val="064767C4"/>
    <w:rsid w:val="072132C6"/>
    <w:rsid w:val="07F76F2E"/>
    <w:rsid w:val="08FF6B9F"/>
    <w:rsid w:val="09146912"/>
    <w:rsid w:val="093F0D49"/>
    <w:rsid w:val="094C3466"/>
    <w:rsid w:val="09911702"/>
    <w:rsid w:val="09B023D6"/>
    <w:rsid w:val="09C72B2A"/>
    <w:rsid w:val="0B4F04AC"/>
    <w:rsid w:val="0B633415"/>
    <w:rsid w:val="0BD31C1D"/>
    <w:rsid w:val="0C2D4CDB"/>
    <w:rsid w:val="0CF14A50"/>
    <w:rsid w:val="0CFD23E8"/>
    <w:rsid w:val="0D53679A"/>
    <w:rsid w:val="0D5E3A2E"/>
    <w:rsid w:val="0E252D1A"/>
    <w:rsid w:val="0F130D79"/>
    <w:rsid w:val="0F2E3D3A"/>
    <w:rsid w:val="0F434192"/>
    <w:rsid w:val="106A6D8A"/>
    <w:rsid w:val="11DD37F5"/>
    <w:rsid w:val="130F10BC"/>
    <w:rsid w:val="131839F1"/>
    <w:rsid w:val="13C71049"/>
    <w:rsid w:val="13E40E6B"/>
    <w:rsid w:val="140E1443"/>
    <w:rsid w:val="14357918"/>
    <w:rsid w:val="14436BD2"/>
    <w:rsid w:val="1457163D"/>
    <w:rsid w:val="14871D2B"/>
    <w:rsid w:val="14A157D2"/>
    <w:rsid w:val="14AB15C4"/>
    <w:rsid w:val="14B60A59"/>
    <w:rsid w:val="15001E2D"/>
    <w:rsid w:val="15FC565D"/>
    <w:rsid w:val="16A029FF"/>
    <w:rsid w:val="16E3516E"/>
    <w:rsid w:val="171E28E6"/>
    <w:rsid w:val="172B6DB1"/>
    <w:rsid w:val="17763E45"/>
    <w:rsid w:val="17C30A16"/>
    <w:rsid w:val="18153BC7"/>
    <w:rsid w:val="1862779D"/>
    <w:rsid w:val="18C33745"/>
    <w:rsid w:val="19340D8D"/>
    <w:rsid w:val="193862F4"/>
    <w:rsid w:val="195E16BF"/>
    <w:rsid w:val="19921822"/>
    <w:rsid w:val="19C27F9D"/>
    <w:rsid w:val="19F93196"/>
    <w:rsid w:val="1AE6371B"/>
    <w:rsid w:val="1B6320B5"/>
    <w:rsid w:val="1B6B1E72"/>
    <w:rsid w:val="1BCF0653"/>
    <w:rsid w:val="1C3A39A4"/>
    <w:rsid w:val="1C8F3A70"/>
    <w:rsid w:val="1CB3762C"/>
    <w:rsid w:val="1D217813"/>
    <w:rsid w:val="1D5621F3"/>
    <w:rsid w:val="1D7636FC"/>
    <w:rsid w:val="1D78025C"/>
    <w:rsid w:val="1D9357EF"/>
    <w:rsid w:val="1E884867"/>
    <w:rsid w:val="1EB678A8"/>
    <w:rsid w:val="1F900295"/>
    <w:rsid w:val="1FDC6E9A"/>
    <w:rsid w:val="20605D1D"/>
    <w:rsid w:val="20880DD0"/>
    <w:rsid w:val="20B67B02"/>
    <w:rsid w:val="20F44BDA"/>
    <w:rsid w:val="21665947"/>
    <w:rsid w:val="218D0BA4"/>
    <w:rsid w:val="21957C48"/>
    <w:rsid w:val="2208041A"/>
    <w:rsid w:val="221232B2"/>
    <w:rsid w:val="2228286B"/>
    <w:rsid w:val="239E5BF7"/>
    <w:rsid w:val="23B605C0"/>
    <w:rsid w:val="24613C33"/>
    <w:rsid w:val="24AA201D"/>
    <w:rsid w:val="25040D41"/>
    <w:rsid w:val="254A0003"/>
    <w:rsid w:val="258B383C"/>
    <w:rsid w:val="25D351FD"/>
    <w:rsid w:val="26B26C15"/>
    <w:rsid w:val="26ED1604"/>
    <w:rsid w:val="26EE0F6E"/>
    <w:rsid w:val="270F5DA7"/>
    <w:rsid w:val="27736430"/>
    <w:rsid w:val="27C02D3E"/>
    <w:rsid w:val="289C2F2E"/>
    <w:rsid w:val="28B5605F"/>
    <w:rsid w:val="29001E4B"/>
    <w:rsid w:val="29143B49"/>
    <w:rsid w:val="2920313B"/>
    <w:rsid w:val="2A7A5D12"/>
    <w:rsid w:val="2AA44DBD"/>
    <w:rsid w:val="2C752B50"/>
    <w:rsid w:val="2CBE62A5"/>
    <w:rsid w:val="2D510EC7"/>
    <w:rsid w:val="2E13501C"/>
    <w:rsid w:val="2E2C36E3"/>
    <w:rsid w:val="2EB46C1C"/>
    <w:rsid w:val="2F544C9F"/>
    <w:rsid w:val="2FCD4A51"/>
    <w:rsid w:val="3029193F"/>
    <w:rsid w:val="31200A1B"/>
    <w:rsid w:val="31C003CA"/>
    <w:rsid w:val="321B3120"/>
    <w:rsid w:val="324C7EAF"/>
    <w:rsid w:val="32735501"/>
    <w:rsid w:val="32772AA3"/>
    <w:rsid w:val="336E20A7"/>
    <w:rsid w:val="33BC1CB5"/>
    <w:rsid w:val="3417156E"/>
    <w:rsid w:val="34337579"/>
    <w:rsid w:val="349A13A6"/>
    <w:rsid w:val="34B41D3C"/>
    <w:rsid w:val="35526810"/>
    <w:rsid w:val="364E0DF2"/>
    <w:rsid w:val="36610C14"/>
    <w:rsid w:val="38303DCF"/>
    <w:rsid w:val="38AF29FD"/>
    <w:rsid w:val="39EB421B"/>
    <w:rsid w:val="3A705A6B"/>
    <w:rsid w:val="3AD2143B"/>
    <w:rsid w:val="3AE63920"/>
    <w:rsid w:val="3B3836C7"/>
    <w:rsid w:val="3B3A743F"/>
    <w:rsid w:val="3B583E02"/>
    <w:rsid w:val="3B5D3DA9"/>
    <w:rsid w:val="3BA85BEF"/>
    <w:rsid w:val="3C157C0E"/>
    <w:rsid w:val="3C1852A6"/>
    <w:rsid w:val="3C555AD5"/>
    <w:rsid w:val="3D0523AD"/>
    <w:rsid w:val="3D597924"/>
    <w:rsid w:val="3D820C29"/>
    <w:rsid w:val="3D840E45"/>
    <w:rsid w:val="3DB54EB7"/>
    <w:rsid w:val="3E0B0C1F"/>
    <w:rsid w:val="3E32264F"/>
    <w:rsid w:val="3F04431E"/>
    <w:rsid w:val="3F2E6B05"/>
    <w:rsid w:val="3FCA4B09"/>
    <w:rsid w:val="3FE3488D"/>
    <w:rsid w:val="3FF94F0D"/>
    <w:rsid w:val="40584E17"/>
    <w:rsid w:val="40A1675F"/>
    <w:rsid w:val="40C81049"/>
    <w:rsid w:val="40D07C24"/>
    <w:rsid w:val="41346481"/>
    <w:rsid w:val="416D399E"/>
    <w:rsid w:val="4193231D"/>
    <w:rsid w:val="41BD4926"/>
    <w:rsid w:val="422615BD"/>
    <w:rsid w:val="42B2634A"/>
    <w:rsid w:val="431366BD"/>
    <w:rsid w:val="435A0EBC"/>
    <w:rsid w:val="44974855"/>
    <w:rsid w:val="453A4352"/>
    <w:rsid w:val="45513D03"/>
    <w:rsid w:val="45674C2D"/>
    <w:rsid w:val="45C51419"/>
    <w:rsid w:val="463A0C3C"/>
    <w:rsid w:val="471A1424"/>
    <w:rsid w:val="471C20EE"/>
    <w:rsid w:val="47E66258"/>
    <w:rsid w:val="483D3022"/>
    <w:rsid w:val="48441AC7"/>
    <w:rsid w:val="487B211C"/>
    <w:rsid w:val="487B2E45"/>
    <w:rsid w:val="48FC1C91"/>
    <w:rsid w:val="49D173E4"/>
    <w:rsid w:val="49ED2E91"/>
    <w:rsid w:val="4A3C3BAF"/>
    <w:rsid w:val="4A636E12"/>
    <w:rsid w:val="4A8955B2"/>
    <w:rsid w:val="4AE63AC3"/>
    <w:rsid w:val="4B077828"/>
    <w:rsid w:val="4B272E10"/>
    <w:rsid w:val="4B887D52"/>
    <w:rsid w:val="4B93440D"/>
    <w:rsid w:val="4B9F1B78"/>
    <w:rsid w:val="4BCD7A7D"/>
    <w:rsid w:val="4C26593E"/>
    <w:rsid w:val="4C481290"/>
    <w:rsid w:val="4CB5000A"/>
    <w:rsid w:val="4D0D18D2"/>
    <w:rsid w:val="4E9F3D89"/>
    <w:rsid w:val="4EC015B1"/>
    <w:rsid w:val="4EEE25C2"/>
    <w:rsid w:val="4EF56C95"/>
    <w:rsid w:val="4EFC390E"/>
    <w:rsid w:val="4F022943"/>
    <w:rsid w:val="4F552641"/>
    <w:rsid w:val="50394C31"/>
    <w:rsid w:val="50874E72"/>
    <w:rsid w:val="50AA7A78"/>
    <w:rsid w:val="50BB039D"/>
    <w:rsid w:val="50E07ECD"/>
    <w:rsid w:val="51711289"/>
    <w:rsid w:val="51974ADB"/>
    <w:rsid w:val="51E11F6A"/>
    <w:rsid w:val="52720E14"/>
    <w:rsid w:val="52BF7DD2"/>
    <w:rsid w:val="52CD62C1"/>
    <w:rsid w:val="53173662"/>
    <w:rsid w:val="53A453E4"/>
    <w:rsid w:val="53BE072D"/>
    <w:rsid w:val="542E520F"/>
    <w:rsid w:val="54E150C0"/>
    <w:rsid w:val="552C5BF2"/>
    <w:rsid w:val="55E42C35"/>
    <w:rsid w:val="56E251F3"/>
    <w:rsid w:val="57B03CD3"/>
    <w:rsid w:val="58523BC2"/>
    <w:rsid w:val="58A108C6"/>
    <w:rsid w:val="58AC4372"/>
    <w:rsid w:val="599E091E"/>
    <w:rsid w:val="59A9777B"/>
    <w:rsid w:val="5AC859A3"/>
    <w:rsid w:val="5AE90BA3"/>
    <w:rsid w:val="5C5F68AD"/>
    <w:rsid w:val="5CD34D8A"/>
    <w:rsid w:val="5D4B725D"/>
    <w:rsid w:val="5D686F31"/>
    <w:rsid w:val="5DA76F77"/>
    <w:rsid w:val="5E554D24"/>
    <w:rsid w:val="5EC450EE"/>
    <w:rsid w:val="5F31667C"/>
    <w:rsid w:val="5F5A5181"/>
    <w:rsid w:val="60193217"/>
    <w:rsid w:val="609805E0"/>
    <w:rsid w:val="60BE1D54"/>
    <w:rsid w:val="61821225"/>
    <w:rsid w:val="61AA2AA5"/>
    <w:rsid w:val="62744735"/>
    <w:rsid w:val="62AA0157"/>
    <w:rsid w:val="634E4F86"/>
    <w:rsid w:val="639F1C85"/>
    <w:rsid w:val="65240242"/>
    <w:rsid w:val="65453C41"/>
    <w:rsid w:val="65CF233F"/>
    <w:rsid w:val="65DA70AD"/>
    <w:rsid w:val="662A3DEC"/>
    <w:rsid w:val="664F1741"/>
    <w:rsid w:val="66875DD5"/>
    <w:rsid w:val="669435F8"/>
    <w:rsid w:val="67006EDF"/>
    <w:rsid w:val="672F39A4"/>
    <w:rsid w:val="6776608B"/>
    <w:rsid w:val="678D6B0E"/>
    <w:rsid w:val="67E53ADC"/>
    <w:rsid w:val="67F87C7C"/>
    <w:rsid w:val="680B5382"/>
    <w:rsid w:val="68774F7F"/>
    <w:rsid w:val="68CA0042"/>
    <w:rsid w:val="69203F4E"/>
    <w:rsid w:val="698C3BA2"/>
    <w:rsid w:val="69A00505"/>
    <w:rsid w:val="69B1622B"/>
    <w:rsid w:val="6A54136D"/>
    <w:rsid w:val="6A922DDD"/>
    <w:rsid w:val="6AA10E1F"/>
    <w:rsid w:val="6AAF6C52"/>
    <w:rsid w:val="6B596BBE"/>
    <w:rsid w:val="6BCA186A"/>
    <w:rsid w:val="6CAF118B"/>
    <w:rsid w:val="6CF21078"/>
    <w:rsid w:val="6CFE5C6F"/>
    <w:rsid w:val="6D575C15"/>
    <w:rsid w:val="6D700881"/>
    <w:rsid w:val="6D7132BD"/>
    <w:rsid w:val="6D915912"/>
    <w:rsid w:val="6DB26E5E"/>
    <w:rsid w:val="6E14501E"/>
    <w:rsid w:val="6E6715F2"/>
    <w:rsid w:val="6EAE75FA"/>
    <w:rsid w:val="6EBD0193"/>
    <w:rsid w:val="6F3E007F"/>
    <w:rsid w:val="6F4859E9"/>
    <w:rsid w:val="6F4C2F3F"/>
    <w:rsid w:val="6FF60A9C"/>
    <w:rsid w:val="701B6B38"/>
    <w:rsid w:val="70BA2E8B"/>
    <w:rsid w:val="70C8281B"/>
    <w:rsid w:val="70F353BF"/>
    <w:rsid w:val="719132AD"/>
    <w:rsid w:val="719C5A56"/>
    <w:rsid w:val="71AC3EEB"/>
    <w:rsid w:val="72116C26"/>
    <w:rsid w:val="721D26F3"/>
    <w:rsid w:val="72914E8F"/>
    <w:rsid w:val="72966949"/>
    <w:rsid w:val="72F940B5"/>
    <w:rsid w:val="72FF4E82"/>
    <w:rsid w:val="733C17D6"/>
    <w:rsid w:val="733F48EB"/>
    <w:rsid w:val="736659D5"/>
    <w:rsid w:val="7370012C"/>
    <w:rsid w:val="73830C7C"/>
    <w:rsid w:val="73B7156B"/>
    <w:rsid w:val="73F55CF0"/>
    <w:rsid w:val="75412B9C"/>
    <w:rsid w:val="75693EA1"/>
    <w:rsid w:val="758B206A"/>
    <w:rsid w:val="759F2699"/>
    <w:rsid w:val="75AD63FF"/>
    <w:rsid w:val="75E63744"/>
    <w:rsid w:val="76877194"/>
    <w:rsid w:val="76B82A4C"/>
    <w:rsid w:val="77281669"/>
    <w:rsid w:val="77560455"/>
    <w:rsid w:val="775C3CBE"/>
    <w:rsid w:val="77A15AF7"/>
    <w:rsid w:val="77C82C96"/>
    <w:rsid w:val="7A030358"/>
    <w:rsid w:val="7AB10926"/>
    <w:rsid w:val="7AE014A2"/>
    <w:rsid w:val="7AED0F88"/>
    <w:rsid w:val="7AFF29BB"/>
    <w:rsid w:val="7B053C1F"/>
    <w:rsid w:val="7B5829EE"/>
    <w:rsid w:val="7B84051C"/>
    <w:rsid w:val="7D7D04EA"/>
    <w:rsid w:val="7D975C74"/>
    <w:rsid w:val="7DA9385D"/>
    <w:rsid w:val="7DAC0DCF"/>
    <w:rsid w:val="7E4746A1"/>
    <w:rsid w:val="7EA47CF8"/>
    <w:rsid w:val="7EAA7A04"/>
    <w:rsid w:val="7EC108AA"/>
    <w:rsid w:val="7F3422AB"/>
    <w:rsid w:val="7FE0649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table of figures"/>
    <w:basedOn w:val="1"/>
    <w:next w:val="1"/>
    <w:qFormat/>
    <w:uiPriority w:val="0"/>
    <w:pPr>
      <w:ind w:left="200" w:leftChars="200" w:hanging="200" w:hangingChars="200"/>
    </w:pPr>
    <w:rPr>
      <w:rFonts w:ascii="仿宋_GB2312" w:hAnsi="仿宋_GB2312" w:cs="仿宋_GB2312"/>
    </w:rPr>
  </w:style>
  <w:style w:type="paragraph" w:styleId="3">
    <w:name w:val="Document Map"/>
    <w:basedOn w:val="1"/>
    <w:semiHidden/>
    <w:qFormat/>
    <w:uiPriority w:val="0"/>
    <w:pPr>
      <w:shd w:val="clear" w:color="auto" w:fill="000080"/>
    </w:pPr>
  </w:style>
  <w:style w:type="paragraph" w:styleId="4">
    <w:name w:val="annotation text"/>
    <w:basedOn w:val="1"/>
    <w:link w:val="20"/>
    <w:qFormat/>
    <w:uiPriority w:val="0"/>
    <w:pPr>
      <w:jc w:val="left"/>
    </w:pPr>
  </w:style>
  <w:style w:type="paragraph" w:styleId="5">
    <w:name w:val="Body Text Indent"/>
    <w:basedOn w:val="1"/>
    <w:link w:val="22"/>
    <w:uiPriority w:val="0"/>
    <w:pPr>
      <w:spacing w:after="120"/>
      <w:ind w:left="420" w:leftChars="200"/>
    </w:pPr>
  </w:style>
  <w:style w:type="paragraph" w:styleId="6">
    <w:name w:val="Balloon Text"/>
    <w:basedOn w:val="1"/>
    <w:link w:val="17"/>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9">
    <w:name w:val="annotation subject"/>
    <w:basedOn w:val="4"/>
    <w:next w:val="4"/>
    <w:link w:val="21"/>
    <w:uiPriority w:val="0"/>
    <w:rPr>
      <w:b/>
      <w:bCs/>
    </w:rPr>
  </w:style>
  <w:style w:type="paragraph" w:styleId="10">
    <w:name w:val="Body Text First Indent 2"/>
    <w:basedOn w:val="5"/>
    <w:link w:val="23"/>
    <w:unhideWhenUsed/>
    <w:qFormat/>
    <w:uiPriority w:val="99"/>
    <w:pPr>
      <w:spacing w:after="0" w:line="780" w:lineRule="exact"/>
      <w:ind w:left="359" w:leftChars="1" w:hanging="170" w:hangingChars="170"/>
    </w:pPr>
    <w:rPr>
      <w:rFonts w:ascii="宋体" w:hAnsi="宋体" w:eastAsia="楷体_GB2312"/>
      <w:sz w:val="26"/>
      <w:szCs w:val="20"/>
    </w:rPr>
  </w:style>
  <w:style w:type="table" w:styleId="12">
    <w:name w:val="Table Grid"/>
    <w:basedOn w:val="11"/>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annotation reference"/>
    <w:basedOn w:val="13"/>
    <w:uiPriority w:val="0"/>
    <w:rPr>
      <w:sz w:val="21"/>
      <w:szCs w:val="21"/>
    </w:rPr>
  </w:style>
  <w:style w:type="character" w:customStyle="1" w:styleId="15">
    <w:name w:val="页眉 字符"/>
    <w:link w:val="8"/>
    <w:qFormat/>
    <w:uiPriority w:val="0"/>
    <w:rPr>
      <w:kern w:val="2"/>
      <w:sz w:val="18"/>
      <w:szCs w:val="18"/>
    </w:rPr>
  </w:style>
  <w:style w:type="paragraph" w:customStyle="1" w:styleId="16">
    <w:name w:val="首段落"/>
    <w:basedOn w:val="1"/>
    <w:qFormat/>
    <w:uiPriority w:val="0"/>
    <w:pPr>
      <w:spacing w:beforeLines="50" w:line="500" w:lineRule="exact"/>
      <w:ind w:firstLine="561"/>
    </w:pPr>
    <w:rPr>
      <w:rFonts w:eastAsia="仿宋_GB2312"/>
      <w:color w:val="000000"/>
      <w:sz w:val="28"/>
    </w:rPr>
  </w:style>
  <w:style w:type="character" w:customStyle="1" w:styleId="17">
    <w:name w:val="批注框文本 字符"/>
    <w:link w:val="6"/>
    <w:qFormat/>
    <w:uiPriority w:val="0"/>
    <w:rPr>
      <w:kern w:val="2"/>
      <w:sz w:val="18"/>
      <w:szCs w:val="18"/>
    </w:rPr>
  </w:style>
  <w:style w:type="character" w:customStyle="1" w:styleId="18">
    <w:name w:val="占位符文本1"/>
    <w:basedOn w:val="13"/>
    <w:unhideWhenUsed/>
    <w:qFormat/>
    <w:uiPriority w:val="99"/>
    <w:rPr>
      <w:color w:val="808080"/>
    </w:rPr>
  </w:style>
  <w:style w:type="paragraph" w:customStyle="1" w:styleId="19">
    <w:name w:val="列表段落1"/>
    <w:basedOn w:val="1"/>
    <w:qFormat/>
    <w:uiPriority w:val="34"/>
    <w:pPr>
      <w:ind w:firstLine="420" w:firstLineChars="200"/>
    </w:pPr>
  </w:style>
  <w:style w:type="character" w:customStyle="1" w:styleId="20">
    <w:name w:val="批注文字 字符"/>
    <w:basedOn w:val="13"/>
    <w:link w:val="4"/>
    <w:uiPriority w:val="0"/>
    <w:rPr>
      <w:rFonts w:ascii="Calibri" w:hAnsi="Calibri"/>
      <w:kern w:val="2"/>
      <w:sz w:val="21"/>
      <w:szCs w:val="24"/>
    </w:rPr>
  </w:style>
  <w:style w:type="character" w:customStyle="1" w:styleId="21">
    <w:name w:val="批注主题 字符"/>
    <w:basedOn w:val="20"/>
    <w:link w:val="9"/>
    <w:uiPriority w:val="0"/>
    <w:rPr>
      <w:rFonts w:ascii="Calibri" w:hAnsi="Calibri"/>
      <w:b/>
      <w:bCs/>
      <w:kern w:val="2"/>
      <w:sz w:val="21"/>
      <w:szCs w:val="24"/>
    </w:rPr>
  </w:style>
  <w:style w:type="character" w:customStyle="1" w:styleId="22">
    <w:name w:val="正文文本缩进 字符"/>
    <w:basedOn w:val="13"/>
    <w:link w:val="5"/>
    <w:uiPriority w:val="0"/>
    <w:rPr>
      <w:rFonts w:ascii="Calibri" w:hAnsi="Calibri"/>
      <w:kern w:val="2"/>
      <w:sz w:val="21"/>
      <w:szCs w:val="24"/>
    </w:rPr>
  </w:style>
  <w:style w:type="character" w:customStyle="1" w:styleId="23">
    <w:name w:val="正文文本首行缩进 2 字符"/>
    <w:basedOn w:val="22"/>
    <w:link w:val="10"/>
    <w:uiPriority w:val="99"/>
    <w:rPr>
      <w:rFonts w:ascii="宋体" w:hAnsi="宋体" w:eastAsia="楷体_GB2312"/>
      <w:kern w:val="2"/>
      <w:sz w:val="26"/>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554</Words>
  <Characters>3159</Characters>
  <Lines>26</Lines>
  <Paragraphs>7</Paragraphs>
  <TotalTime>2</TotalTime>
  <ScaleCrop>false</ScaleCrop>
  <LinksUpToDate>false</LinksUpToDate>
  <CharactersWithSpaces>3706</CharactersWithSpaces>
  <Application>WPS Office_11.8.2.12118_F1E327BC-269C-435d-A152-05C5408002CA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2024-07-24T07:27:00Z</dcterms:created>
  <dc:creator>User</dc:creator>
  <cp:lastModifiedBy>13799387137</cp:lastModifiedBy>
  <dcterms:modified xsi:type="dcterms:W3CDTF">2024-09-19T13:01:56Z</dcterms:modified>
  <dc:titl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2052-11.8.2.12118</vt:lpwstr>
  </property>
  <property fmtid="{D5CDD505-2E9C-101B-9397-08002B2CF9AE}" pid="3" name="ICV">
    <vt:lpwstr>F966697FAE0743C19EB2DDF4F23366BD_13</vt:lpwstr>
  </property>
</Properties>
</file>