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Guide — TÀI (Super Agent)</w:t>
      </w:r>
    </w:p>
    <w:p>
      <w:pPr>
        <w:pStyle w:val="Heading1"/>
      </w:pPr>
      <w:r>
        <w:t>TÀI (Super Agent) — User Guide</w:t>
      </w:r>
    </w:p>
    <w:p>
      <w:pPr>
        <w:pStyle w:val="Heading2"/>
      </w:pPr>
      <w:r>
        <w:t>Overview</w:t>
      </w:r>
    </w:p>
    <w:p>
      <w:r>
        <w:t>TÀI is the unified AI assistant that can invoke all specialist agents from a single chat interface. Instead of switching between agents, you can ask TÀI to translate, summarize, create presentations, brainstorm, query your vault, or analyze images — all in one conversation.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Access</w:t>
      </w:r>
    </w:p>
    <w:p>
      <w:r>
        <w:t xml:space="preserve">TÀI is accessed from the </w:t>
      </w:r>
      <w:r>
        <w:rPr>
          <w:b/>
        </w:rPr>
        <w:t>TÀI Studio hub</w:t>
      </w:r>
      <w:r>
        <w:t xml:space="preserve"> via the top navigation. Click the "TÀI" tab in the Dynamic Island navigation bar.</w:t>
      </w:r>
    </w:p>
    <w:p>
      <w:r>
        <w:drawing>
          <wp:inline xmlns:a="http://schemas.openxmlformats.org/drawingml/2006/main" xmlns:pic="http://schemas.openxmlformats.org/drawingml/2006/picture">
            <wp:extent cx="4648438" cy="647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i_a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438" cy="64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Interface Layout</w:t>
      </w:r>
    </w:p>
    <w:p>
      <w:r>
        <w:drawing>
          <wp:inline xmlns:a="http://schemas.openxmlformats.org/drawingml/2006/main" xmlns:pic="http://schemas.openxmlformats.org/drawingml/2006/picture">
            <wp:extent cx="5486400" cy="3000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903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Hint chips</w:t>
      </w:r>
      <w:r>
        <w:t xml:space="preserve"> (shown on empty chat): Click on the triangle with white star at the middle of screen to show full capabilities of TÀI chat</w:t>
      </w:r>
    </w:p>
    <w:p>
      <w:pPr>
        <w:pStyle w:val="ListBullet"/>
        <w:ind w:left="360"/>
      </w:pPr>
      <w:r>
        <w:t>🌐 Translate a document</w:t>
      </w:r>
    </w:p>
    <w:p>
      <w:pPr>
        <w:pStyle w:val="ListBullet"/>
        <w:ind w:left="360"/>
      </w:pPr>
      <w:r>
        <w:t>📄 Summarize a report</w:t>
      </w:r>
    </w:p>
    <w:p>
      <w:pPr>
        <w:pStyle w:val="ListBullet"/>
        <w:ind w:left="360"/>
      </w:pPr>
      <w:r>
        <w:t>💡 Brainstorm strategies</w:t>
      </w:r>
    </w:p>
    <w:p>
      <w:pPr>
        <w:pStyle w:val="ListBullet"/>
        <w:ind w:left="360"/>
      </w:pPr>
      <w:r>
        <w:t>📊 Create a presentation</w:t>
      </w:r>
    </w:p>
    <w:p>
      <w:pPr>
        <w:pStyle w:val="ListBullet"/>
        <w:ind w:left="360"/>
      </w:pPr>
      <w:r>
        <w:t>✍️ Help me draft an email</w:t>
      </w:r>
    </w:p>
    <w:p>
      <w:pPr>
        <w:pStyle w:val="ListBullet"/>
        <w:ind w:left="360"/>
      </w:pPr>
      <w:r>
        <w:t>🔍 Ask about AI vision</w:t>
      </w:r>
    </w:p>
    <w:p>
      <w:r>
        <w:drawing>
          <wp:inline xmlns:a="http://schemas.openxmlformats.org/drawingml/2006/main" xmlns:pic="http://schemas.openxmlformats.org/drawingml/2006/picture">
            <wp:extent cx="5486400" cy="30044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901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44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t>Left sidebar</w:t>
            </w:r>
          </w:p>
        </w:tc>
        <w:tc>
          <w:tcPr>
            <w:tcW w:type="dxa" w:w="4320"/>
          </w:tcPr>
          <w:p>
            <w:r/>
            <w:r>
              <w:t>Conversation history (previous sessions)</w:t>
            </w:r>
          </w:p>
        </w:tc>
      </w:tr>
      <w:tr>
        <w:tc>
          <w:tcPr>
            <w:tcW w:type="dxa" w:w="4320"/>
          </w:tcPr>
          <w:p>
            <w:r/>
            <w:r>
              <w:t>Center</w:t>
            </w:r>
          </w:p>
        </w:tc>
        <w:tc>
          <w:tcPr>
            <w:tcW w:type="dxa" w:w="4320"/>
          </w:tcPr>
          <w:p>
            <w:r/>
            <w:r>
              <w:t>Chat interface with hint chips</w:t>
            </w:r>
          </w:p>
        </w:tc>
      </w:tr>
      <w:tr>
        <w:tc>
          <w:tcPr>
            <w:tcW w:type="dxa" w:w="4320"/>
          </w:tcPr>
          <w:p>
            <w:r/>
            <w:r>
              <w:t>Right sidebar</w:t>
            </w:r>
          </w:p>
        </w:tc>
        <w:tc>
          <w:tcPr>
            <w:tcW w:type="dxa" w:w="4320"/>
          </w:tcPr>
          <w:p>
            <w:r/>
            <w:r>
              <w:t>BYOD (Bring Your Own Data) — manage document indexes</w:t>
            </w:r>
          </w:p>
        </w:tc>
      </w:tr>
      <w:tr>
        <w:tc>
          <w:tcPr>
            <w:tcW w:type="dxa" w:w="4320"/>
          </w:tcPr>
          <w:p>
            <w:r/>
            <w:r>
              <w:t>Top bar</w:t>
            </w:r>
          </w:p>
        </w:tc>
        <w:tc>
          <w:tcPr>
            <w:tcW w:type="dxa" w:w="4320"/>
          </w:tcPr>
          <w:p>
            <w:r/>
            <w:r>
              <w:t>Tool selector — enable/disable agent tools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Use</w:t>
      </w:r>
    </w:p>
    <w:p>
      <w:pPr>
        <w:pStyle w:val="Heading3"/>
      </w:pPr>
      <w:r>
        <w:t>Basic Chat</w:t>
      </w:r>
    </w:p>
    <w:p>
      <w:r>
        <w:t xml:space="preserve">Type any message and press </w:t>
      </w:r>
      <w:r>
        <w:rPr>
          <w:b/>
        </w:rPr>
        <w:t>Enter</w:t>
      </w:r>
      <w:r>
        <w:t>. TÀI responds with text, and can also trigger actions like file downloads, presentations, or brainstorm canvases.</w:t>
      </w:r>
    </w:p>
    <w:p>
      <w:r>
        <w:drawing>
          <wp:inline xmlns:a="http://schemas.openxmlformats.org/drawingml/2006/main" xmlns:pic="http://schemas.openxmlformats.org/drawingml/2006/picture">
            <wp:extent cx="5486400" cy="3000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907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File Upload (Human-in-the-Loop)</w:t>
      </w:r>
    </w:p>
    <w:p>
      <w:r>
        <w:t xml:space="preserve">When TÀI needs a file (e.g., to translate or summarize), it will: </w:t>
      </w:r>
    </w:p>
    <w:p>
      <w:pPr>
        <w:pStyle w:val="ListNumber"/>
        <w:ind w:left="360"/>
      </w:pPr>
      <w:r>
        <w:t xml:space="preserve">Display a </w:t>
      </w:r>
      <w:r>
        <w:rPr>
          <w:b/>
        </w:rPr>
        <w:t>file upload card</w:t>
      </w:r>
      <w:r>
        <w:t xml:space="preserve"> in the chat</w:t>
      </w:r>
    </w:p>
    <w:p>
      <w:pPr>
        <w:pStyle w:val="ListNumber"/>
        <w:ind w:left="360"/>
      </w:pPr>
      <w:r>
        <w:t>You drag and drop or browse for the file</w:t>
      </w:r>
    </w:p>
    <w:p>
      <w:pPr>
        <w:pStyle w:val="ListNumber"/>
        <w:ind w:left="360"/>
      </w:pPr>
      <w:r>
        <w:t>TÀI automatically resumes processing once the file is uploaded</w:t>
      </w:r>
    </w:p>
    <w:p>
      <w:r>
        <w:drawing>
          <wp:inline xmlns:a="http://schemas.openxmlformats.org/drawingml/2006/main" xmlns:pic="http://schemas.openxmlformats.org/drawingml/2006/picture">
            <wp:extent cx="5486400" cy="3000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910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is the "interrupt → upload → resume" pattern.</w:t>
      </w:r>
    </w:p>
    <w:p>
      <w:pPr>
        <w:pStyle w:val="Heading3"/>
      </w:pPr>
      <w:r>
        <w:t>Multi-Agent Workflows</w:t>
      </w:r>
    </w:p>
    <w:p>
      <w:r>
        <w:t>TÀI can chain multiple agents in a single conversation:</w:t>
      </w:r>
    </w:p>
    <w:p>
      <w:r>
        <w:rPr>
          <w:b/>
        </w:rPr>
        <w:t>Example:</w:t>
      </w:r>
      <w:r>
        <w:t xml:space="preserve"> "Translate this file to English then create a summary slide deck" 1. TÀI asks you to upload the file 2. Calls The Translator to translate 3. Calls The Powerpoint-er to create slides from the translation 4. Returns the downloadable PPTX</w:t>
      </w:r>
    </w:p>
    <w:p>
      <w:r>
        <w:drawing>
          <wp:inline xmlns:a="http://schemas.openxmlformats.org/drawingml/2006/main" xmlns:pic="http://schemas.openxmlformats.org/drawingml/2006/picture">
            <wp:extent cx="5486400" cy="3011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9114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Tool Selector</w:t>
      </w:r>
    </w:p>
    <w:p>
      <w:r>
        <w:drawing>
          <wp:inline xmlns:a="http://schemas.openxmlformats.org/drawingml/2006/main" xmlns:pic="http://schemas.openxmlformats.org/drawingml/2006/picture">
            <wp:extent cx="5486400" cy="30044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9132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4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tools include:</w:t>
      </w:r>
    </w:p>
    <w:p>
      <w:pPr>
        <w:pStyle w:val="ListBullet"/>
        <w:ind w:left="360"/>
      </w:pPr>
      <w:r>
        <w:rPr>
          <w:b/>
        </w:rPr>
        <w:t>“Agent”</w:t>
      </w:r>
      <w:r>
        <w:t xml:space="preserve"> button shows available agent tools (e.g., Translator, Summarizer, PPTX-er) and their current status (active/offline)</w:t>
      </w:r>
    </w:p>
    <w:p>
      <w:pPr>
        <w:pStyle w:val="ListBullet"/>
        <w:ind w:left="360"/>
      </w:pPr>
      <w:r>
        <w:rPr>
          <w:b/>
        </w:rPr>
        <w:t>“Knowledge Base”</w:t>
      </w:r>
      <w:r>
        <w:t xml:space="preserve"> (also check on BYOD Indexes) represents connected data sources used for knowledge retrieval</w:t>
      </w:r>
    </w:p>
    <w:p>
      <w:pPr>
        <w:pStyle w:val="ListBullet"/>
        <w:ind w:left="360"/>
      </w:pPr>
      <w:r>
        <w:rPr>
          <w:b/>
        </w:rPr>
        <w:t>“Connector”</w:t>
      </w:r>
      <w:r>
        <w:t xml:space="preserve"> includes MCP, enabling access to integrated resources</w:t>
      </w:r>
    </w:p>
    <w:p>
      <w:r>
        <w:t>=&gt; Each tool includes a checkbox. Selecting or unselecting this option will enable or disable the tool for use by TÀI.</w:t>
      </w:r>
    </w:p>
    <w:p>
      <w:pPr>
        <w:pStyle w:val="Heading3"/>
      </w:pPr>
      <w:r>
        <w:t>BYOD (Bring Your Own Data)</w:t>
      </w:r>
    </w:p>
    <w:p>
      <w:r>
        <w:t>The right sidebar lets you manage personal document indexes:</w:t>
      </w:r>
    </w:p>
    <w:p>
      <w:pPr>
        <w:pStyle w:val="ListBullet"/>
        <w:ind w:left="360"/>
      </w:pPr>
      <w:r>
        <w:rPr>
          <w:b/>
        </w:rPr>
        <w:t>Create index</w:t>
      </w:r>
      <w:r>
        <w:t xml:space="preserve"> — Upload documents to create a searchable knowledge base</w:t>
      </w:r>
    </w:p>
    <w:p>
      <w:pPr>
        <w:pStyle w:val="ListBullet"/>
        <w:ind w:left="360"/>
      </w:pPr>
      <w:r>
        <w:rPr>
          <w:b/>
        </w:rPr>
        <w:t>List indexes</w:t>
      </w:r>
      <w:r>
        <w:t xml:space="preserve"> — See your existing document indexes</w:t>
      </w:r>
    </w:p>
    <w:p>
      <w:pPr>
        <w:pStyle w:val="ListBullet"/>
        <w:ind w:left="360"/>
      </w:pPr>
      <w:r>
        <w:rPr>
          <w:b/>
        </w:rPr>
        <w:t>Delete index</w:t>
      </w:r>
      <w:r>
        <w:t xml:space="preserve"> — Remove an index you no longer need</w:t>
      </w:r>
    </w:p>
    <w:p>
      <w:r>
        <w:drawing>
          <wp:inline xmlns:a="http://schemas.openxmlformats.org/drawingml/2006/main" xmlns:pic="http://schemas.openxmlformats.org/drawingml/2006/picture">
            <wp:extent cx="3454577" cy="35434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1-11393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4577" cy="3543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When a BYOD index is active, TÀI can search it to answer your questions with your own documents as context.</w:t>
      </w:r>
    </w:p>
    <w:p>
      <w:pPr>
        <w:pStyle w:val="Heading3"/>
      </w:pPr>
      <w:r>
        <w:t>Conversation History</w:t>
      </w:r>
    </w:p>
    <w:p>
      <w:r>
        <w:t xml:space="preserve">The left sidebar shows previous sessions: </w:t>
      </w:r>
    </w:p>
    <w:p>
      <w:pPr>
        <w:pStyle w:val="ListBullet"/>
        <w:ind w:left="360"/>
      </w:pPr>
      <w:r>
        <w:t xml:space="preserve">Click any session to reload it </w:t>
      </w:r>
    </w:p>
    <w:p>
      <w:pPr>
        <w:pStyle w:val="ListBullet"/>
        <w:ind w:left="360"/>
      </w:pPr>
      <w:r>
        <w:t xml:space="preserve">Start a </w:t>
      </w:r>
      <w:r>
        <w:rPr>
          <w:b/>
        </w:rPr>
        <w:t>"New chat"</w:t>
      </w:r>
      <w:r>
        <w:t xml:space="preserve"> to begin fresh </w:t>
      </w:r>
    </w:p>
    <w:p>
      <w:pPr>
        <w:pStyle w:val="ListBullet"/>
        <w:ind w:left="360"/>
      </w:pPr>
      <w:r>
        <w:t>Sessions are persisted across browser sessions</w:t>
      </w:r>
    </w:p>
    <w:p>
      <w:r>
        <w:drawing>
          <wp:inline xmlns:a="http://schemas.openxmlformats.org/drawingml/2006/main" xmlns:pic="http://schemas.openxmlformats.org/drawingml/2006/picture">
            <wp:extent cx="3492679" cy="60709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1-1142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60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Create Agent</w:t>
      </w:r>
    </w:p>
    <w:p>
      <w:r>
        <w:t xml:space="preserve">Click the </w:t>
      </w:r>
      <w:r>
        <w:rPr>
          <w:b/>
        </w:rPr>
        <w:t>Save icon</w:t>
      </w:r>
      <w:r>
        <w:t xml:space="preserve"> located to the right of the </w:t>
      </w:r>
      <w:r>
        <w:rPr>
          <w:b/>
        </w:rPr>
        <w:t>“My Intelligent”</w:t>
      </w:r>
      <w:r>
        <w:t xml:space="preserve"> button to open the interface for creating a new agent.</w:t>
      </w:r>
    </w:p>
    <w:p>
      <w:r>
        <w:t>Enter the following details:</w:t>
      </w:r>
    </w:p>
    <w:p>
      <w:pPr>
        <w:pStyle w:val="ListBullet"/>
        <w:ind w:left="360"/>
      </w:pPr>
      <w:r>
        <w:rPr>
          <w:b/>
        </w:rPr>
        <w:t>Agent Name</w:t>
      </w:r>
    </w:p>
    <w:p>
      <w:pPr>
        <w:pStyle w:val="ListBullet"/>
        <w:ind w:left="360"/>
      </w:pPr>
      <w:r>
        <w:rPr>
          <w:b/>
        </w:rPr>
        <w:t>Description</w:t>
      </w:r>
    </w:p>
    <w:p>
      <w:pPr>
        <w:pStyle w:val="ListBullet"/>
        <w:ind w:left="360"/>
      </w:pPr>
      <w:r>
        <w:rPr>
          <w:b/>
        </w:rPr>
        <w:t>Custom Instructions</w:t>
      </w:r>
    </w:p>
    <w:p>
      <w:r>
        <w:t xml:space="preserve">Click </w:t>
      </w:r>
      <w:r>
        <w:rPr>
          <w:b/>
        </w:rPr>
        <w:t>“Save”</w:t>
      </w:r>
      <w:r>
        <w:t xml:space="preserve"> to create and register the new agent.</w:t>
      </w:r>
    </w:p>
    <w:p>
      <w:r>
        <w:drawing>
          <wp:inline xmlns:a="http://schemas.openxmlformats.org/drawingml/2006/main" xmlns:pic="http://schemas.openxmlformats.org/drawingml/2006/picture">
            <wp:extent cx="5486400" cy="62542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9484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5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Created agents are displayed in the </w:t>
      </w:r>
      <w:r>
        <w:rPr>
          <w:b/>
        </w:rPr>
        <w:t>left panel</w:t>
      </w:r>
      <w:r>
        <w:t>, alongside the chat history for easy access.</w:t>
      </w:r>
    </w:p>
    <w:p>
      <w:r>
        <w:t>Available actions for each agent:</w:t>
      </w:r>
    </w:p>
    <w:p>
      <w:pPr>
        <w:pStyle w:val="ListBullet"/>
        <w:ind w:left="360"/>
      </w:pPr>
      <w:r>
        <w:rPr>
          <w:b/>
        </w:rPr>
        <w:t>Rename</w:t>
      </w:r>
    </w:p>
    <w:p>
      <w:pPr>
        <w:pStyle w:val="ListBullet"/>
        <w:ind w:left="360"/>
      </w:pPr>
      <w:r>
        <w:rPr>
          <w:b/>
        </w:rPr>
        <w:t>Update instructions</w:t>
      </w:r>
    </w:p>
    <w:p>
      <w:pPr>
        <w:pStyle w:val="ListBullet"/>
        <w:ind w:left="360"/>
      </w:pPr>
      <w:r>
        <w:rPr>
          <w:b/>
        </w:rPr>
        <w:t>Delete</w:t>
      </w:r>
    </w:p>
    <w:p>
      <w:r>
        <w:drawing>
          <wp:inline xmlns:a="http://schemas.openxmlformats.org/drawingml/2006/main" xmlns:pic="http://schemas.openxmlformats.org/drawingml/2006/picture">
            <wp:extent cx="4496031" cy="35688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9504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3568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 dropdown list above the chat field contains all available agents, with </w:t>
      </w:r>
      <w:r>
        <w:rPr>
          <w:b/>
        </w:rPr>
        <w:t>TÀI</w:t>
      </w:r>
      <w:r>
        <w:t xml:space="preserve"> selected by default.</w:t>
      </w:r>
    </w:p>
    <w:p>
      <w:r>
        <w:t>Selecting a different agent from this list switches the active agent for the current conversation.</w:t>
      </w:r>
    </w:p>
    <w:p>
      <w:r>
        <w:drawing>
          <wp:inline xmlns:a="http://schemas.openxmlformats.org/drawingml/2006/main" xmlns:pic="http://schemas.openxmlformats.org/drawingml/2006/picture">
            <wp:extent cx="5486400" cy="12671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9552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7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User feedback</w:t>
      </w:r>
    </w:p>
    <w:p>
      <w:r>
        <w:t xml:space="preserve">If the experience does not meet expectations, feedback can be submitted to the development team by clicking the </w:t>
      </w:r>
      <w:r>
        <w:rPr>
          <w:b/>
        </w:rPr>
        <w:t>“Send Feedback”</w:t>
      </w:r>
      <w:r>
        <w:t xml:space="preserve"> button located at the bottom-right corner. This enables sharing ideas or reporting issues to support system improvement and bug fixes.</w:t>
      </w:r>
    </w:p>
    <w:p>
      <w:r>
        <w:drawing>
          <wp:inline xmlns:a="http://schemas.openxmlformats.org/drawingml/2006/main" xmlns:pic="http://schemas.openxmlformats.org/drawingml/2006/picture">
            <wp:extent cx="5486400" cy="5748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353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94425" cy="61344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352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4425" cy="613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Within the form, a relevant agent can be selected for the feedback. Clicking </w:t>
      </w:r>
      <w:r>
        <w:rPr>
          <w:b/>
        </w:rPr>
        <w:t>“Related Agents”</w:t>
      </w:r>
      <w:r>
        <w:t xml:space="preserve"> will display a dropdown list, allowing selection of one or more agents.</w:t>
      </w:r>
    </w:p>
    <w:p>
      <w:r>
        <w:t xml:space="preserve">After completing the form, click </w:t>
      </w:r>
      <w:r>
        <w:rPr>
          <w:b/>
        </w:rPr>
        <w:t>“Send Feedback”</w:t>
      </w:r>
      <w:r>
        <w:t xml:space="preserve"> to submit the input to the development team for further enhancement.</w:t>
      </w:r>
    </w:p>
    <w:p>
      <w:r>
        <w:t>Feedback can also be provided directly within TÀI chat responses:</w:t>
      </w:r>
    </w:p>
    <w:p>
      <w:pPr>
        <w:pStyle w:val="ListBullet"/>
        <w:ind w:left="360"/>
      </w:pPr>
      <w:r>
        <w:t xml:space="preserve">👍 </w:t>
      </w:r>
      <w:r>
        <w:rPr>
          <w:b/>
        </w:rPr>
        <w:t>Thumbs Up</w:t>
      </w:r>
      <w:r>
        <w:t xml:space="preserve"> – indicates satisfaction or positive feedback</w:t>
      </w:r>
    </w:p>
    <w:p>
      <w:pPr>
        <w:pStyle w:val="ListBullet"/>
        <w:ind w:left="360"/>
      </w:pPr>
      <w:r>
        <w:t xml:space="preserve">👎 </w:t>
      </w:r>
      <w:r>
        <w:rPr>
          <w:b/>
        </w:rPr>
        <w:t>Thumbs Down</w:t>
      </w:r>
      <w:r>
        <w:t xml:space="preserve"> – indicates dissatisfaction or unmet expectations</w:t>
      </w:r>
    </w:p>
    <w:p>
      <w:r>
        <w:drawing>
          <wp:inline xmlns:a="http://schemas.openxmlformats.org/drawingml/2006/main" xmlns:pic="http://schemas.openxmlformats.org/drawingml/2006/picture">
            <wp:extent cx="5486400" cy="262331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939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Available Tools</w:t>
      </w:r>
    </w:p>
    <w:p>
      <w:r>
        <w:t>TÀI has access to these tools (shown in the Tool Selector):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t>Translate Document</w:t>
            </w:r>
          </w:p>
        </w:tc>
        <w:tc>
          <w:tcPr>
            <w:tcW w:type="dxa" w:w="4320"/>
          </w:tcPr>
          <w:p>
            <w:r/>
            <w:r>
              <w:t>Translates uploaded files via The Translator</w:t>
            </w:r>
          </w:p>
        </w:tc>
      </w:tr>
      <w:tr>
        <w:tc>
          <w:tcPr>
            <w:tcW w:type="dxa" w:w="4320"/>
          </w:tcPr>
          <w:p>
            <w:r/>
            <w:r>
              <w:t>Summarize Documents</w:t>
            </w:r>
          </w:p>
        </w:tc>
        <w:tc>
          <w:tcPr>
            <w:tcW w:type="dxa" w:w="4320"/>
          </w:tcPr>
          <w:p>
            <w:r/>
            <w:r>
              <w:t>Summarizes uploaded files via The Summarizer</w:t>
            </w:r>
          </w:p>
        </w:tc>
      </w:tr>
      <w:tr>
        <w:tc>
          <w:tcPr>
            <w:tcW w:type="dxa" w:w="4320"/>
          </w:tcPr>
          <w:p>
            <w:r/>
            <w:r>
              <w:t>Generate Presentation</w:t>
            </w:r>
          </w:p>
        </w:tc>
        <w:tc>
          <w:tcPr>
            <w:tcW w:type="dxa" w:w="4320"/>
          </w:tcPr>
          <w:p>
            <w:r/>
            <w:r>
              <w:t>Creates PPTX via The Powerpoint-er</w:t>
            </w:r>
          </w:p>
        </w:tc>
      </w:tr>
      <w:tr>
        <w:tc>
          <w:tcPr>
            <w:tcW w:type="dxa" w:w="4320"/>
          </w:tcPr>
          <w:p>
            <w:r/>
            <w:r>
              <w:t>Create Document Index</w:t>
            </w:r>
          </w:p>
        </w:tc>
        <w:tc>
          <w:tcPr>
            <w:tcW w:type="dxa" w:w="4320"/>
          </w:tcPr>
          <w:p>
            <w:r/>
            <w:r>
              <w:t>Creates a BYOD searchable index</w:t>
            </w:r>
          </w:p>
        </w:tc>
      </w:tr>
      <w:tr>
        <w:tc>
          <w:tcPr>
            <w:tcW w:type="dxa" w:w="4320"/>
          </w:tcPr>
          <w:p>
            <w:r/>
            <w:r>
              <w:t>List My Document Indexes</w:t>
            </w:r>
          </w:p>
        </w:tc>
        <w:tc>
          <w:tcPr>
            <w:tcW w:type="dxa" w:w="4320"/>
          </w:tcPr>
          <w:p>
            <w:r/>
            <w:r>
              <w:t>Shows your BYOD indexes</w:t>
            </w:r>
          </w:p>
        </w:tc>
      </w:tr>
      <w:tr>
        <w:tc>
          <w:tcPr>
            <w:tcW w:type="dxa" w:w="4320"/>
          </w:tcPr>
          <w:p>
            <w:r/>
            <w:r>
              <w:t>Delete Document Index</w:t>
            </w:r>
          </w:p>
        </w:tc>
        <w:tc>
          <w:tcPr>
            <w:tcW w:type="dxa" w:w="4320"/>
          </w:tcPr>
          <w:p>
            <w:r/>
            <w:r>
              <w:t>Removes a BYOD index</w:t>
            </w:r>
          </w:p>
        </w:tc>
      </w:tr>
      <w:tr>
        <w:tc>
          <w:tcPr>
            <w:tcW w:type="dxa" w:w="4320"/>
          </w:tcPr>
          <w:p>
            <w:r/>
            <w:r>
              <w:t>Dynamic MCP tools</w:t>
            </w:r>
          </w:p>
        </w:tc>
        <w:tc>
          <w:tcPr>
            <w:tcW w:type="dxa" w:w="4320"/>
          </w:tcPr>
          <w:p>
            <w:r/>
            <w:r>
              <w:t>Additional tools from Genie spaces and custom integrations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UI Actions</w:t>
      </w:r>
    </w:p>
    <w:p>
      <w:r>
        <w:t>TÀI can render special UI components in the chat: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Appearance</w:t>
            </w:r>
          </w:p>
        </w:tc>
      </w:tr>
      <w:tr>
        <w:tc>
          <w:tcPr>
            <w:tcW w:type="dxa" w:w="4320"/>
          </w:tcPr>
          <w:p>
            <w:r/>
            <w:r>
              <w:t>File Upload</w:t>
            </w:r>
          </w:p>
        </w:tc>
        <w:tc>
          <w:tcPr>
            <w:tcW w:type="dxa" w:w="4320"/>
          </w:tcPr>
          <w:p>
            <w:r/>
            <w:r>
              <w:t>Upload card with dropzone</w:t>
            </w:r>
          </w:p>
        </w:tc>
      </w:tr>
      <w:tr>
        <w:tc>
          <w:tcPr>
            <w:tcW w:type="dxa" w:w="4320"/>
          </w:tcPr>
          <w:p>
            <w:r/>
            <w:r>
              <w:t>File Download</w:t>
            </w:r>
          </w:p>
        </w:tc>
        <w:tc>
          <w:tcPr>
            <w:tcW w:type="dxa" w:w="4320"/>
          </w:tcPr>
          <w:p>
            <w:r/>
            <w:r>
              <w:t>Download button with filename</w:t>
            </w:r>
          </w:p>
        </w:tc>
      </w:tr>
      <w:tr>
        <w:tc>
          <w:tcPr>
            <w:tcW w:type="dxa" w:w="4320"/>
          </w:tcPr>
          <w:p>
            <w:r/>
            <w:r>
              <w:t>PPTX Download</w:t>
            </w:r>
          </w:p>
        </w:tc>
        <w:tc>
          <w:tcPr>
            <w:tcW w:type="dxa" w:w="4320"/>
          </w:tcPr>
          <w:p>
            <w:r/>
            <w:r>
              <w:t>Presentation card with slide count and download</w:t>
            </w:r>
          </w:p>
        </w:tc>
      </w:tr>
      <w:tr>
        <w:tc>
          <w:tcPr>
            <w:tcW w:type="dxa" w:w="4320"/>
          </w:tcPr>
          <w:p>
            <w:r/>
            <w:r>
              <w:t>Result Card</w:t>
            </w:r>
          </w:p>
        </w:tc>
        <w:tc>
          <w:tcPr>
            <w:tcW w:type="dxa" w:w="4320"/>
          </w:tcPr>
          <w:p>
            <w:r/>
            <w:r>
              <w:t>Formatted result display</w:t>
            </w:r>
          </w:p>
        </w:tc>
      </w:tr>
      <w:tr>
        <w:tc>
          <w:tcPr>
            <w:tcW w:type="dxa" w:w="4320"/>
          </w:tcPr>
          <w:p>
            <w:r/>
            <w:r>
              <w:t>Send Feedback</w:t>
            </w:r>
          </w:p>
        </w:tc>
        <w:tc>
          <w:tcPr>
            <w:tcW w:type="dxa" w:w="4320"/>
          </w:tcPr>
          <w:p>
            <w:r/>
            <w:r>
              <w:t>Send user feedback about appication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Tips</w:t>
      </w:r>
    </w:p>
    <w:p>
      <w:pPr>
        <w:pStyle w:val="ListBullet"/>
        <w:ind w:left="360"/>
      </w:pPr>
      <w:r>
        <w:t>Be featured about what you want — "Translate this to English" is better than "Help me with this file"</w:t>
      </w:r>
    </w:p>
    <w:p>
      <w:pPr>
        <w:pStyle w:val="ListBullet"/>
        <w:ind w:left="360"/>
      </w:pPr>
      <w:r>
        <w:t>TÀI remembers context within a session — you can refer to previous messages</w:t>
      </w:r>
    </w:p>
    <w:p>
      <w:pPr>
        <w:pStyle w:val="ListBullet"/>
        <w:ind w:left="360"/>
      </w:pPr>
      <w:r>
        <w:t>Use the Tool Selector to focus TÀI on featured capabilities</w:t>
      </w:r>
    </w:p>
    <w:p>
      <w:pPr>
        <w:pStyle w:val="ListBullet"/>
        <w:ind w:left="360"/>
      </w:pPr>
      <w:r>
        <w:t>BYOD indexes let you ask questions about your own documents without uploading every time</w:t>
      </w:r>
    </w:p>
    <w:p>
      <w:pPr>
        <w:pStyle w:val="ListBullet"/>
        <w:ind w:left="360"/>
      </w:pPr>
      <w:r>
        <w:t>Multi-step workflows (translate → summarize → present) work in a single conversation</w:t>
      </w:r>
    </w:p>
    <w:p>
      <w:pPr>
        <w:pStyle w:val="ListBullet"/>
        <w:ind w:left="360"/>
      </w:pPr>
      <w:r>
        <w:t>TÀI adapts to your language preference over time (cross-session memory)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Limitations</w:t>
      </w:r>
    </w:p>
    <w:p>
      <w:pPr>
        <w:pStyle w:val="ListBullet"/>
        <w:ind w:left="360"/>
      </w:pPr>
      <w:r>
        <w:t>Depends on all specialist agents being available (check health status in hub)</w:t>
      </w:r>
    </w:p>
    <w:p>
      <w:pPr>
        <w:pStyle w:val="ListBullet"/>
        <w:ind w:left="360"/>
      </w:pPr>
      <w:r>
        <w:t>Higher latency for multi-agent workflows due to sequential API calls</w:t>
      </w:r>
    </w:p>
    <w:p>
      <w:pPr>
        <w:pStyle w:val="ListBullet"/>
        <w:ind w:left="360"/>
      </w:pPr>
      <w:r>
        <w:t>File uploads are limited to 20 MB</w:t>
      </w:r>
    </w:p>
    <w:p>
      <w:pPr>
        <w:pStyle w:val="ListBullet"/>
        <w:ind w:left="360"/>
      </w:pPr>
      <w:r>
        <w:t>Some complex workflows may require multiple back-and-forth messages</w:t>
      </w:r>
    </w:p>
    <w:p>
      <w:pPr>
        <w:pStyle w:val="ListBullet"/>
        <w:ind w:left="360"/>
      </w:pPr>
      <w:r>
        <w:t>BYOD indexes take time to build (embedding + indexing)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Last updated: 2026-05-28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