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t>User Guide — TÀI Studio (Gen UI Rendering)</w:t>
      </w:r>
    </w:p>
    <w:p>
      <w:pPr/>
      <w:r>
        <w:t>TÀI produces four types of surfaces in every turn: inline chat rendering, generative UI component surfaces, side-panel artifacts, and tool-driven surfaces. This guide covers all of them, plus the rules that decide which one is used.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1. Workspace Layout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400000" cy="29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space-ch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 w:val="true"/>
        </w:trPr>
        <w:tc>
          <w:tcPr>
            <w:tcW w:type="dxa" w:w="4323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3"/>
          </w:tcPr>
          <w:p>
            <w:r/>
            <w:r>
              <w:rPr>
                <w:b/>
              </w:rPr>
              <w:t>What it does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t>Left sidebar</w:t>
            </w:r>
          </w:p>
        </w:tc>
        <w:tc>
          <w:tcPr>
            <w:tcW w:type="dxa" w:w="4323"/>
          </w:tcPr>
          <w:p>
            <w:r/>
            <w:r>
              <w:t>New Chat, conversation history (Pinned + Recent), Agents Hub, Context Hub (COMING SOON), token meter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t>Centre</w:t>
            </w:r>
          </w:p>
        </w:tc>
        <w:tc>
          <w:tcPr>
            <w:tcW w:type="dxa" w:w="4323"/>
          </w:tcPr>
          <w:p>
            <w:r/>
            <w:r>
              <w:t>The chat — where you type and see responses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t>Right panel</w:t>
            </w:r>
          </w:p>
        </w:tc>
        <w:tc>
          <w:tcPr>
            <w:tcW w:type="dxa" w:w="4323"/>
          </w:tcPr>
          <w:p>
            <w:r/>
            <w:r>
              <w:t>Opens on demand for artifacts, file preview, image preview, or specialist editors</w:t>
            </w:r>
          </w:p>
        </w:tc>
      </w:tr>
    </w:tbl>
    <w:p>
      <w:pPr/>
      <w:r>
        <w:t>When you first open a new chat, you'll see a personalised greeting and quick-start cards (e.g., Brainstorm, Summarize, Create slides). Click any card to get started.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2. Composer &amp; Controls</w:t>
      </w:r>
    </w:p>
    <w:p>
      <w:pPr>
        <w:pStyle w:val="Heading3"/>
        <w:keepNext/>
        <w:keepLines/>
      </w:pPr>
      <w:r>
        <w:t>Mode selector</w:t>
      </w:r>
    </w:p>
    <w:p>
      <w:r>
        <w:drawing>
          <wp:inline xmlns:a="http://schemas.openxmlformats.org/drawingml/2006/main" xmlns:pic="http://schemas.openxmlformats.org/drawingml/2006/picture">
            <wp:extent cx="5400000" cy="22645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6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Click the mode pill in the composer to choose: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 w:val="true"/>
        </w:trPr>
        <w:tc>
          <w:tcPr>
            <w:tcW w:type="dxa" w:w="4323"/>
          </w:tcPr>
          <w:p>
            <w:r/>
            <w:r>
              <w:rPr>
                <w:b/>
              </w:rPr>
              <w:t>Mode</w:t>
            </w:r>
          </w:p>
        </w:tc>
        <w:tc>
          <w:tcPr>
            <w:tcW w:type="dxa" w:w="4323"/>
          </w:tcPr>
          <w:p>
            <w:r/>
            <w:r>
              <w:rPr>
                <w:b/>
              </w:rPr>
              <w:t>Best for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Auto (default)</w:t>
            </w:r>
          </w:p>
        </w:tc>
        <w:tc>
          <w:tcPr>
            <w:tcW w:type="dxa" w:w="4323"/>
          </w:tcPr>
          <w:p>
            <w:r/>
            <w:r>
              <w:t>Everyday tasks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Quick</w:t>
            </w:r>
          </w:p>
        </w:tc>
        <w:tc>
          <w:tcPr>
            <w:tcW w:type="dxa" w:w="4323"/>
          </w:tcPr>
          <w:p>
            <w:r/>
            <w:r>
              <w:t>Simple, fast answers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Deep research</w:t>
            </w:r>
          </w:p>
        </w:tc>
        <w:tc>
          <w:tcPr>
            <w:tcW w:type="dxa" w:w="4323"/>
          </w:tcPr>
          <w:p>
            <w:r/>
            <w:r>
              <w:t>Thorough answers using web sources (uses more credits)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Think (toggle)</w:t>
            </w:r>
          </w:p>
        </w:tc>
        <w:tc>
          <w:tcPr>
            <w:tcW w:type="dxa" w:w="4323"/>
          </w:tcPr>
          <w:p>
            <w:r/>
            <w:r>
              <w:t>Step-by-step reasoning — combines with any mode</w:t>
            </w:r>
          </w:p>
        </w:tc>
      </w:tr>
    </w:tbl>
    <w:p>
      <w:pPr>
        <w:pStyle w:val="Heading3"/>
        <w:keepNext/>
        <w:keepLines/>
      </w:pPr>
      <w:r>
        <w:t>@ Mention — routing to specialists</w:t>
      </w:r>
    </w:p>
    <w:p>
      <w:r>
        <w:drawing>
          <wp:inline xmlns:a="http://schemas.openxmlformats.org/drawingml/2006/main" xmlns:pic="http://schemas.openxmlformats.org/drawingml/2006/picture">
            <wp:extent cx="5400000" cy="3323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t-men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Type @ to open the autocomplete list. Each row shows the handle, description, and type badge (AGENT, MCP, KNOWLEDGE, GENIE). Examples:</w:t>
      </w:r>
    </w:p>
    <w:p>
      <w:pPr>
        <w:pStyle w:val="ListBullet"/>
      </w:pPr>
      <w:r>
        <w:t>@the-imaginator: a red star logo on white background</w:t>
      </w:r>
    </w:p>
    <w:p>
      <w:pPr>
        <w:pStyle w:val="ListBullet"/>
      </w:pPr>
      <w:r>
        <w:t>@the-translator: + attach a document</w:t>
      </w:r>
    </w:p>
    <w:p>
      <w:pPr>
        <w:pStyle w:val="ListBullet"/>
      </w:pPr>
      <w:r>
        <w:t>@the-whiteboarder: loan approval flowchart</w:t>
      </w:r>
    </w:p>
    <w:p>
      <w:pPr>
        <w:pStyle w:val="Heading3"/>
        <w:keepNext/>
        <w:keepLines/>
      </w:pPr>
      <w:r>
        <w:t>Connect Apps</w:t>
      </w:r>
    </w:p>
    <w:p>
      <w:r>
        <w:drawing>
          <wp:inline xmlns:a="http://schemas.openxmlformats.org/drawingml/2006/main" xmlns:pic="http://schemas.openxmlformats.org/drawingml/2006/picture">
            <wp:extent cx="5400000" cy="32801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nect-ap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80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Click the connector pill to enable/disable external tools (Web Search, Office 365, Confluence, Knowledge Bases, Genie spaces, etc.). Only enabled tools are available for TÀI to use in the current turn.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3. Inline Chat Rendering</w:t>
      </w:r>
    </w:p>
    <w:p>
      <w:pPr/>
      <w:r>
        <w:t>The default surface. TÀI writes the answer directly in the message; the chat renders full GitHub-flavored markdown. When in doubt, the answer stays inline.</w:t>
      </w:r>
    </w:p>
    <w:p>
      <w:pPr>
        <w:pStyle w:val="Heading3"/>
        <w:keepNext/>
        <w:keepLines/>
      </w:pPr>
      <w:r>
        <w:t>Formatted text</w:t>
      </w:r>
    </w:p>
    <w:p>
      <w:r>
        <w:drawing>
          <wp:inline xmlns:a="http://schemas.openxmlformats.org/drawingml/2006/main" xmlns:pic="http://schemas.openxmlformats.org/drawingml/2006/picture">
            <wp:extent cx="5400000" cy="34905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1-inline-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0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Headings, lists, bold/italic, links, blockquotes — for prose, explanations, analysis, writing.</w:t>
      </w:r>
    </w:p>
    <w:p>
      <w:pPr>
        <w:pStyle w:val="Heading3"/>
        <w:keepNext/>
        <w:keepLines/>
      </w:pPr>
      <w:r>
        <w:t>Code block</w:t>
      </w:r>
    </w:p>
    <w:p>
      <w:r>
        <w:drawing>
          <wp:inline xmlns:a="http://schemas.openxmlformats.org/drawingml/2006/main" xmlns:pic="http://schemas.openxmlformats.org/drawingml/2006/picture">
            <wp:extent cx="5400000" cy="34629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2-inline-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62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Fenced, syntax-highlighted code with a Copy button. Collapsible in the UI. Format: ```language … ```</w:t>
      </w:r>
    </w:p>
    <w:p>
      <w:pPr>
        <w:pStyle w:val="Heading3"/>
        <w:keepNext/>
        <w:keepLines/>
      </w:pPr>
      <w:r>
        <w:t>GFM table</w:t>
      </w:r>
    </w:p>
    <w:p>
      <w:r>
        <w:drawing>
          <wp:inline xmlns:a="http://schemas.openxmlformats.org/drawingml/2006/main" xmlns:pic="http://schemas.openxmlformats.org/drawingml/2006/picture">
            <wp:extent cx="5400000" cy="25939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3-inline-t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3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Markdown table for small, static structured data. Data returned from a query tool (Genie / SQL) must use a DataTable generative UI surface instead.</w:t>
      </w:r>
    </w:p>
    <w:p>
      <w:pPr>
        <w:pStyle w:val="Heading3"/>
        <w:keepNext/>
        <w:keepLines/>
      </w:pPr>
      <w:r>
        <w:t>Mermaid diagram</w:t>
      </w:r>
    </w:p>
    <w:p>
      <w:r>
        <w:drawing>
          <wp:inline xmlns:a="http://schemas.openxmlformats.org/drawingml/2006/main" xmlns:pic="http://schemas.openxmlformats.org/drawingml/2006/picture">
            <wp:extent cx="5400000" cy="42788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erma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78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Diagrams rendered inline with Preview / Code tabs and controls: zoom in/out, fit, download, expand, copy source. Format: ```mermaid … ```</w:t>
      </w:r>
    </w:p>
    <w:p>
      <w:pPr>
        <w:pStyle w:val="Heading3"/>
        <w:keepNext/>
        <w:keepLines/>
      </w:pPr>
      <w:r>
        <w:t>LaTeX math</w:t>
      </w:r>
    </w:p>
    <w:p>
      <w:pPr/>
      <w:r>
        <w:t>Inline $…$ and block $$…$$ math expressions — for formulas only, written as LaTeX (no pre-rendered unicode alongside).</w:t>
      </w:r>
    </w:p>
    <w:p>
      <w:pPr>
        <w:pStyle w:val="Heading3"/>
        <w:keepNext/>
        <w:keepLines/>
      </w:pPr>
      <w:r>
        <w:t>Citations</w:t>
      </w:r>
    </w:p>
    <w:p>
      <w:pPr/>
      <w:r>
        <w:t>A trailing ## Sources section is parsed out, [n] markers become clickable links, and a sources panel is rendered. Triggered in Deep research mode.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4. Generative UI Surfaces (render_a2ui)</w:t>
      </w:r>
    </w:p>
    <w:p>
      <w:r>
        <w:drawing>
          <wp:inline xmlns:a="http://schemas.openxmlformats.org/drawingml/2006/main" xmlns:pic="http://schemas.openxmlformats.org/drawingml/2006/picture">
            <wp:extent cx="5400000" cy="39609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generative-u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60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A real, interactive surface composed from a fixed catalog of components. The model never writes HTML — it picks components and fills their props. Charts are interactive (Recharts) at runtime.</w:t>
      </w:r>
    </w:p>
    <w:p>
      <w:pPr/>
      <w:r>
        <w:rPr>
          <w:b/>
        </w:rPr>
        <w:t xml:space="preserve">Used when: </w:t>
      </w:r>
      <w:r>
        <w:t>quantitative data is genuinely clearer as a visual, the user asks for a dashboard/chart, or query tool results need to be displayed.</w:t>
      </w:r>
    </w:p>
    <w:p>
      <w:pPr>
        <w:pStyle w:val="Heading3"/>
        <w:keepNext/>
        <w:keepLines/>
      </w:pPr>
      <w:r>
        <w:t>Layout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 w:val="true"/>
        </w:trPr>
        <w:tc>
          <w:tcPr>
            <w:tcW w:type="dxa" w:w="2882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2882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882"/>
          </w:tcPr>
          <w:p>
            <w:r/>
            <w:r>
              <w:rPr>
                <w:b/>
              </w:rPr>
              <w:t>Props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b/>
              </w:rPr>
              <w:t>Card</w:t>
            </w:r>
          </w:p>
        </w:tc>
        <w:tc>
          <w:tcPr>
            <w:tcW w:type="dxa" w:w="2882"/>
          </w:tcPr>
          <w:p>
            <w:r/>
            <w:r>
              <w:t>Bordered white box around one child</w:t>
            </w:r>
          </w:p>
        </w:tc>
        <w:tc>
          <w:tcPr>
            <w:tcW w:type="dxa" w:w="2882"/>
          </w:tcPr>
          <w:p>
            <w:r/>
            <w:r>
              <w:t>title?, subtitle?, child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b/>
              </w:rPr>
              <w:t>Row</w:t>
            </w:r>
          </w:p>
        </w:tc>
        <w:tc>
          <w:tcPr>
            <w:tcW w:type="dxa" w:w="2882"/>
          </w:tcPr>
          <w:p>
            <w:r/>
            <w:r>
              <w:t>Children side-by-side (wraps)</w:t>
            </w:r>
          </w:p>
        </w:tc>
        <w:tc>
          <w:tcPr>
            <w:tcW w:type="dxa" w:w="2882"/>
          </w:tcPr>
          <w:p>
            <w:r/>
            <w:r>
              <w:t>children[], gap?, align?, justify?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b/>
              </w:rPr>
              <w:t>Column</w:t>
            </w:r>
          </w:p>
        </w:tc>
        <w:tc>
          <w:tcPr>
            <w:tcW w:type="dxa" w:w="2882"/>
          </w:tcPr>
          <w:p>
            <w:r/>
            <w:r>
              <w:t>Children stacked vertically</w:t>
            </w:r>
          </w:p>
        </w:tc>
        <w:tc>
          <w:tcPr>
            <w:tcW w:type="dxa" w:w="2882"/>
          </w:tcPr>
          <w:p>
            <w:r/>
            <w:r>
              <w:t>children[], gap?, align?, justify?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b/>
              </w:rPr>
              <w:t>Section</w:t>
            </w:r>
          </w:p>
        </w:tc>
        <w:tc>
          <w:tcPr>
            <w:tcW w:type="dxa" w:w="2882"/>
          </w:tcPr>
          <w:p>
            <w:r/>
            <w:r>
              <w:t>Titled group of children</w:t>
            </w:r>
          </w:p>
        </w:tc>
        <w:tc>
          <w:tcPr>
            <w:tcW w:type="dxa" w:w="2882"/>
          </w:tcPr>
          <w:p>
            <w:r/>
            <w:r>
              <w:t>title?, children[], gap?</w:t>
            </w:r>
          </w:p>
        </w:tc>
      </w:tr>
    </w:tbl>
    <w:p>
      <w:pPr>
        <w:pStyle w:val="Heading3"/>
        <w:keepNext/>
        <w:keepLines/>
      </w:pPr>
      <w:r>
        <w:t>Inline 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 w:val="true"/>
        </w:trPr>
        <w:tc>
          <w:tcPr>
            <w:tcW w:type="dxa" w:w="2882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2882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882"/>
          </w:tcPr>
          <w:p>
            <w:r/>
            <w:r>
              <w:rPr>
                <w:b/>
              </w:rPr>
              <w:t>Props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b/>
              </w:rPr>
              <w:t>Heading</w:t>
            </w:r>
          </w:p>
        </w:tc>
        <w:tc>
          <w:tcPr>
            <w:tcW w:type="dxa" w:w="2882"/>
          </w:tcPr>
          <w:p>
            <w:r/>
            <w:r>
              <w:t>Level 1–3 heading</w:t>
            </w:r>
          </w:p>
        </w:tc>
        <w:tc>
          <w:tcPr>
            <w:tcW w:type="dxa" w:w="2882"/>
          </w:tcPr>
          <w:p>
            <w:r/>
            <w:r>
              <w:t>text, level?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b/>
              </w:rPr>
              <w:t>Text</w:t>
            </w:r>
          </w:p>
        </w:tc>
        <w:tc>
          <w:tcPr>
            <w:tcW w:type="dxa" w:w="2882"/>
          </w:tcPr>
          <w:p>
            <w:r/>
            <w:r>
              <w:t>Paragraph / label</w:t>
            </w:r>
          </w:p>
        </w:tc>
        <w:tc>
          <w:tcPr>
            <w:tcW w:type="dxa" w:w="2882"/>
          </w:tcPr>
          <w:p>
            <w:r/>
            <w:r>
              <w:t>text, muted?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b/>
              </w:rPr>
              <w:t>Badge</w:t>
            </w:r>
          </w:p>
        </w:tc>
        <w:tc>
          <w:tcPr>
            <w:tcW w:type="dxa" w:w="2882"/>
          </w:tcPr>
          <w:p>
            <w:r/>
            <w:r>
              <w:t>Status tag in five tones (red, green, blue, amber, gray)</w:t>
            </w:r>
          </w:p>
        </w:tc>
        <w:tc>
          <w:tcPr>
            <w:tcW w:type="dxa" w:w="2882"/>
          </w:tcPr>
          <w:p>
            <w:r/>
            <w:r>
              <w:t>text, color?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b/>
              </w:rPr>
              <w:t>Divider</w:t>
            </w:r>
          </w:p>
        </w:tc>
        <w:tc>
          <w:tcPr>
            <w:tcW w:type="dxa" w:w="2882"/>
          </w:tcPr>
          <w:p>
            <w:r/>
            <w:r>
              <w:t>Horizontal rule</w:t>
            </w:r>
          </w:p>
        </w:tc>
        <w:tc>
          <w:tcPr>
            <w:tcW w:type="dxa" w:w="2882"/>
          </w:tcPr>
          <w:p>
            <w:r/>
            <w:r>
              <w:t>—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b/>
              </w:rPr>
              <w:t>Spacer</w:t>
            </w:r>
          </w:p>
        </w:tc>
        <w:tc>
          <w:tcPr>
            <w:tcW w:type="dxa" w:w="2882"/>
          </w:tcPr>
          <w:p>
            <w:r/>
            <w:r>
              <w:t>Vertical whitespace</w:t>
            </w:r>
          </w:p>
        </w:tc>
        <w:tc>
          <w:tcPr>
            <w:tcW w:type="dxa" w:w="2882"/>
          </w:tcPr>
          <w:p>
            <w:r/>
            <w:r>
              <w:t>size?</w:t>
            </w:r>
          </w:p>
        </w:tc>
      </w:tr>
    </w:tbl>
    <w:p>
      <w:pPr>
        <w:pStyle w:val="Heading3"/>
        <w:keepNext/>
        <w:keepLines/>
      </w:pPr>
      <w:r>
        <w:t>Interactive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 w:val="true"/>
        </w:trPr>
        <w:tc>
          <w:tcPr>
            <w:tcW w:type="dxa" w:w="2882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2882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882"/>
          </w:tcPr>
          <w:p>
            <w:r/>
            <w:r>
              <w:rPr>
                <w:b/>
              </w:rPr>
              <w:t>Props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b/>
              </w:rPr>
              <w:t>Button</w:t>
            </w:r>
          </w:p>
        </w:tc>
        <w:tc>
          <w:tcPr>
            <w:tcW w:type="dxa" w:w="2882"/>
          </w:tcPr>
          <w:p>
            <w:r/>
            <w:r>
              <w:t>Clicking dispatches an action back to the agent</w:t>
            </w:r>
          </w:p>
        </w:tc>
        <w:tc>
          <w:tcPr>
            <w:tcW w:type="dxa" w:w="2882"/>
          </w:tcPr>
          <w:p>
            <w:r/>
            <w:r>
              <w:t>label, variant? (primary|secondary|ghost), action{event{name, context?}}</w:t>
            </w:r>
          </w:p>
        </w:tc>
      </w:tr>
    </w:tbl>
    <w:p>
      <w:pPr>
        <w:pStyle w:val="Heading3"/>
        <w:keepNext/>
        <w:keepLines/>
      </w:pPr>
      <w:r>
        <w:t>Data &amp; charts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 w:val="true"/>
        </w:trPr>
        <w:tc>
          <w:tcPr>
            <w:tcW w:type="dxa" w:w="2882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2882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882"/>
          </w:tcPr>
          <w:p>
            <w:r/>
            <w:r>
              <w:rPr>
                <w:b/>
              </w:rPr>
              <w:t>Props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b/>
              </w:rPr>
              <w:t>MetricGrid</w:t>
            </w:r>
          </w:p>
        </w:tc>
        <w:tc>
          <w:tcPr>
            <w:tcW w:type="dxa" w:w="2882"/>
          </w:tcPr>
          <w:p>
            <w:r/>
            <w:r>
              <w:t>Responsive KPI grid</w:t>
            </w:r>
          </w:p>
        </w:tc>
        <w:tc>
          <w:tcPr>
            <w:tcW w:type="dxa" w:w="2882"/>
          </w:tcPr>
          <w:p>
            <w:r/>
            <w:r>
              <w:t>metrics[]{label, value, trend?, delta?}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b/>
              </w:rPr>
              <w:t>BarChart</w:t>
            </w:r>
          </w:p>
        </w:tc>
        <w:tc>
          <w:tcPr>
            <w:tcW w:type="dxa" w:w="2882"/>
          </w:tcPr>
          <w:p>
            <w:r/>
            <w:r>
              <w:t>Bars for comparing categories</w:t>
            </w:r>
          </w:p>
        </w:tc>
        <w:tc>
          <w:tcPr>
            <w:tcW w:type="dxa" w:w="2882"/>
          </w:tcPr>
          <w:p>
            <w:r/>
            <w:r>
              <w:t>title?, data[]{label, value}, orientation?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b/>
              </w:rPr>
              <w:t>PieChart</w:t>
            </w:r>
          </w:p>
        </w:tc>
        <w:tc>
          <w:tcPr>
            <w:tcW w:type="dxa" w:w="2882"/>
          </w:tcPr>
          <w:p>
            <w:r/>
            <w:r>
              <w:t>Pie/donut for proportions</w:t>
            </w:r>
          </w:p>
        </w:tc>
        <w:tc>
          <w:tcPr>
            <w:tcW w:type="dxa" w:w="2882"/>
          </w:tcPr>
          <w:p>
            <w:r/>
            <w:r>
              <w:t>title?, data[]{label, value}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b/>
              </w:rPr>
              <w:t>LineChart</w:t>
            </w:r>
          </w:p>
        </w:tc>
        <w:tc>
          <w:tcPr>
            <w:tcW w:type="dxa" w:w="2882"/>
          </w:tcPr>
          <w:p>
            <w:r/>
            <w:r>
              <w:t>Lines for trends over a series</w:t>
            </w:r>
          </w:p>
        </w:tc>
        <w:tc>
          <w:tcPr>
            <w:tcW w:type="dxa" w:w="2882"/>
          </w:tcPr>
          <w:p>
            <w:r/>
            <w:r>
              <w:t>title?, data[], xKey, series[]{key, label?, color?}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b/>
              </w:rPr>
              <w:t>DataTable</w:t>
            </w:r>
          </w:p>
        </w:tc>
        <w:tc>
          <w:tcPr>
            <w:tcW w:type="dxa" w:w="2882"/>
          </w:tcPr>
          <w:p>
            <w:r/>
            <w:r>
              <w:t>Structured rows — REQUIRED for query-tool results</w:t>
            </w:r>
          </w:p>
        </w:tc>
        <w:tc>
          <w:tcPr>
            <w:tcW w:type="dxa" w:w="2882"/>
          </w:tcPr>
          <w:p>
            <w:r/>
            <w:r>
              <w:t>title?, columns[]{key, label}, rows[]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b/>
              </w:rPr>
              <w:t>ComparisonTable</w:t>
            </w:r>
          </w:p>
        </w:tc>
        <w:tc>
          <w:tcPr>
            <w:tcW w:type="dxa" w:w="2882"/>
          </w:tcPr>
          <w:p>
            <w:r/>
            <w:r>
              <w:t>Compare items across criteria</w:t>
            </w:r>
          </w:p>
        </w:tc>
        <w:tc>
          <w:tcPr>
            <w:tcW w:type="dxa" w:w="2882"/>
          </w:tcPr>
          <w:p>
            <w:r/>
            <w:r>
              <w:t>title?, items[], criteria[]{label, values[]}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b/>
              </w:rPr>
              <w:t>Timeline</w:t>
            </w:r>
          </w:p>
        </w:tc>
        <w:tc>
          <w:tcPr>
            <w:tcW w:type="dxa" w:w="2882"/>
          </w:tcPr>
          <w:p>
            <w:r/>
            <w:r>
              <w:t>Vertical event timeline</w:t>
            </w:r>
          </w:p>
        </w:tc>
        <w:tc>
          <w:tcPr>
            <w:tcW w:type="dxa" w:w="2882"/>
          </w:tcPr>
          <w:p>
            <w:r/>
            <w:r>
              <w:t>title?, events[]{date, label, description?}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rPr>
                <w:b/>
              </w:rPr>
              <w:t>FlowDiagram</w:t>
            </w:r>
          </w:p>
        </w:tc>
        <w:tc>
          <w:tcPr>
            <w:tcW w:type="dxa" w:w="2882"/>
          </w:tcPr>
          <w:p>
            <w:r/>
            <w:r>
              <w:t>Horizontal step flow</w:t>
            </w:r>
          </w:p>
        </w:tc>
        <w:tc>
          <w:tcPr>
            <w:tcW w:type="dxa" w:w="2882"/>
          </w:tcPr>
          <w:p>
            <w:r/>
            <w:r>
              <w:t>title?, steps[]{label, description?}</w:t>
            </w:r>
          </w:p>
        </w:tc>
      </w:tr>
    </w:tbl>
    <w:p>
      <w:pPr>
        <w:pStyle w:val="Heading3"/>
        <w:keepNext/>
        <w:keepLines/>
      </w:pPr>
      <w:r>
        <w:t>Dashboard layout rules</w:t>
      </w:r>
    </w:p>
    <w:p>
      <w:pPr>
        <w:pStyle w:val="ListBullet"/>
      </w:pPr>
      <w:r>
        <w:t>Root is always a Column</w:t>
      </w:r>
    </w:p>
    <w:p>
      <w:pPr>
        <w:pStyle w:val="ListBullet"/>
      </w:pPr>
      <w:r>
        <w:t>All KPIs go in ONE MetricGrid (not individual cards)</w:t>
      </w:r>
    </w:p>
    <w:p>
      <w:pPr>
        <w:pStyle w:val="ListBullet"/>
      </w:pPr>
      <w:r>
        <w:t>Related charts sit side-by-side in a Row</w:t>
      </w:r>
    </w:p>
    <w:p>
      <w:pPr>
        <w:pStyle w:val="ListBullet"/>
      </w:pPr>
      <w:r>
        <w:t>Surfaces fill the full width</w:t>
      </w:r>
    </w:p>
    <w:p>
      <w:pPr>
        <w:pStyle w:val="ListBullet"/>
      </w:pPr>
      <w:r>
        <w:t xml:space="preserve">Every surface is followed by </w:t>
      </w:r>
      <w:r>
        <w:rPr>
          <w:b/>
        </w:rPr>
        <w:t>exactly one</w:t>
      </w:r>
      <w:r>
        <w:t xml:space="preserve"> short caption sentence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5. Side-Panel Artifacts (openArtifact)</w:t>
      </w:r>
    </w:p>
    <w:p>
      <w:r>
        <w:drawing>
          <wp:inline xmlns:a="http://schemas.openxmlformats.org/drawingml/2006/main" xmlns:pic="http://schemas.openxmlformats.org/drawingml/2006/picture">
            <wp:extent cx="5400000" cy="29571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rtifa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A document rendered in a dedicated panel beside the conversation. Used only when the user explicitly asks for a document/artifact, or the content is genuinely long-form.</w:t>
      </w:r>
    </w:p>
    <w:p>
      <w:pPr>
        <w:pStyle w:val="Heading3"/>
        <w:keepNext/>
        <w:keepLines/>
      </w:pPr>
      <w:r>
        <w:t>Supported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rPr>
          <w:cantSplit/>
          <w:tblHeader w:val="true"/>
        </w:trPr>
        <w:tc>
          <w:tcPr>
            <w:tcW w:type="dxa" w:w="2882"/>
          </w:tcPr>
          <w:p>
            <w:r/>
            <w:r>
              <w:rPr>
                <w:b/>
              </w:rPr>
              <w:t>Format</w:t>
            </w:r>
          </w:p>
        </w:tc>
        <w:tc>
          <w:tcPr>
            <w:tcW w:type="dxa" w:w="2882"/>
          </w:tcPr>
          <w:p>
            <w:r/>
            <w:r>
              <w:rPr>
                <w:b/>
              </w:rPr>
              <w:t>Renders</w:t>
            </w:r>
          </w:p>
        </w:tc>
        <w:tc>
          <w:tcPr>
            <w:tcW w:type="dxa" w:w="2882"/>
          </w:tcPr>
          <w:p>
            <w:r/>
            <w:r>
              <w:rPr>
                <w:b/>
              </w:rPr>
              <w:t>When to use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t>markdown</w:t>
            </w:r>
          </w:p>
        </w:tc>
        <w:tc>
          <w:tcPr>
            <w:tcW w:type="dxa" w:w="2882"/>
          </w:tcPr>
          <w:p>
            <w:r/>
            <w:r>
              <w:t>Long multi-section document</w:t>
            </w:r>
          </w:p>
        </w:tc>
        <w:tc>
          <w:tcPr>
            <w:tcW w:type="dxa" w:w="2882"/>
          </w:tcPr>
          <w:p>
            <w:r/>
            <w:r>
              <w:t>Reports, essays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t>html</w:t>
            </w:r>
          </w:p>
        </w:tc>
        <w:tc>
          <w:tcPr>
            <w:tcW w:type="dxa" w:w="2882"/>
          </w:tcPr>
          <w:p>
            <w:r/>
            <w:r>
              <w:t>Self-contained designed page (inline CSS &amp; SVG, no network)</w:t>
            </w:r>
          </w:p>
        </w:tc>
        <w:tc>
          <w:tcPr>
            <w:tcW w:type="dxa" w:w="2882"/>
          </w:tcPr>
          <w:p>
            <w:r/>
            <w:r>
              <w:t>Polished one-pagers, under ~3000 words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t>code</w:t>
            </w:r>
          </w:p>
        </w:tc>
        <w:tc>
          <w:tcPr>
            <w:tcW w:type="dxa" w:w="2882"/>
          </w:tcPr>
          <w:p>
            <w:r/>
            <w:r>
              <w:t>Standalone source file</w:t>
            </w:r>
          </w:p>
        </w:tc>
        <w:tc>
          <w:tcPr>
            <w:tcW w:type="dxa" w:w="2882"/>
          </w:tcPr>
          <w:p>
            <w:r/>
            <w:r>
              <w:t>Code in a dedicated space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t>mermaid</w:t>
            </w:r>
          </w:p>
        </w:tc>
        <w:tc>
          <w:tcPr>
            <w:tcW w:type="dxa" w:w="2882"/>
          </w:tcPr>
          <w:p>
            <w:r/>
            <w:r>
              <w:t>Single Mermaid diagram (source only)</w:t>
            </w:r>
          </w:p>
        </w:tc>
        <w:tc>
          <w:tcPr>
            <w:tcW w:type="dxa" w:w="2882"/>
          </w:tcPr>
          <w:p>
            <w:r/>
            <w:r>
              <w:t>One diagram, no prose</w:t>
            </w:r>
          </w:p>
        </w:tc>
      </w:tr>
      <w:tr>
        <w:trPr>
          <w:cantSplit/>
        </w:trPr>
        <w:tc>
          <w:tcPr>
            <w:tcW w:type="dxa" w:w="2882"/>
          </w:tcPr>
          <w:p>
            <w:r/>
            <w:r>
              <w:t>svg</w:t>
            </w:r>
          </w:p>
        </w:tc>
        <w:tc>
          <w:tcPr>
            <w:tcW w:type="dxa" w:w="2882"/>
          </w:tcPr>
          <w:p>
            <w:r/>
            <w:r>
              <w:t>Complete inline illustration</w:t>
            </w:r>
          </w:p>
        </w:tc>
        <w:tc>
          <w:tcPr>
            <w:tcW w:type="dxa" w:w="2882"/>
          </w:tcPr>
          <w:p>
            <w:r/>
            <w:r>
              <w:t>Self-contained &lt;svg&gt;</w:t>
            </w:r>
          </w:p>
        </w:tc>
      </w:tr>
    </w:tbl>
    <w:p>
      <w:pPr>
        <w:pStyle w:val="Heading3"/>
        <w:keepNext/>
        <w:keepLines/>
      </w:pPr>
      <w:r>
        <w:t>Artifact panel features</w:t>
      </w:r>
    </w:p>
    <w:p>
      <w:pPr>
        <w:pStyle w:val="ListBullet"/>
      </w:pPr>
      <w:r>
        <w:t>Copy / Download the content</w:t>
      </w:r>
    </w:p>
    <w:p>
      <w:pPr>
        <w:pStyle w:val="ListBullet"/>
      </w:pPr>
      <w:r>
        <w:t>Edit inline — select text and give an instruction</w:t>
      </w:r>
    </w:p>
    <w:p>
      <w:pPr>
        <w:pStyle w:val="ListBullet"/>
      </w:pPr>
      <w:r>
        <w:t>Version navigation — history, diff between versions, restore older versions</w:t>
      </w:r>
    </w:p>
    <w:p>
      <w:pPr>
        <w:pStyle w:val="ListBullet"/>
      </w:pPr>
      <w:r>
        <w:t>Preview / Code toggle for renderable types</w:t>
      </w:r>
    </w:p>
    <w:p>
      <w:pPr>
        <w:pStyle w:val="Heading3"/>
        <w:keepNext/>
        <w:keepLines/>
      </w:pPr>
      <w:r>
        <w:t>Brand constraints (HTML artifacts)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 w:val="true"/>
        </w:trPr>
        <w:tc>
          <w:tcPr>
            <w:tcW w:type="dxa" w:w="4323"/>
          </w:tcPr>
          <w:p>
            <w:r/>
            <w:r>
              <w:rPr>
                <w:b/>
              </w:rPr>
              <w:t>Rule</w:t>
            </w:r>
          </w:p>
        </w:tc>
        <w:tc>
          <w:tcPr>
            <w:tcW w:type="dxa" w:w="4323"/>
          </w:tcPr>
          <w:p>
            <w:r/>
            <w:r>
              <w:rPr>
                <w:b/>
              </w:rPr>
              <w:t>Value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Accent colour</w:t>
            </w:r>
          </w:p>
        </w:tc>
        <w:tc>
          <w:tcPr>
            <w:tcW w:type="dxa" w:w="4323"/>
          </w:tcPr>
          <w:p>
            <w:r/>
            <w:r>
              <w:t>#ed1b24 (TCB red)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Text colour</w:t>
            </w:r>
          </w:p>
        </w:tc>
        <w:tc>
          <w:tcPr>
            <w:tcW w:type="dxa" w:w="4323"/>
          </w:tcPr>
          <w:p>
            <w:r/>
            <w:r>
              <w:t>#1a1a1a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Muted colour</w:t>
            </w:r>
          </w:p>
        </w:tc>
        <w:tc>
          <w:tcPr>
            <w:tcW w:type="dxa" w:w="4323"/>
          </w:tcPr>
          <w:p>
            <w:r/>
            <w:r>
              <w:t>#6b7280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Border colour</w:t>
            </w:r>
          </w:p>
        </w:tc>
        <w:tc>
          <w:tcPr>
            <w:tcW w:type="dxa" w:w="4323"/>
          </w:tcPr>
          <w:p>
            <w:r/>
            <w:r>
              <w:t>#e5e7eb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Fonts</w:t>
            </w:r>
          </w:p>
        </w:tc>
        <w:tc>
          <w:tcPr>
            <w:tcW w:type="dxa" w:w="4323"/>
          </w:tcPr>
          <w:p>
            <w:r/>
            <w:r>
              <w:t>System fonts only — no external resources (sandboxed)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Content width</w:t>
            </w:r>
          </w:p>
        </w:tc>
        <w:tc>
          <w:tcPr>
            <w:tcW w:type="dxa" w:w="4323"/>
          </w:tcPr>
          <w:p>
            <w:r/>
            <w:r>
              <w:t>Centered at ~820–880 px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Border radius</w:t>
            </w:r>
          </w:p>
        </w:tc>
        <w:tc>
          <w:tcPr>
            <w:tcW w:type="dxa" w:w="4323"/>
          </w:tcPr>
          <w:p>
            <w:r/>
            <w:r>
              <w:t>10–14 px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Font weight</w:t>
            </w:r>
          </w:p>
        </w:tc>
        <w:tc>
          <w:tcPr>
            <w:tcW w:type="dxa" w:w="4323"/>
          </w:tcPr>
          <w:p>
            <w:r/>
            <w:r>
              <w:t>Capped at 700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6. Tool-Driven Surfaces</w:t>
      </w:r>
    </w:p>
    <w:p>
      <w:pPr/>
      <w:r>
        <w:t>Surfaces produced by specialist tools. Each tool renders its own UI in the chat; the model triggers the tool and the frontend draws the result.</w:t>
      </w:r>
    </w:p>
    <w:p>
      <w:pPr>
        <w:pStyle w:val="Heading3"/>
        <w:keepNext/>
        <w:keepLines/>
      </w:pPr>
      <w:r>
        <w:t>Job cards &amp; file cards</w:t>
      </w:r>
    </w:p>
    <w:p>
      <w:r>
        <w:drawing>
          <wp:inline xmlns:a="http://schemas.openxmlformats.org/drawingml/2006/main" xmlns:pic="http://schemas.openxmlformats.org/drawingml/2006/picture">
            <wp:extent cx="5400000" cy="31710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job-c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71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00000" cy="50511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ile-c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51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Long-running tasks (image, diagram, translation, presentation) show a job card that polls status. States: probing → queued → running → done / error / expired. You can keep chatting while it runs.</w:t>
      </w:r>
    </w:p>
    <w:p>
      <w:pPr>
        <w:pStyle w:val="Heading3"/>
        <w:keepNext/>
        <w:keepLines/>
      </w:pPr>
      <w:r>
        <w:t>Image generation (generate_image)</w:t>
      </w:r>
    </w:p>
    <w:p>
      <w:r>
        <w:drawing>
          <wp:inline xmlns:a="http://schemas.openxmlformats.org/drawingml/2006/main" xmlns:pic="http://schemas.openxmlformats.org/drawingml/2006/picture">
            <wp:extent cx="5400000" cy="29571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image-g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Renders images inline (square / landscape / portrait). Hover to download, click to preview full-size in the right panel.</w:t>
      </w:r>
    </w:p>
    <w:p>
      <w:pPr>
        <w:pStyle w:val="Heading3"/>
        <w:keepNext/>
        <w:keepLines/>
      </w:pPr>
      <w:r>
        <w:t>Diagram workspace (open_diagram_workspace)</w:t>
      </w:r>
    </w:p>
    <w:p>
      <w:r>
        <w:drawing>
          <wp:inline xmlns:a="http://schemas.openxmlformats.org/drawingml/2006/main" xmlns:pic="http://schemas.openxmlformats.org/drawingml/2006/picture">
            <wp:extent cx="5400000" cy="29535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iagram-workspa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An editable diagram board. Drag/rearrange nodes, iterate across turns, export to draw.io / Excalidraw / XMind.</w:t>
      </w:r>
    </w:p>
    <w:p>
      <w:pPr>
        <w:pStyle w:val="Heading3"/>
        <w:keepNext/>
        <w:keepLines/>
      </w:pPr>
      <w:r>
        <w:t>Document tools (hand-off cards)</w:t>
      </w:r>
    </w:p>
    <w:p>
      <w:r>
        <w:drawing>
          <wp:inline xmlns:a="http://schemas.openxmlformats.org/drawingml/2006/main" xmlns:pic="http://schemas.openxmlformats.org/drawingml/2006/picture">
            <wp:extent cx="5400000" cy="38162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1-transl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6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00000" cy="41657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2-summariz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400000" cy="43733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3-powerpoi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733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 w:val="true"/>
        </w:trPr>
        <w:tc>
          <w:tcPr>
            <w:tcW w:type="dxa" w:w="4323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4323"/>
          </w:tcPr>
          <w:p>
            <w:r/>
            <w:r>
              <w:rPr>
                <w:b/>
              </w:rPr>
              <w:t>What appears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translate_document</w:t>
            </w:r>
          </w:p>
        </w:tc>
        <w:tc>
          <w:tcPr>
            <w:tcW w:type="dxa" w:w="4323"/>
          </w:tcPr>
          <w:p>
            <w:r/>
            <w:r>
              <w:t>File card with download + preview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summarize_documents</w:t>
            </w:r>
          </w:p>
        </w:tc>
        <w:tc>
          <w:tcPr>
            <w:tcW w:type="dxa" w:w="4323"/>
          </w:tcPr>
          <w:p>
            <w:r/>
            <w:r>
              <w:t>Summary + "Open mind map in Summarizer"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generate_presentation</w:t>
            </w:r>
          </w:p>
        </w:tc>
        <w:tc>
          <w:tcPr>
            <w:tcW w:type="dxa" w:w="4323"/>
          </w:tcPr>
          <w:p>
            <w:r/>
            <w:r>
              <w:t>PPTX card + "Edit slides in chat"</w:t>
            </w:r>
          </w:p>
        </w:tc>
      </w:tr>
    </w:tbl>
    <w:p>
      <w:pPr>
        <w:pStyle w:val="Heading3"/>
        <w:keepNext/>
        <w:keepLines/>
      </w:pPr>
      <w:r>
        <w:t>Clarification card (ask_clarification)</w:t>
      </w:r>
    </w:p>
    <w:p>
      <w:r>
        <w:drawing>
          <wp:inline xmlns:a="http://schemas.openxmlformats.org/drawingml/2006/main" xmlns:pic="http://schemas.openxmlformats.org/drawingml/2006/picture">
            <wp:extent cx="5400000" cy="36133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5-ask-det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One question with 2–4 option buttons plus a free-text field. Pauses the turn for your choice. Maximum 2–3 clarification rounds.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7. Decision Rules — Which Surface, and When</w:t>
      </w:r>
    </w:p>
    <w:p>
      <w:pPr/>
      <w:r>
        <w:t>The decision order the model follows:</w:t>
      </w:r>
    </w:p>
    <w:p>
      <w:pPr/>
      <w:r>
        <w:rPr>
          <w:b/>
        </w:rPr>
        <w:t xml:space="preserve">Rule 1: Inline markdown (default). </w:t>
      </w:r>
      <w:r>
        <w:t>Text, small tables, code, mermaid, LaTeX. When in doubt, answer inline.</w:t>
      </w:r>
    </w:p>
    <w:p>
      <w:pPr/>
      <w:r>
        <w:rPr>
          <w:b/>
        </w:rPr>
        <w:t xml:space="preserve">Rule 2: Generative UI </w:t>
      </w:r>
      <w:r>
        <w:t>(render_a2ui) when quantitative data is clearer as a visual, or the user asks for a dashboard/chart.</w:t>
      </w:r>
    </w:p>
    <w:p>
      <w:pPr>
        <w:pStyle w:val="ListBullet"/>
      </w:pPr>
      <w:r>
        <w:t>❗ Rows from a query tool (Genie/SQL) → always DataTable, NEVER markdown table</w:t>
      </w:r>
    </w:p>
    <w:p>
      <w:pPr>
        <w:pStyle w:val="ListBullet"/>
      </w:pPr>
      <w:r>
        <w:t>❗ At most ~30 rows per table; state the true total in the caption</w:t>
      </w:r>
    </w:p>
    <w:p>
      <w:pPr>
        <w:pStyle w:val="ListBullet"/>
      </w:pPr>
      <w:r>
        <w:t>❗ Every surface followed by exactly one caption sentence</w:t>
      </w:r>
    </w:p>
    <w:p>
      <w:pPr/>
      <w:r>
        <w:rPr>
          <w:b/>
        </w:rPr>
        <w:t xml:space="preserve">Rule 3: Clarify </w:t>
      </w:r>
      <w:r>
        <w:t>(ask_clarification) when the request is ambiguous, or chaining 2+ document operations (translate → summarize → slides) — pause after each step for the user to review. Max 2–3 rounds.</w:t>
      </w:r>
    </w:p>
    <w:p>
      <w:pPr/>
      <w:r>
        <w:rPr>
          <w:b/>
        </w:rPr>
        <w:t xml:space="preserve">Rule 4: Side-panel artifact </w:t>
      </w:r>
      <w:r>
        <w:t>(openArtifact) only when the user explicitly asks for a document, or the content is genuinely long-form / a designed page.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8. Response Actions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400000" cy="27859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ction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59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 w:val="true"/>
        </w:trPr>
        <w:tc>
          <w:tcPr>
            <w:tcW w:type="dxa" w:w="4323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4323"/>
          </w:tcPr>
          <w:p>
            <w:r/>
            <w:r>
              <w:rPr>
                <w:b/>
              </w:rPr>
              <w:t>What it does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t>Copy</w:t>
            </w:r>
          </w:p>
        </w:tc>
        <w:tc>
          <w:tcPr>
            <w:tcW w:type="dxa" w:w="4323"/>
          </w:tcPr>
          <w:p>
            <w:r/>
            <w:r>
              <w:t>Copy the response to clipboard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t>👍 / 👎</w:t>
            </w:r>
          </w:p>
        </w:tc>
        <w:tc>
          <w:tcPr>
            <w:tcW w:type="dxa" w:w="4323"/>
          </w:tcPr>
          <w:p>
            <w:r/>
            <w:r>
              <w:t>Rate the response (opens a feedback form)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t>Regenerate</w:t>
            </w:r>
          </w:p>
        </w:tc>
        <w:tc>
          <w:tcPr>
            <w:tcW w:type="dxa" w:w="4323"/>
          </w:tcPr>
          <w:p>
            <w:r/>
            <w:r>
              <w:t>Get a different response for the same question</w:t>
            </w:r>
          </w:p>
        </w:tc>
      </w:tr>
    </w:tbl>
    <w:p>
      <w:pPr/>
      <w:r>
        <w:t>You can edit any sent message (hover → Edit) to re-run with changes. A version navigator &lt; 1/2 &gt; lets you switch between branches.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9. Token Meter</w:t>
      </w:r>
    </w:p>
    <w:p>
      <w:r>
        <w:drawing>
          <wp:inline xmlns:a="http://schemas.openxmlformats.org/drawingml/2006/main" xmlns:pic="http://schemas.openxmlformats.org/drawingml/2006/picture">
            <wp:extent cx="5400000" cy="161162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token-met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11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The sidebar shows your token usage (e.g., 3 / 10,000). Tips to save tokens:</w:t>
      </w:r>
    </w:p>
    <w:p>
      <w:pPr>
        <w:pStyle w:val="ListBullet"/>
      </w:pPr>
      <w:r>
        <w:t>Start a new chat for a new topic</w:t>
      </w:r>
    </w:p>
    <w:p>
      <w:pPr>
        <w:pStyle w:val="ListBullet"/>
      </w:pPr>
      <w:r>
        <w:t>Attach only the files you need</w:t>
      </w:r>
    </w:p>
    <w:p>
      <w:pPr>
        <w:pStyle w:val="ListBullet"/>
      </w:pPr>
      <w:r>
        <w:t>Ask one focused question at a time</w:t>
      </w:r>
    </w:p>
    <w:p>
      <w:pPr/>
      <w:r>
        <w:t>At 90% usage, the bar turns red with a warning.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Tips</w:t>
      </w:r>
    </w:p>
    <w:p>
      <w:pPr>
        <w:pStyle w:val="ListBullet"/>
      </w:pPr>
      <w:r>
        <w:t>Be specific: "Create a 5-slide presentation about cloud security" → gets slides. "Tell me about cloud security" → gets text.</w:t>
      </w:r>
    </w:p>
    <w:p>
      <w:pPr>
        <w:pStyle w:val="ListBullet"/>
      </w:pPr>
      <w:r>
        <w:t>Use @ to go directly to a specialist.</w:t>
      </w:r>
    </w:p>
    <w:p>
      <w:pPr>
        <w:pStyle w:val="ListBullet"/>
      </w:pPr>
      <w:r>
        <w:t>Use inline editing in the artifact panel instead of asking TÀI to rewrite everything.</w:t>
      </w:r>
    </w:p>
    <w:p>
      <w:pPr>
        <w:pStyle w:val="ListBullet"/>
      </w:pPr>
      <w:r>
        <w:t>Job cards update automatically — keep chatting while they run.</w:t>
      </w:r>
    </w:p>
    <w:p>
      <w:pPr>
        <w:pStyle w:val="ListBullet"/>
      </w:pPr>
      <w:r>
        <w:t>If you need a polished report, ask for an "HTML artifact" — it opens as a designed page in the side panel.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 w:val="true"/>
        </w:trPr>
        <w:tc>
          <w:tcPr>
            <w:tcW w:type="dxa" w:w="4323"/>
          </w:tcPr>
          <w:p>
            <w:r/>
            <w:r>
              <w:rPr>
                <w:b/>
              </w:rPr>
              <w:t>Limitation</w:t>
            </w:r>
          </w:p>
        </w:tc>
        <w:tc>
          <w:tcPr>
            <w:tcW w:type="dxa" w:w="4323"/>
          </w:tcPr>
          <w:p>
            <w:r/>
            <w:r>
              <w:rPr>
                <w:b/>
              </w:rPr>
              <w:t>Detail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t>No DOCX/XLSX preview</w:t>
            </w:r>
          </w:p>
        </w:tc>
        <w:tc>
          <w:tcPr>
            <w:tcW w:type="dxa" w:w="4323"/>
          </w:tcPr>
          <w:p>
            <w:r/>
            <w:r>
              <w:t>Download only — no inline preview for these types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t>No per-card cancel</w:t>
            </w:r>
          </w:p>
        </w:tc>
        <w:tc>
          <w:tcPr>
            <w:tcW w:type="dxa" w:w="4323"/>
          </w:tcPr>
          <w:p>
            <w:r/>
            <w:r>
              <w:t>Use the global Stop button to halt all processing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t>Language follows your prompt</w:t>
            </w:r>
          </w:p>
        </w:tc>
        <w:tc>
          <w:tcPr>
            <w:tcW w:type="dxa" w:w="4323"/>
          </w:tcPr>
          <w:p>
            <w:r/>
            <w:r>
              <w:t>The EN/VI toggle changes UI only, not response language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t>Context Hub</w:t>
            </w:r>
          </w:p>
        </w:tc>
        <w:tc>
          <w:tcPr>
            <w:tcW w:type="dxa" w:w="4323"/>
          </w:tcPr>
          <w:p>
            <w:r/>
            <w:r>
              <w:t>Shows "COMING SOON" — not available yet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t>~30 row cap on DataTable</w:t>
            </w:r>
          </w:p>
        </w:tc>
        <w:tc>
          <w:tcPr>
            <w:tcW w:type="dxa" w:w="4323"/>
          </w:tcPr>
          <w:p>
            <w:r/>
            <w:r>
              <w:t>Larger datasets are truncated; true total is in the caption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/>
      <w:r>
        <w:t>⚠️ All agent-generated content is advisory only — please review and verify accuracy before use.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/>
      <w:r>
        <w:rPr>
          <w:i/>
        </w:rPr>
        <w:t>Last updated: 13/08/2026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