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 — The AI Visionary</w:t>
      </w:r>
    </w:p>
    <w:p>
      <w:pPr>
        <w:pStyle w:val="Heading1"/>
      </w:pPr>
      <w:r>
        <w:t>The AI Visionary — User Guide</w:t>
      </w:r>
    </w:p>
    <w:p>
      <w:pPr>
        <w:pStyle w:val="Heading2"/>
      </w:pPr>
      <w:r>
        <w:t>Overview</w:t>
      </w:r>
    </w:p>
    <w:p>
      <w:r>
        <w:t xml:space="preserve">The </w:t>
      </w:r>
      <w:r>
        <w:rPr>
          <w:b/>
        </w:rPr>
        <w:t>AI Visionary</w:t>
      </w:r>
      <w:r>
        <w:t xml:space="preserve"> is a knowledge support tool designed to provide insights into Techcombank’s AI strategy, vision, and roadmap across various divisions. All information presented is sourced from official Techcombank documents, ensuring accuracy and reliability.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Interface Layout</w:t>
      </w:r>
    </w:p>
    <w:p>
      <w:r>
        <w:drawing>
          <wp:inline xmlns:a="http://schemas.openxmlformats.org/drawingml/2006/main" xmlns:pic="http://schemas.openxmlformats.org/drawingml/2006/picture">
            <wp:extent cx="5486400" cy="3000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31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8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Main area</w:t>
            </w:r>
          </w:p>
        </w:tc>
        <w:tc>
          <w:tcPr>
            <w:tcW w:type="dxa" w:w="4320"/>
          </w:tcPr>
          <w:p>
            <w:r/>
            <w:r>
              <w:t>Main area is chat-based conversation, where users can interact with the AI to ask questions about Techcombank’s internal information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Use</w:t>
      </w:r>
    </w:p>
    <w:p>
      <w:pPr>
        <w:pStyle w:val="Heading3"/>
      </w:pPr>
      <w:r>
        <w:t>AI Vision Q&amp;A</w:t>
      </w:r>
    </w:p>
    <w:p>
      <w:r>
        <w:t>Simply type your question about AI strategy, vision, or technology trends. The AI responds with detailed, informed answers.</w:t>
      </w:r>
    </w:p>
    <w:p>
      <w:r>
        <w:drawing>
          <wp:inline xmlns:a="http://schemas.openxmlformats.org/drawingml/2006/main" xmlns:pic="http://schemas.openxmlformats.org/drawingml/2006/picture">
            <wp:extent cx="5486400" cy="3008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318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Example questions (hint chips):</w:t>
      </w:r>
    </w:p>
    <w:p>
      <w:pPr>
        <w:pStyle w:val="ListBullet"/>
        <w:ind w:left="360"/>
      </w:pPr>
      <w:r>
        <w:t xml:space="preserve">"What is Techcombank AI vision?" </w:t>
      </w:r>
    </w:p>
    <w:p>
      <w:pPr>
        <w:pStyle w:val="ListBullet"/>
        <w:ind w:left="360"/>
      </w:pPr>
      <w:r>
        <w:t xml:space="preserve">"How can GenAI improve operations?" </w:t>
      </w:r>
    </w:p>
    <w:p>
      <w:pPr>
        <w:pStyle w:val="ListBullet"/>
        <w:ind w:left="360"/>
      </w:pPr>
      <w:r>
        <w:t>"AI roadmap priorities for banking"</w:t>
      </w:r>
    </w:p>
    <w:p>
      <w:r>
        <w:t xml:space="preserve">Press </w:t>
      </w:r>
      <w:r>
        <w:rPr>
          <w:b/>
        </w:rPr>
        <w:t>Enter</w:t>
      </w:r>
      <w:r>
        <w:t xml:space="preserve"> to send. The AI responds with markdown-formatted answers.</w:t>
      </w:r>
    </w:p>
    <w:p>
      <w:pPr>
        <w:pStyle w:val="Heading3"/>
      </w:pPr>
      <w:r>
        <w:t>How the AI Works</w:t>
      </w:r>
    </w:p>
    <w:p>
      <w:r>
        <w:t>The AI analyzes all available internal data sources provided to it and identifies relevant information related to the user’s query. Based on this analysis, it generates a comprehensive answer.</w:t>
      </w:r>
    </w:p>
    <w:p>
      <w:r>
        <w:t>At the end of each response, the AI includes a list of sources it referenced, enabling users to track and validate the information.</w:t>
      </w:r>
    </w:p>
    <w:p>
      <w:r>
        <w:t>User can download the resource by press on them.</w:t>
      </w:r>
    </w:p>
    <w:p>
      <w:pPr>
        <w:pStyle w:val="Heading3"/>
      </w:pPr>
      <w:r>
        <w:t>AI Vision Feedback</w:t>
      </w:r>
    </w:p>
    <w:p>
      <w:r>
        <w:t>Users can provide feedback via the feedback button located at the bottom right corner. This includes sharing opinions, suggestions, or reporting issues.</w:t>
      </w:r>
    </w:p>
    <w:p>
      <w:r>
        <w:t>Collecting more feedback enables deeper insights, helping continuously improve and enhance TÀI Studio.</w:t>
      </w:r>
    </w:p>
    <w:p>
      <w:r>
        <w:drawing>
          <wp:inline xmlns:a="http://schemas.openxmlformats.org/drawingml/2006/main" xmlns:pic="http://schemas.openxmlformats.org/drawingml/2006/picture">
            <wp:extent cx="3543482" cy="4927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622-0327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492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</w:t>
      </w:r>
    </w:p>
    <w:p>
      <w:pPr>
        <w:pStyle w:val="ListBullet"/>
        <w:ind w:left="360"/>
      </w:pPr>
      <w:r>
        <w:t>Ask clear, specific questions to get better answers</w:t>
      </w:r>
    </w:p>
    <w:p>
      <w:pPr>
        <w:pStyle w:val="ListBullet"/>
        <w:ind w:left="360"/>
      </w:pPr>
      <w:r>
        <w:t>Use example questions (hint chips) as a quick starting point</w:t>
      </w:r>
    </w:p>
    <w:p>
      <w:pPr>
        <w:pStyle w:val="ListBullet"/>
        <w:ind w:left="360"/>
      </w:pPr>
      <w:r>
        <w:t>Check the listed sources for more details and validation</w:t>
      </w:r>
    </w:p>
    <w:p>
      <w:pPr>
        <w:pStyle w:val="ListBullet"/>
        <w:ind w:left="360"/>
      </w:pPr>
      <w:r>
        <w:t>Works well for weekly summary decks, strategy presentations, and AI roadmap updates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Limitations</w:t>
      </w:r>
    </w:p>
    <w:p>
      <w:pPr>
        <w:pStyle w:val="ListBullet"/>
        <w:ind w:left="360"/>
      </w:pPr>
      <w:r>
        <w:t>Presentations use text only — no embedded images</w:t>
      </w:r>
    </w:p>
    <w:p>
      <w:pPr>
        <w:pStyle w:val="ListBullet"/>
        <w:ind w:left="360"/>
      </w:pPr>
      <w:r>
        <w:t>Quality depends on the specificity of your request</w:t>
      </w:r>
    </w:p>
    <w:p>
      <w:pPr>
        <w:pStyle w:val="ListBullet"/>
        <w:ind w:left="360"/>
      </w:pPr>
      <w:r>
        <w:t>The AI's knowledge is focused on AI/technology strategy topics</w:t>
      </w:r>
    </w:p>
    <w:p>
      <w:pPr>
        <w:pStyle w:val="ListBullet"/>
        <w:ind w:left="360"/>
      </w:pPr>
      <w:r>
        <w:t>Answers depend on available internal documents only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Last updated: 2026-06-22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