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Guide — The Brainstormer</w:t>
      </w:r>
    </w:p>
    <w:p>
      <w:pPr>
        <w:pStyle w:val="Heading1"/>
      </w:pPr>
      <w:r>
        <w:t>The Brainstormer — User Guide</w:t>
      </w:r>
    </w:p>
    <w:p>
      <w:pPr>
        <w:pStyle w:val="Heading2"/>
      </w:pPr>
      <w:r>
        <w:t>Overview</w:t>
      </w:r>
    </w:p>
    <w:p>
      <w:r>
        <w:t>The Brainstormer is a structured thinking partner that helps you explore ideas, clarify problems, and converge on solutions. It features a chat interface paired with a live "Thinking Canvas" that organizes your brainstorming session into actionable components.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Interface Layout</w:t>
      </w:r>
    </w:p>
    <w:p>
      <w:r>
        <w:t xml:space="preserve">The page is divided into </w:t>
      </w:r>
      <w:r>
        <w:rPr>
          <w:b/>
        </w:rPr>
        <w:t>2 panels</w:t>
      </w:r>
      <w:r>
        <w:t>:</w:t>
      </w:r>
    </w:p>
    <w:p>
      <w:r>
        <w:drawing>
          <wp:inline xmlns:a="http://schemas.openxmlformats.org/drawingml/2006/main" xmlns:pic="http://schemas.openxmlformats.org/drawingml/2006/picture">
            <wp:extent cx="5486400" cy="3000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622-0322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82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Panel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t>Left (58%)</w:t>
            </w:r>
          </w:p>
        </w:tc>
        <w:tc>
          <w:tcPr>
            <w:tcW w:type="dxa" w:w="4320"/>
          </w:tcPr>
          <w:p>
            <w:r/>
            <w:r>
              <w:t>Chat conversation with the AI</w:t>
            </w:r>
          </w:p>
        </w:tc>
      </w:tr>
      <w:tr>
        <w:tc>
          <w:tcPr>
            <w:tcW w:type="dxa" w:w="4320"/>
          </w:tcPr>
          <w:p>
            <w:r/>
            <w:r>
              <w:t>Right (42%)</w:t>
            </w:r>
          </w:p>
        </w:tc>
        <w:tc>
          <w:tcPr>
            <w:tcW w:type="dxa" w:w="4320"/>
          </w:tcPr>
          <w:p>
            <w:r/>
            <w:r>
              <w:t>Thinking Canvas — structured output</w:t>
            </w:r>
          </w:p>
        </w:tc>
      </w:tr>
    </w:tbl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How to Use</w:t>
      </w:r>
    </w:p>
    <w:p>
      <w:pPr>
        <w:pStyle w:val="Heading3"/>
      </w:pPr>
      <w:r>
        <w:t>Step 1: Start a Conversation</w:t>
      </w:r>
    </w:p>
    <w:p>
      <w:r>
        <w:t xml:space="preserve">Type your idea, problem, or question in the input bar at the bottom. You can also click one of the </w:t>
      </w:r>
      <w:r>
        <w:rPr>
          <w:b/>
        </w:rPr>
        <w:t>hint chips</w:t>
      </w:r>
      <w:r>
        <w:t xml:space="preserve"> for inspiration: - "New product idea" - "Architecture decision" - "Prioritize between options" - "Vague idea I want to explore"</w:t>
      </w:r>
    </w:p>
    <w:p>
      <w:r>
        <w:t xml:space="preserve">Press </w:t>
      </w:r>
      <w:r>
        <w:rPr>
          <w:b/>
        </w:rPr>
        <w:t>Enter</w:t>
      </w:r>
      <w:r>
        <w:t xml:space="preserve"> to send (Shift+Enter for new line).</w:t>
      </w:r>
    </w:p>
    <w:p>
      <w:pPr>
        <w:pStyle w:val="Heading3"/>
      </w:pPr>
      <w:r>
        <w:t>Step 2: Engage in Dialogue</w:t>
      </w:r>
    </w:p>
    <w:p>
      <w:r>
        <w:drawing>
          <wp:inline xmlns:a="http://schemas.openxmlformats.org/drawingml/2006/main" xmlns:pic="http://schemas.openxmlformats.org/drawingml/2006/picture">
            <wp:extent cx="5486400" cy="299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622-03464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Brainstormer will ask clarifying questions and guide you through structured thinking. Respond naturally — even rough thoughts work perfectly. The AI adapts to your communication style.</w:t>
      </w:r>
    </w:p>
    <w:p>
      <w:r>
        <w:rPr>
          <w:b/>
        </w:rPr>
        <w:t>Note:</w:t>
      </w:r>
      <w:r>
        <w:t xml:space="preserve"> </w:t>
      </w:r>
    </w:p>
    <w:p>
      <w:pPr>
        <w:pStyle w:val="ListBullet"/>
        <w:ind w:left="360"/>
      </w:pPr>
      <w:r>
        <w:t xml:space="preserve">At the top of the conversation, click on the </w:t>
      </w:r>
      <w:r>
        <w:rPr>
          <w:b/>
        </w:rPr>
        <w:t>current flow</w:t>
      </w:r>
      <w:r>
        <w:t xml:space="preserve"> to open a dropdown menu displaying available </w:t>
      </w:r>
      <w:r>
        <w:rPr>
          <w:b/>
        </w:rPr>
        <w:t>thinking workflows</w:t>
      </w:r>
      <w:r>
        <w:t>.</w:t>
      </w:r>
    </w:p>
    <w:p>
      <w:pPr>
        <w:pStyle w:val="ListBullet"/>
        <w:ind w:left="360"/>
      </w:pPr>
      <w:r>
        <w:t>Select a different workflow to adjust how the AI structures its reasoning and responses.</w:t>
      </w:r>
    </w:p>
    <w:p>
      <w:pPr>
        <w:pStyle w:val="ListBullet"/>
        <w:ind w:left="360"/>
      </w:pPr>
      <w:r>
        <w:t>Any new questions will follow the newly selected workflow.</w:t>
      </w:r>
    </w:p>
    <w:p>
      <w:pPr>
        <w:pStyle w:val="ListBullet"/>
        <w:ind w:left="360"/>
      </w:pPr>
      <w:r>
        <w:t xml:space="preserve">Workflows can be switched at </w:t>
      </w:r>
      <w:r>
        <w:rPr>
          <w:b/>
        </w:rPr>
        <w:t>any time during the conversation</w:t>
      </w:r>
      <w:r>
        <w:t>, providing flexibility in how insights are generated.</w:t>
      </w:r>
    </w:p>
    <w:p>
      <w:r>
        <w:drawing>
          <wp:inline xmlns:a="http://schemas.openxmlformats.org/drawingml/2006/main" xmlns:pic="http://schemas.openxmlformats.org/drawingml/2006/picture">
            <wp:extent cx="5486400" cy="13227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622-0413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2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Step 3: Watch the Canvas Build</w:t>
      </w:r>
    </w:p>
    <w:p>
      <w:r>
        <w:t xml:space="preserve">As the conversation progresses, the </w:t>
      </w:r>
      <w:r>
        <w:rPr>
          <w:b/>
        </w:rPr>
        <w:t>Thinking Canvas</w:t>
      </w:r>
      <w:r>
        <w:t xml:space="preserve"> on the right automatically populates with: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Section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Content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Core Problem</w:t>
            </w:r>
          </w:p>
        </w:tc>
        <w:tc>
          <w:tcPr>
            <w:tcW w:type="dxa" w:w="4320"/>
          </w:tcPr>
          <w:p>
            <w:r/>
            <w:r>
              <w:t>The refined problem statement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Ideas</w:t>
            </w:r>
          </w:p>
        </w:tc>
        <w:tc>
          <w:tcPr>
            <w:tcW w:type="dxa" w:w="4320"/>
          </w:tcPr>
          <w:p>
            <w:r/>
            <w:r>
              <w:t>List of approaches focused on user intent and goals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Options Explored</w:t>
            </w:r>
          </w:p>
        </w:tc>
        <w:tc>
          <w:tcPr>
            <w:tcW w:type="dxa" w:w="4320"/>
          </w:tcPr>
          <w:p>
            <w:r/>
            <w:r>
              <w:t>List of alternatives considered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Action Plan</w:t>
            </w:r>
          </w:p>
        </w:tc>
        <w:tc>
          <w:tcPr>
            <w:tcW w:type="dxa" w:w="4320"/>
          </w:tcPr>
          <w:p>
            <w:r/>
            <w:r>
              <w:t>Concrete next steps</w:t>
            </w:r>
          </w:p>
        </w:tc>
      </w:tr>
    </w:tbl>
    <w:p>
      <w:r>
        <w:t>Each section fills in as the AI identifies relevant content from your conversation.</w:t>
      </w:r>
    </w:p>
    <w:p>
      <w:pPr>
        <w:pStyle w:val="Heading3"/>
      </w:pPr>
      <w:r>
        <w:t>Step 4: Session Completion</w:t>
      </w:r>
    </w:p>
    <w:p>
      <w:r>
        <w:drawing>
          <wp:inline xmlns:a="http://schemas.openxmlformats.org/drawingml/2006/main" xmlns:pic="http://schemas.openxmlformats.org/drawingml/2006/picture">
            <wp:extent cx="5486400" cy="30080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622-03563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8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When the brainstorming reaches a natural conclusion, the session is marked as </w:t>
      </w:r>
      <w:r>
        <w:rPr>
          <w:b/>
        </w:rPr>
        <w:t>complete</w:t>
      </w:r>
      <w:r>
        <w:t>:</w:t>
      </w:r>
    </w:p>
    <w:p>
      <w:pPr>
        <w:pStyle w:val="ListBullet"/>
        <w:ind w:left="360"/>
      </w:pPr>
      <w:r>
        <w:t xml:space="preserve">A green "✓ Session complete — canvas is ready" message appears </w:t>
      </w:r>
    </w:p>
    <w:p>
      <w:pPr>
        <w:pStyle w:val="ListBullet"/>
        <w:ind w:left="360"/>
      </w:pPr>
      <w:r>
        <w:t xml:space="preserve">The input bar is replaced with a </w:t>
      </w:r>
      <w:r>
        <w:rPr>
          <w:b/>
        </w:rPr>
        <w:t>"New session"</w:t>
      </w:r>
      <w:r>
        <w:t xml:space="preserve"> button </w:t>
      </w:r>
    </w:p>
    <w:p>
      <w:pPr>
        <w:pStyle w:val="ListBullet"/>
        <w:ind w:left="360"/>
      </w:pPr>
      <w:r>
        <w:t>Your canvas contains the final structured output</w:t>
      </w:r>
    </w:p>
    <w:p>
      <w:pPr>
        <w:pStyle w:val="Heading3"/>
      </w:pPr>
      <w:r>
        <w:t>Output export</w:t>
      </w:r>
    </w:p>
    <w:p>
      <w:r>
        <w:t>At the top-right corner, there are 2 output options:</w:t>
      </w:r>
    </w:p>
    <w:p>
      <w:pPr>
        <w:pStyle w:val="ListBullet"/>
        <w:ind w:left="360"/>
      </w:pPr>
      <w:r>
        <w:rPr>
          <w:b/>
        </w:rPr>
        <w:t>Copy Output</w:t>
      </w:r>
      <w:r>
        <w:t xml:space="preserve"> </w:t>
      </w:r>
      <w:r>
        <w:rPr>
          <w:b/>
        </w:rPr>
        <w:t>Content</w:t>
      </w:r>
      <w:r>
        <w:t>: Copies the full response while preserving its Markdown formatting for easy reuse.</w:t>
      </w:r>
    </w:p>
    <w:p>
      <w:pPr>
        <w:pStyle w:val="ListBullet"/>
        <w:ind w:left="360"/>
      </w:pPr>
      <w:r>
        <w:rPr>
          <w:b/>
        </w:rPr>
        <w:t>Export</w:t>
      </w:r>
      <w:r>
        <w:t xml:space="preserve"> </w:t>
      </w:r>
      <w:r>
        <w:rPr>
          <w:b/>
        </w:rPr>
        <w:t>Brainstorming Workflow</w:t>
      </w:r>
      <w:r>
        <w:t>: Exports the AI-generated ideas and structure into an .xmind file format for mind mapping and further refinement.</w:t>
      </w:r>
    </w:p>
    <w:p>
      <w:r>
        <w:drawing>
          <wp:inline xmlns:a="http://schemas.openxmlformats.org/drawingml/2006/main" xmlns:pic="http://schemas.openxmlformats.org/drawingml/2006/picture">
            <wp:extent cx="5486400" cy="8563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622-04052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6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Starting Fresh</w:t>
      </w:r>
    </w:p>
    <w:p>
      <w:r>
        <w:t xml:space="preserve">Click </w:t>
      </w:r>
      <w:r>
        <w:rPr>
          <w:b/>
        </w:rPr>
        <w:t>"New session"</w:t>
      </w:r>
      <w:r>
        <w:t xml:space="preserve"> in the chat header (or after completion) to start a new brainstorming session with a clean canvas.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Features</w:t>
      </w:r>
    </w:p>
    <w:p>
      <w:pPr>
        <w:pStyle w:val="ListBullet"/>
        <w:ind w:left="360"/>
      </w:pPr>
      <w:r>
        <w:rPr>
          <w:b/>
        </w:rPr>
        <w:t>Cross-session memory</w:t>
      </w:r>
      <w:r>
        <w:t xml:space="preserve"> — The Brainstormer remembers your preferences (language, tone, preferred topics) across sessions</w:t>
      </w:r>
    </w:p>
    <w:p>
      <w:pPr>
        <w:pStyle w:val="ListBullet"/>
        <w:ind w:left="360"/>
      </w:pPr>
      <w:r>
        <w:rPr>
          <w:b/>
        </w:rPr>
        <w:t>Structured output</w:t>
      </w:r>
      <w:r>
        <w:t xml:space="preserve"> — Every session produces an organized canvas, not just chat history</w:t>
      </w:r>
    </w:p>
    <w:p>
      <w:pPr>
        <w:pStyle w:val="ListBullet"/>
        <w:ind w:left="360"/>
      </w:pPr>
      <w:r>
        <w:rPr>
          <w:b/>
        </w:rPr>
        <w:t>Guided exploration</w:t>
      </w:r>
      <w:r>
        <w:t xml:space="preserve"> — The AI asks the right questions to help you think deeper</w:t>
      </w:r>
    </w:p>
    <w:p>
      <w:pPr>
        <w:pStyle w:val="ListBullet"/>
        <w:ind w:left="360"/>
      </w:pPr>
      <w:r>
        <w:rPr>
          <w:b/>
        </w:rPr>
        <w:t>Session tracking</w:t>
      </w:r>
      <w:r>
        <w:t xml:space="preserve"> — See exchange count in the header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Tips</w:t>
      </w:r>
    </w:p>
    <w:p>
      <w:pPr>
        <w:pStyle w:val="ListBullet"/>
        <w:ind w:left="360"/>
      </w:pPr>
      <w:r>
        <w:t>Start with a rough idea — the AI will help you refine it</w:t>
      </w:r>
    </w:p>
    <w:p>
      <w:pPr>
        <w:pStyle w:val="ListBullet"/>
        <w:ind w:left="360"/>
      </w:pPr>
      <w:r>
        <w:t>Be honest about uncertainty — "I'm not sure what I want" is a valid starting point</w:t>
      </w:r>
    </w:p>
    <w:p>
      <w:pPr>
        <w:pStyle w:val="ListBullet"/>
        <w:ind w:left="360"/>
      </w:pPr>
      <w:r>
        <w:t>The canvas is the deliverable — use it to share your thinking with others</w:t>
      </w:r>
    </w:p>
    <w:p>
      <w:pPr>
        <w:pStyle w:val="ListBullet"/>
        <w:ind w:left="360"/>
      </w:pPr>
      <w:r>
        <w:t>Multiple short sessions often work better than one long one</w:t>
      </w:r>
    </w:p>
    <w:p>
      <w:pPr>
        <w:pStyle w:val="ListBullet"/>
        <w:ind w:left="360"/>
      </w:pPr>
      <w:r>
        <w:t>The AI adapts to your language preference over time</w:t>
      </w:r>
    </w:p>
    <w:p>
      <w:pPr>
        <w:pStyle w:val="ListBullet"/>
        <w:ind w:left="360"/>
      </w:pPr>
      <w:r>
        <w:t>Change the conversation flow anytime during the chat to find the most suitable reasoning style.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Limitations</w:t>
      </w:r>
    </w:p>
    <w:p>
      <w:pPr>
        <w:pStyle w:val="ListBullet"/>
        <w:ind w:left="360"/>
      </w:pPr>
      <w:r>
        <w:t>Long-term memory stores preferences only (language, tone, topics), not full chat history</w:t>
      </w:r>
    </w:p>
    <w:p>
      <w:pPr>
        <w:pStyle w:val="ListBullet"/>
        <w:ind w:left="360"/>
      </w:pPr>
      <w:r>
        <w:t>Each session is independent — the AI doesn't recall previous session content</w:t>
      </w:r>
    </w:p>
    <w:p>
      <w:pPr>
        <w:pStyle w:val="ListBullet"/>
        <w:ind w:left="360"/>
      </w:pPr>
      <w:r>
        <w:t>Best suited for strategic thinking, not detailed implementation planning</w:t>
      </w:r>
    </w:p>
    <w:p>
      <w:pPr>
        <w:pStyle w:val="ListBullet"/>
        <w:ind w:left="360"/>
      </w:pPr>
      <w:r>
        <w:t>No file upload support — text-based interaction only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r>
        <w:rPr>
          <w:i/>
        </w:rPr>
        <w:t>Last updated: 2026-06-22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