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ANNONCE LEGALE - CESSION DE PARTS</w:t>
      </w:r>
    </w:p>
    <w:p>
      <w:r>
        <w:br/>
      </w:r>
    </w:p>
    <w:p>
      <w:r>
        <w:rPr>
          <w:sz w:val="22"/>
        </w:rPr>
        <w:t>ANNONCE LEGALE</w:t>
      </w:r>
    </w:p>
    <w:p>
      <w:r>
        <w:rPr>
          <w:sz w:val="22"/>
        </w:rPr>
        <w:t/>
      </w:r>
    </w:p>
    <w:p>
      <w:r>
        <w:rPr>
          <w:sz w:val="22"/>
        </w:rPr>
        <w:t>CESSION DE PARTS SOCIALES</w:t>
      </w:r>
    </w:p>
    <w:p>
      <w:r>
        <w:rPr>
          <w:sz w:val="22"/>
        </w:rPr>
        <w:t/>
      </w:r>
    </w:p>
    <w:p>
      <w:r>
        <w:rPr>
          <w:sz w:val="22"/>
        </w:rPr>
        <w:t>FADAA DOI</w:t>
      </w:r>
    </w:p>
    <w:p>
      <w:r>
        <w:rPr>
          <w:sz w:val="22"/>
        </w:rPr>
        <w:t>SARL AU</w:t>
      </w:r>
    </w:p>
    <w:p>
      <w:r>
        <w:rPr>
          <w:sz w:val="22"/>
        </w:rPr>
        <w:t>Capital social : 200000.00 DH</w:t>
      </w:r>
    </w:p>
    <w:p>
      <w:r>
        <w:rPr>
          <w:sz w:val="22"/>
        </w:rPr>
        <w:t>Siege social : 123 Rue de la Liberté, Casablanca</w:t>
      </w:r>
    </w:p>
    <w:p>
      <w:r>
        <w:rPr>
          <w:sz w:val="22"/>
        </w:rPr>
        <w:t>Casablanca</w:t>
      </w:r>
    </w:p>
    <w:p>
      <w:r>
        <w:rPr>
          <w:sz w:val="22"/>
        </w:rPr>
        <w:t>RC n°  - IF n°  - ICE n° </w:t>
      </w:r>
    </w:p>
    <w:p>
      <w:r>
        <w:rPr>
          <w:sz w:val="22"/>
        </w:rPr>
        <w:t/>
      </w:r>
    </w:p>
    <w:p>
      <w:r>
        <w:rPr>
          <w:sz w:val="22"/>
        </w:rPr>
        <w:t>Aux termes d'un acte en date du 2026-06-13,</w:t>
      </w:r>
    </w:p>
    <w:p>
      <w:r>
        <w:rPr>
          <w:sz w:val="22"/>
        </w:rPr>
        <w:t>Adil Taouil a cede a Madiha Louza</w:t>
      </w:r>
    </w:p>
    <w:p>
      <w:r>
        <w:rPr>
          <w:sz w:val="22"/>
        </w:rPr>
        <w:t>800 parts sociales de la societe sus-designee,</w:t>
      </w:r>
    </w:p>
    <w:p>
      <w:r>
        <w:rPr>
          <w:sz w:val="22"/>
        </w:rPr>
        <w:t>pour un montant de 80000 DH.</w:t>
      </w:r>
    </w:p>
    <w:p>
      <w:r>
        <w:rPr>
          <w:sz w:val="22"/>
        </w:rPr>
        <w:t/>
      </w:r>
    </w:p>
    <w:p>
      <w:r>
        <w:rPr>
          <w:sz w:val="22"/>
        </w:rPr>
        <w:t>Depot legal au Greffe du Tribunal de Casablanca.</w:t>
      </w:r>
    </w:p>
    <w:p>
      <w:r>
        <w:rPr>
          <w:sz w:val="22"/>
        </w:rPr>
        <w:t/>
      </w:r>
    </w:p>
    <w:p>
      <w:r>
        <w:rPr>
          <w:sz w:val="22"/>
        </w:rPr>
        <w:t>Pour avis,</w:t>
      </w:r>
    </w:p>
    <w:p>
      <w:r>
        <w:rPr>
          <w:sz w:val="22"/>
        </w:rPr>
        <w:t>Le gerant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