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{{ SOCIETE_RAISON_SOCIALE }}</w:t>
      </w:r>
    </w:p>
    <w:p>
      <w:r>
        <w:rPr>
          <w:sz w:val="22"/>
        </w:rPr>
        <w:t>{{ SOCIETE_FORME_JURIDIQUE }}</w:t>
      </w:r>
    </w:p>
    <w:p>
      <w:r>
        <w:rPr>
          <w:sz w:val="22"/>
        </w:rPr>
        <w:t>Capital social : {{ SOCIETE_CAPITAL }} DHS</w:t>
      </w:r>
    </w:p>
    <w:p>
      <w:r>
        <w:rPr>
          <w:sz w:val="22"/>
        </w:rPr>
        <w:t>Siege social : {{ SOCIETE_ADRESSE_SIEGE }}</w:t>
      </w:r>
    </w:p>
    <w:p>
      <w:r>
        <w:rPr>
          <w:sz w:val="22"/>
        </w:rPr>
        <w:t>{{ SOCIETE_VILLE }}</w:t>
      </w:r>
    </w:p>
    <w:p>
      <w:r>
        <w:rPr>
          <w:sz w:val="22"/>
        </w:rPr>
        <w:t>RC n° {{ SOCIETE_RC }} - IF n° {{ SOCIETE_IF }} - ICE n° {{ SOCIETE_ICE }}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{{ CESSION_DATE }}, {{ CEDANT_NOM_COMPLET }} a cede a {{ CESSIONNAIRE_NOM_COMPLET }} {{ PARTS_CEDEES }} parts sociales de la societe sus-designee, pour un montant de {{ PRIX_TOTAL }} DHS.</w:t>
      </w:r>
    </w:p>
    <w:p>
      <w:r>
        <w:rPr>
          <w:sz w:val="22"/>
        </w:rPr>
        <w:t>Le capital social est divise en {{ SOCIETE_PART_SOCIAL }} parts de {{ SOCIETE_VALEUR_NOMINALE }}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{{ SOCIETE_TRIBUNAL }}.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