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TickerNest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Personal investing OS — multi-broker holdings, watchlists, sold-shares journal, realtime quote ticks. Built around the workflow modelled in your existing My Portfolio.xlsx.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Layout</w:t>
      </w:r>
    </w:p>
    <w:tbl>
      <w:tblPr>
        <w:tblStyle w:val="Table1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TickerNest/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├── README.md           ← you are here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├── DEPLOY.md           ← end-to-end deploy guide (Supabase + Upstash + Fly + Vercel)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├── docs/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│   ├── step1-design.md       (v1 — trade-derived; superseded)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│   ├── step1-design-v2.md    (v2 — manual-avg; current spec)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│   └── excel-analysis.md     (parse of My Portfolio.xlsx, 42 sheets)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├── api/                ← NestJS + TypeScript + Postgres (Supabase) + Redis (Upstash)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├── web/                ← React + Vite + TanStack + Tailwind + shadcn-style components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└── android/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├── core/           ← pure JVM Kotlin — financial logic, JUnit-tested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└── app/            ← Compose UI — needs Android SDK to build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Quick commands</w:t>
      </w:r>
    </w:p>
    <w:tbl>
      <w:tblPr>
        <w:tblStyle w:val="Table2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333.333333333334"/>
        <w:gridCol w:w="5333.333333333334"/>
        <w:gridCol w:w="5333.333333333334"/>
        <w:tblGridChange w:id="0">
          <w:tblGrid>
            <w:gridCol w:w="5333.333333333334"/>
            <w:gridCol w:w="5333.333333333334"/>
            <w:gridCol w:w="5333.3333333333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Command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Run API tests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api/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npx jest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Run web tests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web/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npx vitest 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Run Android core tests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android/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gradle :core:test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Typecheck API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api/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npx tsc --noEmit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Typecheck web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web/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npx tsc --noEmit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Build web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web/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npx vite build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Apply migrations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api/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DATABASE_URL=… npx ts-node src/scripts/migrate.ts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240" w:lineRule="auto"/>
        <w:rPr/>
      </w:pPr>
      <w:r w:rsidDel="00000000" w:rsidR="00000000" w:rsidRPr="00000000">
        <w:rPr>
          <w:rtl w:val="0"/>
        </w:rPr>
        <w:t xml:space="preserve">See </w:t>
      </w:r>
      <w:hyperlink r:id="rId6">
        <w:r w:rsidDel="00000000" w:rsidR="00000000" w:rsidRPr="00000000">
          <w:rPr>
            <w:color w:val="1a73e8"/>
            <w:u w:val="single"/>
            <w:rtl w:val="0"/>
          </w:rPr>
          <w:t xml:space="preserve">DEPLOY.md</w:t>
        </w:r>
      </w:hyperlink>
      <w:r w:rsidDel="00000000" w:rsidR="00000000" w:rsidRPr="00000000">
        <w:rPr>
          <w:rtl w:val="0"/>
        </w:rPr>
        <w:t xml:space="preserve"> for the end-to-end deploy.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Test scoreboard (last green run)</w:t>
      </w:r>
    </w:p>
    <w:tbl>
      <w:tblPr>
        <w:tblStyle w:val="Table3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API     : 17 suites · 106 tests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web     :  1 suite  ·   8 tests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android : 3 suites  ·  20 tests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18"/>
                <w:szCs w:val="18"/>
                <w:shd w:fill="auto" w:val="clear"/>
                <w:rtl w:val="0"/>
              </w:rPr>
              <w:t xml:space="preserve">        ──────────────────────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total   : 21 suites · 134 tests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REDIS HEALTH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http://localhost:3000/healthz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0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2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80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DEPLOY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