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97CDF" w:rsidRPr="00793AF0" w:rsidRDefault="00F97CDF" w:rsidP="00F97CDF">
      <w:pPr>
        <w:pStyle w:val="NoSpacing"/>
        <w:numPr>
          <w:ilvl w:val="1"/>
          <w:numId w:val="6"/>
        </w:numPr>
        <w:rPr>
          <w:color w:val="ED7D31" w:themeColor="accent2"/>
          <w:sz w:val="20"/>
        </w:rPr>
      </w:pPr>
      <w:r w:rsidRPr="00793AF0">
        <w:rPr>
          <w:color w:val="ED7D31" w:themeColor="accent2"/>
          <w:sz w:val="20"/>
        </w:rPr>
        <w:t xml:space="preserve">Think… How many number </w:t>
      </w:r>
      <w:proofErr w:type="gramStart"/>
      <w:r w:rsidRPr="00793AF0">
        <w:rPr>
          <w:color w:val="ED7D31" w:themeColor="accent2"/>
          <w:sz w:val="20"/>
        </w:rPr>
        <w:t>digits  (</w:t>
      </w:r>
      <w:proofErr w:type="gramEnd"/>
      <w:r w:rsidRPr="00793AF0">
        <w:rPr>
          <w:color w:val="ED7D31" w:themeColor="accent2"/>
          <w:sz w:val="20"/>
        </w:rPr>
        <w:t>0 to 9)?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Pr="001B6AB1" w:rsidRDefault="005235A5" w:rsidP="001B6AB1">
      <w:pPr>
        <w:pStyle w:val="NoSpacing"/>
        <w:numPr>
          <w:ilvl w:val="0"/>
          <w:numId w:val="6"/>
        </w:numPr>
        <w:rPr>
          <w:color w:val="222222"/>
          <w:sz w:val="20"/>
          <w:szCs w:val="20"/>
          <w:shd w:val="clear" w:color="auto" w:fill="FFFFFF"/>
        </w:rPr>
      </w:pPr>
      <w:r>
        <w:rPr>
          <w:sz w:val="20"/>
        </w:rPr>
        <w:t xml:space="preserve"> </w:t>
      </w:r>
      <w:r w:rsidR="00AA359D" w:rsidRPr="001B6AB1">
        <w:rPr>
          <w:sz w:val="20"/>
          <w:szCs w:val="20"/>
        </w:rPr>
        <w:t xml:space="preserve">Research </w:t>
      </w:r>
      <w:r w:rsidRPr="001B6AB1">
        <w:rPr>
          <w:sz w:val="20"/>
          <w:szCs w:val="20"/>
        </w:rPr>
        <w:t>th</w:t>
      </w:r>
      <w:r w:rsidR="00F97CDF" w:rsidRPr="001B6AB1">
        <w:rPr>
          <w:sz w:val="20"/>
          <w:szCs w:val="20"/>
        </w:rPr>
        <w:t xml:space="preserve">e ASCII characters </w:t>
      </w:r>
      <w:r w:rsidRPr="001B6AB1">
        <w:rPr>
          <w:sz w:val="20"/>
          <w:szCs w:val="20"/>
        </w:rPr>
        <w:t>set</w:t>
      </w:r>
      <w:r w:rsidR="00AA359D" w:rsidRPr="001B6AB1">
        <w:rPr>
          <w:sz w:val="20"/>
          <w:szCs w:val="20"/>
        </w:rPr>
        <w:t>.</w:t>
      </w:r>
      <w:r w:rsidRPr="001B6AB1">
        <w:rPr>
          <w:sz w:val="20"/>
          <w:szCs w:val="20"/>
        </w:rPr>
        <w:t xml:space="preserve"> </w:t>
      </w:r>
      <w:r w:rsidR="00AA359D" w:rsidRPr="001B6AB1">
        <w:rPr>
          <w:sz w:val="20"/>
          <w:szCs w:val="20"/>
        </w:rPr>
        <w:t xml:space="preserve">What is it </w:t>
      </w:r>
      <w:r w:rsidR="00F97CDF" w:rsidRPr="001B6AB1">
        <w:rPr>
          <w:sz w:val="20"/>
          <w:szCs w:val="20"/>
        </w:rPr>
        <w:t xml:space="preserve">and how </w:t>
      </w:r>
      <w:r w:rsidRPr="001B6AB1">
        <w:rPr>
          <w:sz w:val="20"/>
          <w:szCs w:val="20"/>
        </w:rPr>
        <w:t>is it</w:t>
      </w:r>
      <w:r w:rsidR="00F97CDF" w:rsidRPr="001B6AB1">
        <w:rPr>
          <w:sz w:val="20"/>
          <w:szCs w:val="20"/>
        </w:rPr>
        <w:t xml:space="preserve"> related to computer memory?</w:t>
      </w:r>
      <w:r w:rsidR="00F97CDF" w:rsidRPr="001B6AB1">
        <w:rPr>
          <w:sz w:val="20"/>
          <w:szCs w:val="20"/>
        </w:rPr>
        <w:br/>
      </w:r>
      <w:r w:rsidR="001B6AB1" w:rsidRPr="001B6AB1">
        <w:rPr>
          <w:color w:val="222222"/>
          <w:sz w:val="20"/>
          <w:szCs w:val="20"/>
          <w:shd w:val="clear" w:color="auto" w:fill="FFFFFF"/>
        </w:rPr>
        <w:t xml:space="preserve">ASCII is </w:t>
      </w:r>
      <w:r w:rsidR="00793AF0" w:rsidRPr="001B6AB1">
        <w:rPr>
          <w:color w:val="222222"/>
          <w:sz w:val="20"/>
          <w:szCs w:val="20"/>
          <w:shd w:val="clear" w:color="auto" w:fill="FFFFFF"/>
        </w:rPr>
        <w:t>American standard code for information interchange</w:t>
      </w:r>
      <w:r w:rsidR="001B6AB1" w:rsidRPr="001B6AB1">
        <w:rPr>
          <w:color w:val="222222"/>
          <w:sz w:val="20"/>
          <w:szCs w:val="20"/>
          <w:shd w:val="clear" w:color="auto" w:fill="FFFFFF"/>
        </w:rPr>
        <w:t>. It is the most common format for text files in computers and on the Internet. In an ASCII file, each alphabetic, numeric, or special character is represented with a 7-bit binary number (a string of seven 0s or 1s). 128 possible characters are defined.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1B6AB1" w:rsidRDefault="001B6AB1" w:rsidP="001B6AB1">
      <w:pPr>
        <w:pStyle w:val="ListParagraph"/>
        <w:rPr>
          <w:sz w:val="20"/>
        </w:rPr>
      </w:pPr>
    </w:p>
    <w:p w:rsidR="001B6AB1" w:rsidRPr="00F97CDF" w:rsidRDefault="001B6AB1" w:rsidP="001B6AB1">
      <w:pPr>
        <w:pStyle w:val="NoSpacing"/>
        <w:ind w:left="720"/>
        <w:rPr>
          <w:sz w:val="20"/>
        </w:rPr>
      </w:pPr>
      <w:r>
        <w:rPr>
          <w:sz w:val="20"/>
        </w:rPr>
        <w:t xml:space="preserve">Strings of one characters </w:t>
      </w:r>
      <w:r w:rsidR="007C4482">
        <w:rPr>
          <w:sz w:val="20"/>
        </w:rPr>
        <w:t>take one byte of data.</w:t>
      </w:r>
      <w:bookmarkStart w:id="0" w:name="_GoBack"/>
      <w:bookmarkEnd w:id="0"/>
      <w:r w:rsidR="007C4482">
        <w:rPr>
          <w:sz w:val="20"/>
        </w:rPr>
        <w:t xml:space="preserve"> </w:t>
      </w:r>
    </w:p>
    <w:p w:rsidR="00AA359D" w:rsidRDefault="00AA359D" w:rsidP="001B6AB1">
      <w:pPr>
        <w:pStyle w:val="NoSpacing"/>
        <w:rPr>
          <w:sz w:val="20"/>
        </w:rPr>
      </w:pPr>
    </w:p>
    <w:p w:rsidR="001B6AB1" w:rsidRDefault="001B6AB1" w:rsidP="001B6AB1">
      <w:pPr>
        <w:pStyle w:val="NoSpacing"/>
        <w:rPr>
          <w:sz w:val="20"/>
        </w:rPr>
      </w:pPr>
    </w:p>
    <w:p w:rsidR="001B6AB1" w:rsidRPr="00F97CDF" w:rsidRDefault="001B6AB1" w:rsidP="001B6AB1">
      <w:pPr>
        <w:pStyle w:val="NoSpacing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  <w:r w:rsidR="001B6AB1">
        <w:rPr>
          <w:noProof/>
        </w:rPr>
        <w:drawing>
          <wp:inline distT="0" distB="0" distL="0" distR="0">
            <wp:extent cx="5943600" cy="3664258"/>
            <wp:effectExtent l="0" t="0" r="0" b="0"/>
            <wp:docPr id="1" name="Picture 1" descr="Image result for how are negative integers stored in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negative integers stored in mem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  <w:r w:rsidR="001B6AB1">
        <w:rPr>
          <w:noProof/>
        </w:rPr>
        <w:drawing>
          <wp:inline distT="0" distB="0" distL="0" distR="0">
            <wp:extent cx="5943600" cy="1885616"/>
            <wp:effectExtent l="0" t="0" r="0" b="0"/>
            <wp:docPr id="2" name="Picture 2" descr="Image result for How are decimal numbers (Google “Floating Point”) represented in computer memory? (Include a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w are decimal numbers (Google “Floating Point”) represented in computer memory? (Include a diagra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1B6AB1" w:rsidRDefault="001B6AB1" w:rsidP="001B6AB1">
      <w:pPr>
        <w:pStyle w:val="ListParagraph"/>
        <w:rPr>
          <w:sz w:val="20"/>
        </w:rPr>
      </w:pPr>
    </w:p>
    <w:p w:rsidR="001B6AB1" w:rsidRPr="00F97CDF" w:rsidRDefault="001B6AB1" w:rsidP="001B6AB1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>
            <wp:extent cx="4143375" cy="1885950"/>
            <wp:effectExtent l="0" t="0" r="0" b="0"/>
            <wp:docPr id="3" name="Picture 3" descr="Image result for A Pixel is computer memory structure used to store image information. How is a Pixel represented in memory? (Include a diagram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 Pixel is computer memory structure used to store image information. How is a Pixel represented in memory? (Include a diagram)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AB1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1B6AB1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93AF0"/>
    <w:rsid w:val="007C1B38"/>
    <w:rsid w:val="007C4482"/>
    <w:rsid w:val="0084159A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42E5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4294967184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22</cp:revision>
  <dcterms:created xsi:type="dcterms:W3CDTF">2017-10-24T15:55:00Z</dcterms:created>
  <dcterms:modified xsi:type="dcterms:W3CDTF">2019-11-20T16:10:00Z</dcterms:modified>
</cp:coreProperties>
</file>